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版本号：【KRDL】K4-260612220260709001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冶金楼实验室电路改造项目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【KRDL】K4-2606122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冶金楼实验室电路改造项目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【KRDL】K4-2606122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冶金楼实验室电路改造项目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冶金楼实验室电路改造项目，本项目拟对原后勤楼一楼及冶金轧钢车间为冶金学院实验室，因实验设备增加现有供电线路不能满足实验设备正常使用需求。需在东箱变配电室新增低压总柜、低压柜、无功补偿柜共4台，后勤楼一楼增加动力柜一台，由东箱变敷设YJV22-0.6/1KV-4*240mm²+1*120mm²电缆至后勤楼一楼；从东箱变敷设YJV22-4*185+1*95mm²电缆至轧钢车间动力柜，来满足实验室正常用电，保障日常教学科研，具体以本项目竞争性磋商文件、工程量清单、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采购包1（冶金楼实验室电路改造项目）：属于专门面向中小企业采购。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3、税收缴纳证明：供应商提供自2025年7月至今已缴纳的至少一个月纳税证明或完税证明，依法免税的单位应提供相关证明材料；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资质要求：供应商应具备建设行政主管部门颁发的电力工程施工总承包三级（含）以上资质或输变电工程专业承包三级（含）以上资质；同时具备合法有效的《承装（修、试）电力设施许可证》三级（含）以上（许可类别须同时包含承装类、承修类、承试类）；并具备有效的安全生产许可证，并在人员、设备、资金等方面具备相应的能力；</w:t>
      </w:r>
    </w:p>
    <w:p>
      <w:pPr>
        <w:pStyle w:val="null3"/>
      </w:pPr>
      <w:r>
        <w:rPr>
          <w:rFonts w:ascii="仿宋_GB2312" w:hAnsi="仿宋_GB2312" w:cs="仿宋_GB2312" w:eastAsia="仿宋_GB2312"/>
        </w:rPr>
        <w:t>6、供应商拟派项目经理资质和专业要求：供应商拟派项目经理须具备合法有效的机电工程专业注册建造师二级（含）以上执业资格，同时具备有效的安全生产考核合格证书（安全B证），在本单位注册且无在建工程；</w:t>
      </w:r>
    </w:p>
    <w:p>
      <w:pPr>
        <w:pStyle w:val="null3"/>
      </w:pPr>
      <w:r>
        <w:rPr>
          <w:rFonts w:ascii="仿宋_GB2312" w:hAnsi="仿宋_GB2312" w:cs="仿宋_GB2312" w:eastAsia="仿宋_GB2312"/>
        </w:rPr>
        <w:t>7、信誉要求：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采购包1：803,700.00元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09:00:00</w:t>
            </w:r>
          </w:p>
          <w:p>
            <w:pPr>
              <w:pStyle w:val="null3"/>
              <w:ind w:firstLine="975"/>
            </w:pPr>
            <w:r>
              <w:rPr>
                <w:rFonts w:ascii="仿宋_GB2312" w:hAnsi="仿宋_GB2312" w:cs="仿宋_GB2312" w:eastAsia="仿宋_GB2312"/>
              </w:rPr>
              <w:t>踏勘地点：西安建筑科技雁塔校区北院</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803,700.00</w:t>
      </w:r>
    </w:p>
    <w:p>
      <w:pPr>
        <w:pStyle w:val="null3"/>
      </w:pPr>
      <w:r>
        <w:rPr>
          <w:rFonts w:ascii="仿宋_GB2312" w:hAnsi="仿宋_GB2312" w:cs="仿宋_GB2312" w:eastAsia="仿宋_GB2312"/>
        </w:rPr>
        <w:t>采购包最高限价（元）: 803,678.66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冶金楼实验室电路改造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803,700.00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标的名称：冶金楼实验室电路改造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rPr>
              <w:t>西安建筑科技大学冶金楼实验室电路改造项目，本项目拟对原后勤楼一楼及冶金轧钢车间为冶金学院实验室，因实验设备增加现有供电线路不能满足实验设备正常使用需求。需在东箱变配电室新增低压总柜、低压柜、无功补偿柜共</w:t>
            </w:r>
            <w:r>
              <w:rPr>
                <w:rFonts w:ascii="仿宋_GB2312" w:hAnsi="仿宋_GB2312" w:cs="仿宋_GB2312" w:eastAsia="仿宋_GB2312"/>
                <w:sz w:val="24"/>
                <w:color w:val="0000FF"/>
              </w:rPr>
              <w:t>4</w:t>
            </w:r>
            <w:r>
              <w:rPr>
                <w:rFonts w:ascii="仿宋_GB2312" w:hAnsi="仿宋_GB2312" w:cs="仿宋_GB2312" w:eastAsia="仿宋_GB2312"/>
                <w:sz w:val="24"/>
                <w:color w:val="0000FF"/>
              </w:rPr>
              <w:t>台，后勤楼一楼增加动力柜一台，由东箱变敷设</w:t>
            </w:r>
            <w:r>
              <w:rPr>
                <w:rFonts w:ascii="仿宋_GB2312" w:hAnsi="仿宋_GB2312" w:cs="仿宋_GB2312" w:eastAsia="仿宋_GB2312"/>
                <w:sz w:val="24"/>
                <w:color w:val="0000FF"/>
              </w:rPr>
              <w:t>YJV22-0.6/1KV-4*240mm²+1*120mm²电缆至后勤楼一楼；从东箱变敷设YJV22-4*185+1*95mm²电缆至轧钢车间动力柜，来满足实验室正常用电，保障日常教学科研。</w:t>
            </w:r>
          </w:p>
          <w:p>
            <w:pPr>
              <w:pStyle w:val="null3"/>
              <w:ind w:firstLine="482"/>
              <w:jc w:val="both"/>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工程技术标准及要求</w:t>
            </w:r>
          </w:p>
          <w:p>
            <w:pPr>
              <w:pStyle w:val="null3"/>
              <w:ind w:firstLine="480"/>
              <w:jc w:val="both"/>
            </w:pPr>
            <w:r>
              <w:rPr>
                <w:rFonts w:ascii="仿宋_GB2312" w:hAnsi="仿宋_GB2312" w:cs="仿宋_GB2312" w:eastAsia="仿宋_GB2312"/>
                <w:sz w:val="24"/>
                <w:color w:val="0000FF"/>
              </w:rPr>
              <w:t>1.项目需执行的国家标准、行业标准、地方标准或者其他标准、规范等：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258"/>
              <w:gridCol w:w="2289"/>
            </w:tblGrid>
            <w:tr>
              <w:tc>
                <w:tcPr>
                  <w:tcW w:type="dxa" w:w="2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序号</w:t>
                  </w:r>
                </w:p>
              </w:tc>
              <w:tc>
                <w:tcPr>
                  <w:tcW w:type="dxa" w:w="22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标准、规范、规程名称</w:t>
                  </w:r>
                </w:p>
              </w:tc>
            </w:tr>
            <w:tr>
              <w:tc>
                <w:tcPr>
                  <w:tcW w:type="dxa" w:w="2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w:t>
                  </w:r>
                </w:p>
              </w:tc>
              <w:tc>
                <w:tcPr>
                  <w:tcW w:type="dxa" w:w="2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GB 50168-2018《电气装置安装工程电缆线路施工及验收规范》</w:t>
                  </w:r>
                </w:p>
              </w:tc>
            </w:tr>
            <w:tr>
              <w:tc>
                <w:tcPr>
                  <w:tcW w:type="dxa" w:w="2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c>
                <w:tcPr>
                  <w:tcW w:type="dxa" w:w="2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GB 50171-2012 《电气装置安装工程盘、柜及二次回路接线施工及</w:t>
                  </w:r>
                </w:p>
                <w:p>
                  <w:pPr>
                    <w:pStyle w:val="null3"/>
                    <w:jc w:val="center"/>
                  </w:pPr>
                  <w:r>
                    <w:rPr>
                      <w:rFonts w:ascii="仿宋_GB2312" w:hAnsi="仿宋_GB2312" w:cs="仿宋_GB2312" w:eastAsia="仿宋_GB2312"/>
                      <w:sz w:val="24"/>
                      <w:color w:val="0000FF"/>
                    </w:rPr>
                    <w:t>验收规范》</w:t>
                  </w:r>
                </w:p>
              </w:tc>
            </w:tr>
            <w:tr>
              <w:tc>
                <w:tcPr>
                  <w:tcW w:type="dxa" w:w="2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1.3</w:t>
                  </w:r>
                </w:p>
              </w:tc>
              <w:tc>
                <w:tcPr>
                  <w:tcW w:type="dxa" w:w="2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GB 50148-2010 《电气装置安装工程电力变压器、油浸电抗器、互感器施工及验收规范》</w:t>
                  </w:r>
                </w:p>
              </w:tc>
            </w:tr>
          </w:tbl>
          <w:p>
            <w:pPr>
              <w:pStyle w:val="null3"/>
              <w:ind w:firstLine="480"/>
              <w:jc w:val="both"/>
            </w:pPr>
            <w:r>
              <w:rPr>
                <w:rFonts w:ascii="仿宋_GB2312" w:hAnsi="仿宋_GB2312" w:cs="仿宋_GB2312" w:eastAsia="仿宋_GB2312"/>
                <w:sz w:val="24"/>
                <w:color w:val="0000FF"/>
              </w:rPr>
              <w:t>2.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FF"/>
              </w:rPr>
              <w:t>3.本工程其他技术标准及要求执行现行规范和采购人实际需求。</w:t>
            </w:r>
          </w:p>
          <w:p>
            <w:pPr>
              <w:pStyle w:val="null3"/>
              <w:ind w:firstLine="480"/>
              <w:jc w:val="both"/>
            </w:pPr>
            <w:r>
              <w:rPr>
                <w:rFonts w:ascii="仿宋_GB2312" w:hAnsi="仿宋_GB2312" w:cs="仿宋_GB2312" w:eastAsia="仿宋_GB2312"/>
                <w:sz w:val="24"/>
                <w:color w:val="0000FF"/>
              </w:rPr>
              <w:t>4.在施工过程中，如果国家或有关部门颁布了新的技术部分准或规范，则承包人应采用新的标准或规范进行施工。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FF"/>
              </w:rPr>
              <w:t>5.采购人提供工程的施工方案和相关技术文件，是采购人现有的能被供应商利用的资料，采购人对供应商做出的任何推论、理解均不负责任。</w:t>
            </w:r>
          </w:p>
          <w:p>
            <w:pPr>
              <w:pStyle w:val="null3"/>
              <w:ind w:firstLine="480"/>
              <w:jc w:val="both"/>
            </w:pPr>
            <w:r>
              <w:rPr>
                <w:rFonts w:ascii="仿宋_GB2312" w:hAnsi="仿宋_GB2312" w:cs="仿宋_GB2312" w:eastAsia="仿宋_GB2312"/>
                <w:sz w:val="24"/>
                <w:color w:val="0000FF"/>
              </w:rPr>
              <w:t>6.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FF"/>
              </w:rPr>
              <w:t>7.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FF"/>
              </w:rPr>
              <w:t>8.成交供应商未经采购人及有关部门同意，不得擅自变更本项目在竞争性磋商过程承诺中认定的采购范围、实施组织方案和项目经理（响应文件中应明确项目经理的姓名及联系方法，以备检查）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color w:val="0000FF"/>
              </w:rPr>
              <w:t>9.成交供应商必须自行施工，不得转包、分包。</w:t>
            </w:r>
          </w:p>
          <w:p>
            <w:pPr>
              <w:pStyle w:val="null3"/>
              <w:ind w:firstLine="480"/>
              <w:jc w:val="both"/>
            </w:pPr>
            <w:r>
              <w:rPr>
                <w:rFonts w:ascii="仿宋_GB2312" w:hAnsi="仿宋_GB2312" w:cs="仿宋_GB2312" w:eastAsia="仿宋_GB2312"/>
                <w:sz w:val="24"/>
                <w:color w:val="0000FF"/>
              </w:rPr>
              <w:t>10.成交供应商在施工过程中不得影响学校的日常生活、工作秩序。</w:t>
            </w:r>
          </w:p>
          <w:p>
            <w:pPr>
              <w:pStyle w:val="null3"/>
              <w:ind w:firstLine="480"/>
              <w:jc w:val="both"/>
            </w:pPr>
            <w:r>
              <w:rPr>
                <w:rFonts w:ascii="仿宋_GB2312" w:hAnsi="仿宋_GB2312" w:cs="仿宋_GB2312" w:eastAsia="仿宋_GB2312"/>
                <w:sz w:val="24"/>
                <w:color w:val="0000FF"/>
              </w:rPr>
              <w:t>11.现场垃圾清运、治污减霾工作由成交供应商全权负责，供应商应负责做好项目的扬尘防治工作及垃圾清运工作。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FF"/>
              </w:rPr>
              <w:t>三、</w:t>
            </w:r>
            <w:r>
              <w:rPr>
                <w:rFonts w:ascii="仿宋_GB2312" w:hAnsi="仿宋_GB2312" w:cs="仿宋_GB2312" w:eastAsia="仿宋_GB2312"/>
                <w:sz w:val="24"/>
                <w:b/>
                <w:color w:val="0000FF"/>
              </w:rPr>
              <w:t>工程量清单</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另册提供，详见附件</w:t>
            </w:r>
            <w:r>
              <w:rPr>
                <w:rFonts w:ascii="仿宋_GB2312" w:hAnsi="仿宋_GB2312" w:cs="仿宋_GB2312" w:eastAsia="仿宋_GB2312"/>
                <w:sz w:val="24"/>
                <w:b/>
                <w:color w:val="0000FF"/>
              </w:rPr>
              <w:t>。</w:t>
            </w:r>
          </w:p>
          <w:p>
            <w:pPr>
              <w:pStyle w:val="null3"/>
              <w:ind w:firstLine="482"/>
              <w:jc w:val="both"/>
            </w:pPr>
            <w:r>
              <w:rPr>
                <w:rFonts w:ascii="仿宋_GB2312" w:hAnsi="仿宋_GB2312" w:cs="仿宋_GB2312" w:eastAsia="仿宋_GB2312"/>
                <w:sz w:val="24"/>
                <w:b/>
                <w:color w:val="0000FF"/>
              </w:rPr>
              <w:t>四、</w:t>
            </w:r>
            <w:r>
              <w:rPr>
                <w:rFonts w:ascii="仿宋_GB2312" w:hAnsi="仿宋_GB2312" w:cs="仿宋_GB2312" w:eastAsia="仿宋_GB2312"/>
                <w:sz w:val="24"/>
                <w:b/>
                <w:color w:val="0000FF"/>
              </w:rPr>
              <w:t>图纸：另册提供，详见附件</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五、</w:t>
            </w:r>
            <w:r>
              <w:rPr>
                <w:rFonts w:ascii="仿宋_GB2312" w:hAnsi="仿宋_GB2312" w:cs="仿宋_GB2312" w:eastAsia="仿宋_GB2312"/>
                <w:sz w:val="24"/>
                <w:b/>
                <w:color w:val="0000FF"/>
              </w:rPr>
              <w:t>主要材料技术参数要求</w:t>
            </w:r>
          </w:p>
          <w:tbl>
            <w:tblPr>
              <w:tblBorders>
                <w:top w:val="none" w:color="000000" w:sz="4"/>
                <w:left w:val="none" w:color="000000" w:sz="4"/>
                <w:bottom w:val="none" w:color="000000" w:sz="4"/>
                <w:right w:val="none" w:color="000000" w:sz="4"/>
                <w:insideH w:val="none"/>
                <w:insideV w:val="none"/>
              </w:tblBorders>
            </w:tblPr>
            <w:tblGrid>
              <w:gridCol w:w="268"/>
              <w:gridCol w:w="364"/>
              <w:gridCol w:w="492"/>
              <w:gridCol w:w="319"/>
              <w:gridCol w:w="1098"/>
            </w:tblGrid>
            <w:tr>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序号</w:t>
                  </w:r>
                </w:p>
              </w:tc>
              <w:tc>
                <w:tcPr>
                  <w:tcW w:type="dxa" w:w="3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材料名称</w:t>
                  </w:r>
                </w:p>
              </w:tc>
              <w:tc>
                <w:tcPr>
                  <w:tcW w:type="dxa" w:w="4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规格型号</w:t>
                  </w:r>
                </w:p>
              </w:tc>
              <w:tc>
                <w:tcPr>
                  <w:tcW w:type="dxa" w:w="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单位</w:t>
                  </w:r>
                </w:p>
              </w:tc>
              <w:tc>
                <w:tcPr>
                  <w:tcW w:type="dxa" w:w="10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技术参数</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电力电缆</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YJV</w:t>
                  </w:r>
                  <w:r>
                    <w:rPr>
                      <w:rFonts w:ascii="仿宋_GB2312" w:hAnsi="仿宋_GB2312" w:cs="仿宋_GB2312" w:eastAsia="仿宋_GB2312"/>
                      <w:sz w:val="24"/>
                      <w:color w:val="0000FF"/>
                      <w:vertAlign w:val="subscript"/>
                    </w:rPr>
                    <w:t>22</w:t>
                  </w:r>
                  <w:r>
                    <w:rPr>
                      <w:rFonts w:ascii="仿宋_GB2312" w:hAnsi="仿宋_GB2312" w:cs="仿宋_GB2312" w:eastAsia="仿宋_GB2312"/>
                      <w:sz w:val="24"/>
                      <w:color w:val="0000FF"/>
                    </w:rPr>
                    <w:t>-4*240mm²+1*120mm²</w:t>
                  </w:r>
                </w:p>
                <w:p>
                  <w:pPr>
                    <w:pStyle w:val="null3"/>
                    <w:jc w:val="center"/>
                  </w:pPr>
                  <w:r>
                    <w:rPr>
                      <w:rFonts w:ascii="仿宋_GB2312" w:hAnsi="仿宋_GB2312" w:cs="仿宋_GB2312" w:eastAsia="仿宋_GB2312"/>
                      <w:sz w:val="24"/>
                      <w:color w:val="0000FF"/>
                    </w:rPr>
                    <w:t>YJV</w:t>
                  </w:r>
                  <w:r>
                    <w:rPr>
                      <w:rFonts w:ascii="仿宋_GB2312" w:hAnsi="仿宋_GB2312" w:cs="仿宋_GB2312" w:eastAsia="仿宋_GB2312"/>
                      <w:sz w:val="24"/>
                      <w:color w:val="0000FF"/>
                      <w:vertAlign w:val="subscript"/>
                    </w:rPr>
                    <w:t>22</w:t>
                  </w:r>
                  <w:r>
                    <w:rPr>
                      <w:rFonts w:ascii="仿宋_GB2312" w:hAnsi="仿宋_GB2312" w:cs="仿宋_GB2312" w:eastAsia="仿宋_GB2312"/>
                      <w:sz w:val="24"/>
                      <w:color w:val="0000FF"/>
                    </w:rPr>
                    <w:t>-4*150mm2+1*70mm²</w:t>
                  </w:r>
                </w:p>
                <w:p>
                  <w:pPr>
                    <w:pStyle w:val="null3"/>
                    <w:jc w:val="center"/>
                  </w:pPr>
                  <w:r>
                    <w:rPr>
                      <w:rFonts w:ascii="仿宋_GB2312" w:hAnsi="仿宋_GB2312" w:cs="仿宋_GB2312" w:eastAsia="仿宋_GB2312"/>
                      <w:sz w:val="24"/>
                      <w:color w:val="0000FF"/>
                    </w:rPr>
                    <w:t>YJV</w:t>
                  </w:r>
                  <w:r>
                    <w:rPr>
                      <w:rFonts w:ascii="仿宋_GB2312" w:hAnsi="仿宋_GB2312" w:cs="仿宋_GB2312" w:eastAsia="仿宋_GB2312"/>
                      <w:sz w:val="24"/>
                      <w:color w:val="0000FF"/>
                      <w:vertAlign w:val="subscript"/>
                    </w:rPr>
                    <w:t>22</w:t>
                  </w:r>
                  <w:r>
                    <w:rPr>
                      <w:rFonts w:ascii="仿宋_GB2312" w:hAnsi="仿宋_GB2312" w:cs="仿宋_GB2312" w:eastAsia="仿宋_GB2312"/>
                      <w:sz w:val="24"/>
                      <w:color w:val="0000FF"/>
                    </w:rPr>
                    <w:t>-4*185+1*95mm²</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米</w:t>
                  </w:r>
                </w:p>
              </w:tc>
              <w:tc>
                <w:tcPr>
                  <w:tcW w:type="dxa" w:w="1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FF"/>
                    </w:rPr>
                    <w:t>电缆应满足</w:t>
                  </w:r>
                  <w:r>
                    <w:rPr>
                      <w:rFonts w:ascii="仿宋_GB2312" w:hAnsi="仿宋_GB2312" w:cs="仿宋_GB2312" w:eastAsia="仿宋_GB2312"/>
                      <w:sz w:val="24"/>
                      <w:color w:val="0000FF"/>
                    </w:rPr>
                    <w:t>GB/T12706-2020《额定电压1KV（Um=1.2KV）到35K（Um=40.5KV）</w:t>
                  </w:r>
                </w:p>
                <w:p>
                  <w:pPr>
                    <w:pStyle w:val="null3"/>
                    <w:jc w:val="left"/>
                  </w:pPr>
                  <w:r>
                    <w:rPr>
                      <w:rFonts w:ascii="仿宋_GB2312" w:hAnsi="仿宋_GB2312" w:cs="仿宋_GB2312" w:eastAsia="仿宋_GB2312"/>
                      <w:sz w:val="24"/>
                      <w:color w:val="0000FF"/>
                    </w:rPr>
                    <w:t>挤包绝缘电力电缆及附件》。供应商应提交拟投产品经有资质的第三方检测机构出具的型式试验报告，型式试验报告为有效的报告且与投标产品规格对应，单根电缆长度不得出现短段拼接。电缆技术标准须优于国标，其中</w:t>
                  </w:r>
                  <w:r>
                    <w:rPr>
                      <w:rFonts w:ascii="仿宋_GB2312" w:hAnsi="仿宋_GB2312" w:cs="仿宋_GB2312" w:eastAsia="仿宋_GB2312"/>
                      <w:sz w:val="24"/>
                      <w:color w:val="0000FF"/>
                    </w:rPr>
                    <w:t>150电缆绞合≥49根、185电缆绞合≥53根、250电缆≥61根；电阻优于国标7.5%；截面负偏差≤3%；铜纯度≥99.992%；</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框架</w:t>
                  </w:r>
                  <w:r>
                    <w:rPr>
                      <w:rFonts w:ascii="仿宋_GB2312" w:hAnsi="仿宋_GB2312" w:cs="仿宋_GB2312" w:eastAsia="仿宋_GB2312"/>
                      <w:sz w:val="24"/>
                      <w:color w:val="0000FF"/>
                    </w:rPr>
                    <w:t>断路器</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规格：</w:t>
                  </w:r>
                  <w:r>
                    <w:rPr>
                      <w:rFonts w:ascii="仿宋_GB2312" w:hAnsi="仿宋_GB2312" w:cs="仿宋_GB2312" w:eastAsia="仿宋_GB2312"/>
                      <w:sz w:val="24"/>
                      <w:color w:val="0000FF"/>
                    </w:rPr>
                    <w:t>4</w:t>
                  </w:r>
                  <w:r>
                    <w:rPr>
                      <w:rFonts w:ascii="仿宋_GB2312" w:hAnsi="仿宋_GB2312" w:cs="仿宋_GB2312" w:eastAsia="仿宋_GB2312"/>
                      <w:sz w:val="24"/>
                      <w:color w:val="0000FF"/>
                    </w:rPr>
                    <w:t>000A、12</w:t>
                  </w:r>
                  <w:r>
                    <w:rPr>
                      <w:rFonts w:ascii="仿宋_GB2312" w:hAnsi="仿宋_GB2312" w:cs="仿宋_GB2312" w:eastAsia="仿宋_GB2312"/>
                      <w:sz w:val="24"/>
                      <w:color w:val="0000FF"/>
                    </w:rPr>
                    <w:t>5</w:t>
                  </w:r>
                  <w:r>
                    <w:rPr>
                      <w:rFonts w:ascii="仿宋_GB2312" w:hAnsi="仿宋_GB2312" w:cs="仿宋_GB2312" w:eastAsia="仿宋_GB2312"/>
                      <w:sz w:val="24"/>
                      <w:color w:val="0000FF"/>
                    </w:rPr>
                    <w:t>OA、</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台</w:t>
                  </w:r>
                </w:p>
              </w:tc>
              <w:tc>
                <w:tcPr>
                  <w:tcW w:type="dxa" w:w="1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FF"/>
                    </w:rPr>
                    <w:t>额定绝缘电压：</w:t>
                  </w:r>
                  <w:r>
                    <w:rPr>
                      <w:rFonts w:ascii="仿宋_GB2312" w:hAnsi="仿宋_GB2312" w:cs="仿宋_GB2312" w:eastAsia="仿宋_GB2312"/>
                      <w:sz w:val="24"/>
                      <w:color w:val="0000FF"/>
                    </w:rPr>
                    <w:t>Ui≥1000V；4000A参数：icu≥100KA、ics≥85kA、icw≥85kA；1250A参数:icu≥65kA、icw≥50kA;</w:t>
                  </w:r>
                  <w:r>
                    <w:br/>
                  </w:r>
                  <w:r>
                    <w:rPr>
                      <w:rFonts w:ascii="仿宋_GB2312" w:hAnsi="仿宋_GB2312" w:cs="仿宋_GB2312" w:eastAsia="仿宋_GB2312"/>
                      <w:sz w:val="24"/>
                      <w:color w:val="0000FF"/>
                    </w:rPr>
                    <w:t>控制器具备四段保护</w:t>
                  </w:r>
                  <w:r>
                    <w:rPr>
                      <w:rFonts w:ascii="仿宋_GB2312" w:hAnsi="仿宋_GB2312" w:cs="仿宋_GB2312" w:eastAsia="仿宋_GB2312"/>
                      <w:sz w:val="24"/>
                      <w:color w:val="0000FF"/>
                    </w:rPr>
                    <w:t>、</w:t>
                  </w:r>
                  <w:r>
                    <w:rPr>
                      <w:rFonts w:ascii="仿宋_GB2312" w:hAnsi="仿宋_GB2312" w:cs="仿宋_GB2312" w:eastAsia="仿宋_GB2312"/>
                      <w:sz w:val="24"/>
                      <w:color w:val="0000FF"/>
                    </w:rPr>
                    <w:t>电能</w:t>
                  </w:r>
                  <w:r>
                    <w:rPr>
                      <w:rFonts w:ascii="仿宋_GB2312" w:hAnsi="仿宋_GB2312" w:cs="仿宋_GB2312" w:eastAsia="仿宋_GB2312"/>
                      <w:sz w:val="24"/>
                      <w:color w:val="0000FF"/>
                    </w:rPr>
                    <w:t>计</w:t>
                  </w:r>
                  <w:r>
                    <w:rPr>
                      <w:rFonts w:ascii="仿宋_GB2312" w:hAnsi="仿宋_GB2312" w:cs="仿宋_GB2312" w:eastAsia="仿宋_GB2312"/>
                      <w:sz w:val="24"/>
                      <w:color w:val="0000FF"/>
                    </w:rPr>
                    <w:t>量；</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塑壳断路器</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1000A、630A、320A、200A</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台</w:t>
                  </w:r>
                </w:p>
              </w:tc>
              <w:tc>
                <w:tcPr>
                  <w:tcW w:type="dxa" w:w="1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FF"/>
                    </w:rPr>
                    <w:t>额定绝缘垫电压</w:t>
                  </w:r>
                  <w:r>
                    <w:rPr>
                      <w:rFonts w:ascii="仿宋_GB2312" w:hAnsi="仿宋_GB2312" w:cs="仿宋_GB2312" w:eastAsia="仿宋_GB2312"/>
                      <w:sz w:val="24"/>
                      <w:color w:val="0000FF"/>
                    </w:rPr>
                    <w:t>≥800V，</w:t>
                  </w:r>
                  <w:r>
                    <w:br/>
                  </w:r>
                  <w:r>
                    <w:rPr>
                      <w:rFonts w:ascii="仿宋_GB2312" w:hAnsi="仿宋_GB2312" w:cs="仿宋_GB2312" w:eastAsia="仿宋_GB2312"/>
                      <w:sz w:val="24"/>
                      <w:color w:val="0000FF"/>
                    </w:rPr>
                    <w:t>200A、320A参数：icu≥50kA;ics≥37.</w:t>
                  </w:r>
                  <w:r>
                    <w:rPr>
                      <w:rFonts w:ascii="仿宋_GB2312" w:hAnsi="仿宋_GB2312" w:cs="仿宋_GB2312" w:eastAsia="仿宋_GB2312"/>
                      <w:sz w:val="24"/>
                      <w:color w:val="0000FF"/>
                    </w:rPr>
                    <w:t>5</w:t>
                  </w:r>
                  <w:r>
                    <w:rPr>
                      <w:rFonts w:ascii="仿宋_GB2312" w:hAnsi="仿宋_GB2312" w:cs="仿宋_GB2312" w:eastAsia="仿宋_GB2312"/>
                      <w:sz w:val="24"/>
                      <w:color w:val="0000FF"/>
                    </w:rPr>
                    <w:t>kA；icw≥35kA</w:t>
                  </w:r>
                  <w:r>
                    <w:br/>
                  </w:r>
                  <w:r>
                    <w:rPr>
                      <w:rFonts w:ascii="仿宋_GB2312" w:hAnsi="仿宋_GB2312" w:cs="仿宋_GB2312" w:eastAsia="仿宋_GB2312"/>
                      <w:sz w:val="24"/>
                      <w:color w:val="0000FF"/>
                    </w:rPr>
                    <w:t>;630A参数：icu≥70kA;ics≥52.5kA;icw≥50kA;</w:t>
                  </w:r>
                  <w:r>
                    <w:br/>
                  </w:r>
                  <w:r>
                    <w:rPr>
                      <w:rFonts w:ascii="仿宋_GB2312" w:hAnsi="仿宋_GB2312" w:cs="仿宋_GB2312" w:eastAsia="仿宋_GB2312"/>
                      <w:sz w:val="24"/>
                      <w:color w:val="0000FF"/>
                    </w:rPr>
                    <w:t>1000A参数：icu≥70kA;ics=icu；icw≥65kA;</w:t>
                  </w:r>
                  <w:r>
                    <w:br/>
                  </w:r>
                  <w:r>
                    <w:rPr>
                      <w:rFonts w:ascii="仿宋_GB2312" w:hAnsi="仿宋_GB2312" w:cs="仿宋_GB2312" w:eastAsia="仿宋_GB2312"/>
                      <w:sz w:val="24"/>
                      <w:color w:val="0000FF"/>
                    </w:rPr>
                    <w:t>控制器需具备四段保护</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低压柜</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台</w:t>
                  </w:r>
                </w:p>
              </w:tc>
              <w:tc>
                <w:tcPr>
                  <w:tcW w:type="dxa" w:w="1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框架主型材钢板厚度</w:t>
                  </w:r>
                  <w:r>
                    <w:rPr>
                      <w:rFonts w:ascii="仿宋_GB2312" w:hAnsi="仿宋_GB2312" w:cs="仿宋_GB2312" w:eastAsia="仿宋_GB2312"/>
                      <w:sz w:val="24"/>
                      <w:color w:val="0000FF"/>
                    </w:rPr>
                    <w:t>≥2.0mm，门板、侧板≥1.5mm；冷轧钢板酸洗磷化+静电环氧喷塑，涂层均匀耐腐蚀。</w:t>
                  </w:r>
                  <w:r>
                    <w:rPr>
                      <w:rFonts w:ascii="仿宋_GB2312" w:hAnsi="仿宋_GB2312" w:cs="仿宋_GB2312" w:eastAsia="仿宋_GB2312"/>
                      <w:sz w:val="24"/>
                      <w:color w:val="0000FF"/>
                    </w:rPr>
                    <w:t>柜体尺寸根据现场实际安装需求确认</w:t>
                  </w:r>
                </w:p>
              </w:tc>
            </w:tr>
          </w:tbl>
          <w:p>
            <w:pPr>
              <w:pStyle w:val="null3"/>
              <w:ind w:firstLine="482"/>
              <w:jc w:val="both"/>
            </w:pPr>
            <w:r>
              <w:rPr>
                <w:rFonts w:ascii="仿宋_GB2312" w:hAnsi="仿宋_GB2312" w:cs="仿宋_GB2312" w:eastAsia="仿宋_GB2312"/>
                <w:sz w:val="24"/>
                <w:b/>
                <w:color w:val="0000FF"/>
              </w:rPr>
              <w:t>说明：供应商拟投入使用的材料、设备须</w:t>
            </w:r>
            <w:r>
              <w:rPr>
                <w:rFonts w:ascii="仿宋_GB2312" w:hAnsi="仿宋_GB2312" w:cs="仿宋_GB2312" w:eastAsia="仿宋_GB2312"/>
                <w:sz w:val="24"/>
                <w:b/>
                <w:color w:val="0000FF"/>
              </w:rPr>
              <w:t>满足</w:t>
            </w:r>
            <w:r>
              <w:rPr>
                <w:rFonts w:ascii="仿宋_GB2312" w:hAnsi="仿宋_GB2312" w:cs="仿宋_GB2312" w:eastAsia="仿宋_GB2312"/>
                <w:sz w:val="24"/>
                <w:b/>
                <w:color w:val="0000FF"/>
              </w:rPr>
              <w:t>上述同</w:t>
            </w:r>
            <w:r>
              <w:rPr>
                <w:rFonts w:ascii="仿宋_GB2312" w:hAnsi="仿宋_GB2312" w:cs="仿宋_GB2312" w:eastAsia="仿宋_GB2312"/>
                <w:sz w:val="24"/>
                <w:b/>
                <w:color w:val="0000FF"/>
              </w:rPr>
              <w:t>技术参数要求</w:t>
            </w:r>
            <w:r>
              <w:rPr>
                <w:rFonts w:ascii="仿宋_GB2312" w:hAnsi="仿宋_GB2312" w:cs="仿宋_GB2312" w:eastAsia="仿宋_GB2312"/>
                <w:sz w:val="24"/>
                <w:b/>
                <w:color w:val="0000FF"/>
              </w:rPr>
              <w:t>。在施工过程中成交供应商若提出性能、质量、品质、实力等同于或高于投标时的选定的产品或厂家时，必须经采购人书面同意，但由此增加的费用由供应商自行承担。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color w:val="0000FF"/>
              </w:rPr>
              <w:t>六</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商务要求</w:t>
            </w:r>
          </w:p>
          <w:p>
            <w:pPr>
              <w:pStyle w:val="null3"/>
              <w:ind w:firstLine="482"/>
              <w:jc w:val="both"/>
            </w:pPr>
            <w:r>
              <w:rPr>
                <w:rFonts w:ascii="仿宋_GB2312" w:hAnsi="仿宋_GB2312" w:cs="仿宋_GB2312" w:eastAsia="仿宋_GB2312"/>
                <w:sz w:val="24"/>
                <w:b/>
                <w:color w:val="0000FF"/>
              </w:rPr>
              <w:t>（一）工期</w:t>
            </w:r>
            <w:r>
              <w:rPr>
                <w:rFonts w:ascii="仿宋_GB2312" w:hAnsi="仿宋_GB2312" w:cs="仿宋_GB2312" w:eastAsia="仿宋_GB2312"/>
                <w:sz w:val="24"/>
                <w:b/>
                <w:color w:val="0000FF"/>
              </w:rPr>
              <w:t>；</w:t>
            </w:r>
            <w:r>
              <w:rPr>
                <w:rFonts w:ascii="仿宋_GB2312" w:hAnsi="仿宋_GB2312" w:cs="仿宋_GB2312" w:eastAsia="仿宋_GB2312"/>
                <w:sz w:val="24"/>
                <w:color w:val="0000FF"/>
              </w:rPr>
              <w:t>自接到采购人开工通知之日起</w:t>
            </w:r>
            <w:r>
              <w:rPr>
                <w:rFonts w:ascii="仿宋_GB2312" w:hAnsi="仿宋_GB2312" w:cs="仿宋_GB2312" w:eastAsia="仿宋_GB2312"/>
                <w:sz w:val="24"/>
                <w:color w:val="0000FF"/>
              </w:rPr>
              <w:t>30</w:t>
            </w:r>
            <w:r>
              <w:rPr>
                <w:rFonts w:ascii="仿宋_GB2312" w:hAnsi="仿宋_GB2312" w:cs="仿宋_GB2312" w:eastAsia="仿宋_GB2312"/>
                <w:sz w:val="24"/>
                <w:color w:val="0000FF"/>
              </w:rPr>
              <w:t>个日历天</w:t>
            </w:r>
            <w:r>
              <w:rPr>
                <w:rFonts w:ascii="仿宋_GB2312" w:hAnsi="仿宋_GB2312" w:cs="仿宋_GB2312" w:eastAsia="仿宋_GB2312"/>
                <w:sz w:val="24"/>
                <w:color w:val="0000FF"/>
              </w:rPr>
              <w:t>，具体以具体以</w:t>
            </w:r>
            <w:r>
              <w:rPr>
                <w:rFonts w:ascii="仿宋_GB2312" w:hAnsi="仿宋_GB2312" w:cs="仿宋_GB2312" w:eastAsia="仿宋_GB2312"/>
                <w:sz w:val="24"/>
                <w:color w:val="0000FF"/>
              </w:rPr>
              <w:t>采购人</w:t>
            </w:r>
            <w:r>
              <w:rPr>
                <w:rFonts w:ascii="仿宋_GB2312" w:hAnsi="仿宋_GB2312" w:cs="仿宋_GB2312" w:eastAsia="仿宋_GB2312"/>
                <w:sz w:val="24"/>
                <w:color w:val="0000FF"/>
              </w:rPr>
              <w:t>开工令为准</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（二）工程地点</w:t>
            </w:r>
            <w:r>
              <w:rPr>
                <w:rFonts w:ascii="仿宋_GB2312" w:hAnsi="仿宋_GB2312" w:cs="仿宋_GB2312" w:eastAsia="仿宋_GB2312"/>
                <w:sz w:val="24"/>
                <w:color w:val="0000FF"/>
              </w:rPr>
              <w:t>：西安建筑科技大学雁塔校区北院</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（三）质量要求</w:t>
            </w:r>
            <w:r>
              <w:rPr>
                <w:rFonts w:ascii="仿宋_GB2312" w:hAnsi="仿宋_GB2312" w:cs="仿宋_GB2312" w:eastAsia="仿宋_GB2312"/>
                <w:sz w:val="24"/>
                <w:color w:val="0000FF"/>
              </w:rPr>
              <w:t>：</w:t>
            </w:r>
            <w:r>
              <w:rPr>
                <w:rFonts w:ascii="仿宋_GB2312" w:hAnsi="仿宋_GB2312" w:cs="仿宋_GB2312" w:eastAsia="仿宋_GB2312"/>
                <w:sz w:val="24"/>
                <w:color w:val="0000FF"/>
              </w:rPr>
              <w:t>符合采购要求及国家、省、市、行业供配电相关安装规范，质量验收合格</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（四）付款方式：</w:t>
            </w:r>
          </w:p>
          <w:p>
            <w:pPr>
              <w:pStyle w:val="null3"/>
              <w:ind w:firstLine="480"/>
              <w:jc w:val="both"/>
            </w:pPr>
            <w:r>
              <w:rPr>
                <w:rFonts w:ascii="仿宋_GB2312" w:hAnsi="仿宋_GB2312" w:cs="仿宋_GB2312" w:eastAsia="仿宋_GB2312"/>
                <w:sz w:val="24"/>
                <w:color w:val="0000FF"/>
              </w:rPr>
              <w:t>工程竣工验收合格后经甲方审计部门或其委托有工程造价咨询资质的机构审定结算，并向甲方缴纳施工水电费后，支付全部审定工程款。</w:t>
            </w:r>
          </w:p>
          <w:p>
            <w:pPr>
              <w:pStyle w:val="null3"/>
              <w:ind w:firstLine="482"/>
              <w:jc w:val="both"/>
            </w:pPr>
            <w:r>
              <w:rPr>
                <w:rFonts w:ascii="仿宋_GB2312" w:hAnsi="仿宋_GB2312" w:cs="仿宋_GB2312" w:eastAsia="仿宋_GB2312"/>
                <w:sz w:val="24"/>
                <w:b/>
                <w:color w:val="0000FF"/>
              </w:rPr>
              <w:t>（五）质量保证期</w:t>
            </w:r>
            <w:r>
              <w:rPr>
                <w:rFonts w:ascii="仿宋_GB2312" w:hAnsi="仿宋_GB2312" w:cs="仿宋_GB2312" w:eastAsia="仿宋_GB2312"/>
                <w:sz w:val="24"/>
                <w:b/>
                <w:color w:val="0000FF"/>
              </w:rPr>
              <w:t>及保修要求</w:t>
            </w:r>
          </w:p>
          <w:p>
            <w:pPr>
              <w:pStyle w:val="null3"/>
              <w:ind w:firstLine="480"/>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质量保证期</w:t>
            </w:r>
            <w:r>
              <w:rPr>
                <w:rFonts w:ascii="仿宋_GB2312" w:hAnsi="仿宋_GB2312" w:cs="仿宋_GB2312" w:eastAsia="仿宋_GB2312"/>
                <w:sz w:val="24"/>
                <w:color w:val="0000FF"/>
              </w:rPr>
              <w:t>：</w:t>
            </w:r>
            <w:r>
              <w:rPr>
                <w:rFonts w:ascii="仿宋_GB2312" w:hAnsi="仿宋_GB2312" w:cs="仿宋_GB2312" w:eastAsia="仿宋_GB2312"/>
                <w:sz w:val="24"/>
                <w:color w:val="0000FF"/>
              </w:rPr>
              <w:t>自</w:t>
            </w:r>
            <w:r>
              <w:rPr>
                <w:rFonts w:ascii="仿宋_GB2312" w:hAnsi="仿宋_GB2312" w:cs="仿宋_GB2312" w:eastAsia="仿宋_GB2312"/>
                <w:sz w:val="24"/>
                <w:color w:val="0000FF"/>
              </w:rPr>
              <w:t>本项目竣工验收合格通过之日起</w:t>
            </w:r>
            <w:r>
              <w:rPr>
                <w:rFonts w:ascii="仿宋_GB2312" w:hAnsi="仿宋_GB2312" w:cs="仿宋_GB2312" w:eastAsia="仿宋_GB2312"/>
                <w:sz w:val="24"/>
                <w:color w:val="0000FF"/>
              </w:rPr>
              <w:t>2</w:t>
            </w:r>
            <w:r>
              <w:rPr>
                <w:rFonts w:ascii="仿宋_GB2312" w:hAnsi="仿宋_GB2312" w:cs="仿宋_GB2312" w:eastAsia="仿宋_GB2312"/>
                <w:sz w:val="24"/>
                <w:color w:val="0000FF"/>
              </w:rPr>
              <w:t>年。</w:t>
            </w:r>
          </w:p>
          <w:p>
            <w:pPr>
              <w:pStyle w:val="null3"/>
              <w:ind w:firstLine="480"/>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保修要求：属于保修范围和内容的项目，承包人应在接到维修通知后，</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 天内派人维修</w:t>
            </w:r>
            <w:r>
              <w:rPr>
                <w:rFonts w:ascii="仿宋_GB2312" w:hAnsi="仿宋_GB2312" w:cs="仿宋_GB2312" w:eastAsia="仿宋_GB2312"/>
                <w:sz w:val="24"/>
                <w:color w:val="0000FF"/>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符合采购要求及国家、省、市、行业供配电相关安装规范，质量验收合格。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按照磋商文件中规定的时间及地点前往项目地点踏勘，以充分了解工地位置、情况、道路、储存空间、装卸限制及任何其他足以影响响应报价的情况，供应商因忽视或误解工地情况而导致的其提出的任何索赔、价款调整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等有明确要求的，不得变更相关要求，使用前应当由采购人认质确认后方可投入使用。工程施工完毕后需对施工场地进行保洁，保洁标准达到采购人要求。 4.本项目工程量清单是依据《陕西省建设工程工程量清单计价标准》(DB 61/T 5126-2025)、《陕西省房屋建筑与装饰工程工程量计算标准》(DB 61/T 5129-2025)、《陕西省通用安装工程工程量清单计算标准》(DB 61/T 5130-2025)、《陕西省建设工程费用规则》（2025）、《陕西省建设工程施工机械台班费用定额》（2025）、《陕西省建设工程施工仪器仪表台班费用定额》（2025）、《陕西省房屋建筑与装饰工程消耗量定额》（2025）、《陕西省通用安装工程消耗量定额》（2025）《陕西省房屋建筑与装饰工程基价表》（2025）、《陕西省通用安装工程基价表》（2025）等现行陕西省工程建设标准的规定计算规则进行编制的；供应商中标后，若出现磋商文件中工程量清单描述与图纸不符等问题时，此部分工程量清单项的全费用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3.本项目成交供应商须在领取中标（成交）通知书同一时间向采购代理机 构提供响应文件（应与政府采购电子化交易平台上传的响应文件完全一致）正本1份、副本1份。 4.结算时，依据采购人审定的工程量，按实际发生量据实结算，工程价款结算时依据最终价款和一次报价的下浮比例执行。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供应商提供自2025年7月至今已缴纳的至少一个月纳税证明或完税证明，依法免税的单位应提供相关证明材料；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资质要求：供应商应具备建设行政主管部门颁发的电力工程施工总承包三级（含）以上资质或输变电工程专业承包三级（含）以上资质；同时具备合法有效的《承装（修、试）电力设施许可证》三级（含）以上（许可类别须同时包含承装类、承修类、承试类）；并具备有效的安全生产许可证，并在人员、设备、资金等方面具备相应的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供应商拟派项目经理须具备合法有效的机电工程专业注册建造师二级（含）以上执业资格，同时具备有效的安全生产考核合格证书（安全B证），在本单位注册且无在建工程；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已标价工程量清单 质量管理体系与保证措施.docx 确保安全生产、文明施工的技术组织措施及环境保护措施.docx 中小企业声明函 对项目整体理解及施工方案.docx 服务承诺.docx 企业业绩.docx 技术服务合同条款及其他商务要求应答表 主要材料品质、价格表.docx 项目经理社保.docx 工程进度计划与保证措施.docx 响应文件封面 残疾人福利性单位声明函 法定代表人证明书及授权书.docx 报价函 标的清单 资格证明材料.docx 响应函 项目人员组成.docx 拟派项目经理业绩.docx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项目经理社保.docx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主要材料品质、价格表1</w:t>
            </w:r>
          </w:p>
        </w:tc>
        <w:tc>
          <w:tcPr>
            <w:tcW w:type="dxa" w:w="2492"/>
          </w:tcPr>
          <w:p>
            <w:pPr>
              <w:pStyle w:val="null3"/>
            </w:pPr>
            <w:r>
              <w:rPr>
                <w:rFonts w:ascii="仿宋_GB2312" w:hAnsi="仿宋_GB2312" w:cs="仿宋_GB2312" w:eastAsia="仿宋_GB2312"/>
              </w:rPr>
              <w:t>1.供应商针对本项目提供的主要材料品质、参数及规格、价格完整，无缺漏项的得3分。未提供或提供不全或拟投主要材料品质不明确的本项不得分。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主要材料品质、价格表2</w:t>
            </w:r>
          </w:p>
        </w:tc>
        <w:tc>
          <w:tcPr>
            <w:tcW w:type="dxa" w:w="2492"/>
          </w:tcPr>
          <w:p>
            <w:pPr>
              <w:pStyle w:val="null3"/>
            </w:pPr>
            <w:r>
              <w:rPr>
                <w:rFonts w:ascii="仿宋_GB2312" w:hAnsi="仿宋_GB2312" w:cs="仿宋_GB2312" w:eastAsia="仿宋_GB2312"/>
              </w:rPr>
              <w:t>2.根据供应商针对本项目拟投入主要材料品质的产品选型情况及证明材料进行评审： 主要材料品质完全符合项目要求，与本次项目契合度高，相关证明材料完整、清晰的得5分； 主要材料品质符合项目要求，材料品质与本次项目契合度较高，相关证明材料较完整、清晰的得4分； 主要材料品质基本符合项目要求，材料品质与本次项目契合度较低，相关证明材料部分缺失或不够清晰的得3分； 主要材料品质基本符合项目要求，材料品质与本次项目契合度低，相关证明材料严重缺失的得2分； 主要材料品质与本项目契合度低，相关证明材料简单、粗略，缺漏严重的得1分；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提供供应商2023年6月1日至今(以合同签订日期为准)类似业绩证明材料，每份业绩计1分，满分4分。 备注：类似业绩是指建筑装修装饰工程业绩或包含建筑装修装饰工程内容的业绩，时间以合同签订时间所体现的时间为准。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详见附件：项目经理社保.docx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详见附件：质量管理体系与保证措施.docx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