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A3DA9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20" w:lineRule="auto"/>
        <w:jc w:val="center"/>
        <w:textAlignment w:val="auto"/>
        <w:rPr>
          <w:rFonts w:hint="default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</w:pPr>
      <w:bookmarkStart w:id="0" w:name="_GoBack"/>
      <w:r>
        <w:rPr>
          <w:rFonts w:hint="default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  <w:t>对项目整体理解及施工方案</w:t>
      </w:r>
    </w:p>
    <w:bookmarkEnd w:id="0"/>
    <w:p w14:paraId="57C8905C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供应商应根据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文件“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第三章  技术标准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及要求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及“第六章  磋商办法”编制</w:t>
      </w:r>
      <w:r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对项目整体理解及施工方案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B894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2026-07-09T08:58:20Z</dcterms:created>
  <dc:creator>Administrator</dc:creator>
  <cp:lastModifiedBy>开瑞</cp:lastModifiedBy>
  <dcterms:modified xsi:type="dcterms:W3CDTF">2026-07-09T08:58:28Z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1C46D1AD415742889962B4CEE9E0B8B0_12</vt:lpwstr>
  </property>
</Properties>
</file>