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5155C">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789FDF68">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15CDD88A">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2C047561">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西安建筑科技大学</w:t>
      </w:r>
    </w:p>
    <w:p w14:paraId="6E7D9B1C">
      <w:pPr>
        <w:pageBreakBefore w:val="0"/>
        <w:kinsoku/>
        <w:overflowPunct/>
        <w:topLinePunct w:val="0"/>
        <w:autoSpaceDE/>
        <w:autoSpaceDN/>
        <w:bidi w:val="0"/>
        <w:spacing w:before="0" w:beforeAutospacing="0" w:after="0" w:afterAutospacing="0"/>
        <w:jc w:val="center"/>
        <w:rPr>
          <w:rFonts w:hint="eastAsia"/>
          <w:color w:val="auto"/>
          <w:highlight w:val="none"/>
          <w:lang w:val="en-US" w:eastAsia="zh-CN"/>
        </w:rPr>
      </w:pPr>
      <w:r>
        <w:rPr>
          <w:rFonts w:hint="eastAsia" w:ascii="宋体"/>
          <w:b/>
          <w:bCs/>
          <w:color w:val="auto"/>
          <w:sz w:val="40"/>
          <w:szCs w:val="40"/>
          <w:highlight w:val="none"/>
          <w:lang w:eastAsia="zh-CN"/>
        </w:rPr>
        <w:t>冶金楼实验室电路改造项目</w:t>
      </w:r>
    </w:p>
    <w:p w14:paraId="226A2C99">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7D12BF3B">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2DE59A9D">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2020C0BE">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86870ED">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5BDDD12">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181DD2E7">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4552357F">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5868D4D3">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71EE82BB">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2B17EA4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2519D8C9">
      <w:pPr>
        <w:pageBreakBefore w:val="0"/>
        <w:kinsoku/>
        <w:overflowPunct/>
        <w:topLinePunct w:val="0"/>
        <w:autoSpaceDE/>
        <w:autoSpaceDN/>
        <w:bidi w:val="0"/>
        <w:spacing w:before="0" w:beforeAutospacing="0" w:after="0" w:afterAutospacing="0"/>
        <w:rPr>
          <w:rFonts w:hint="eastAsia"/>
          <w:color w:val="auto"/>
          <w:highlight w:val="none"/>
        </w:rPr>
      </w:pPr>
    </w:p>
    <w:p w14:paraId="154A84D0">
      <w:pPr>
        <w:pageBreakBefore w:val="0"/>
        <w:kinsoku/>
        <w:overflowPunct/>
        <w:topLinePunct w:val="0"/>
        <w:autoSpaceDE/>
        <w:autoSpaceDN/>
        <w:bidi w:val="0"/>
        <w:spacing w:before="0" w:beforeAutospacing="0" w:after="0" w:afterAutospacing="0"/>
        <w:rPr>
          <w:rFonts w:hint="eastAsia"/>
          <w:color w:val="auto"/>
          <w:highlight w:val="none"/>
        </w:rPr>
      </w:pPr>
    </w:p>
    <w:p w14:paraId="52F1BB47">
      <w:pPr>
        <w:pageBreakBefore w:val="0"/>
        <w:kinsoku/>
        <w:overflowPunct/>
        <w:topLinePunct w:val="0"/>
        <w:autoSpaceDE/>
        <w:autoSpaceDN/>
        <w:bidi w:val="0"/>
        <w:spacing w:before="0" w:beforeAutospacing="0" w:after="0" w:afterAutospacing="0"/>
        <w:rPr>
          <w:rFonts w:hint="eastAsia"/>
          <w:color w:val="auto"/>
          <w:highlight w:val="none"/>
        </w:rPr>
      </w:pPr>
    </w:p>
    <w:p w14:paraId="360BF732">
      <w:pPr>
        <w:pageBreakBefore w:val="0"/>
        <w:kinsoku/>
        <w:overflowPunct/>
        <w:topLinePunct w:val="0"/>
        <w:autoSpaceDE/>
        <w:autoSpaceDN/>
        <w:bidi w:val="0"/>
        <w:spacing w:before="0" w:beforeAutospacing="0" w:after="0" w:afterAutospacing="0"/>
        <w:rPr>
          <w:rFonts w:hint="eastAsia"/>
          <w:color w:val="auto"/>
          <w:highlight w:val="none"/>
        </w:rPr>
      </w:pPr>
    </w:p>
    <w:p w14:paraId="0CECBAE6">
      <w:pPr>
        <w:pageBreakBefore w:val="0"/>
        <w:kinsoku/>
        <w:overflowPunct/>
        <w:topLinePunct w:val="0"/>
        <w:autoSpaceDE/>
        <w:autoSpaceDN/>
        <w:bidi w:val="0"/>
        <w:spacing w:before="0" w:beforeAutospacing="0" w:after="0" w:afterAutospacing="0"/>
        <w:rPr>
          <w:rFonts w:hint="eastAsia"/>
          <w:color w:val="auto"/>
          <w:highlight w:val="none"/>
        </w:rPr>
      </w:pPr>
    </w:p>
    <w:p w14:paraId="57AB6EF3">
      <w:pPr>
        <w:pageBreakBefore w:val="0"/>
        <w:kinsoku/>
        <w:overflowPunct/>
        <w:topLinePunct w:val="0"/>
        <w:autoSpaceDE/>
        <w:autoSpaceDN/>
        <w:bidi w:val="0"/>
        <w:spacing w:before="0" w:beforeAutospacing="0" w:after="0" w:afterAutospacing="0"/>
        <w:rPr>
          <w:rFonts w:hint="eastAsia"/>
          <w:color w:val="auto"/>
          <w:highlight w:val="none"/>
        </w:rPr>
      </w:pPr>
    </w:p>
    <w:p w14:paraId="35291F15">
      <w:pPr>
        <w:pageBreakBefore w:val="0"/>
        <w:kinsoku/>
        <w:overflowPunct/>
        <w:topLinePunct w:val="0"/>
        <w:autoSpaceDE/>
        <w:autoSpaceDN/>
        <w:bidi w:val="0"/>
        <w:spacing w:before="0" w:beforeAutospacing="0" w:after="0" w:afterAutospacing="0"/>
        <w:rPr>
          <w:rFonts w:hint="eastAsia"/>
          <w:color w:val="auto"/>
          <w:highlight w:val="none"/>
        </w:rPr>
      </w:pPr>
    </w:p>
    <w:p w14:paraId="6D15A103">
      <w:pPr>
        <w:pageBreakBefore w:val="0"/>
        <w:kinsoku/>
        <w:overflowPunct/>
        <w:topLinePunct w:val="0"/>
        <w:autoSpaceDE/>
        <w:autoSpaceDN/>
        <w:bidi w:val="0"/>
        <w:spacing w:before="0" w:beforeAutospacing="0" w:after="0" w:afterAutospacing="0"/>
        <w:rPr>
          <w:rFonts w:hint="eastAsia"/>
          <w:color w:val="auto"/>
          <w:highlight w:val="none"/>
        </w:rPr>
      </w:pPr>
    </w:p>
    <w:p w14:paraId="3FDF0E90">
      <w:pPr>
        <w:pageBreakBefore w:val="0"/>
        <w:kinsoku/>
        <w:overflowPunct/>
        <w:topLinePunct w:val="0"/>
        <w:autoSpaceDE/>
        <w:autoSpaceDN/>
        <w:bidi w:val="0"/>
        <w:spacing w:before="0" w:beforeAutospacing="0" w:after="0" w:afterAutospacing="0"/>
        <w:rPr>
          <w:rFonts w:hint="eastAsia"/>
          <w:color w:val="auto"/>
          <w:highlight w:val="none"/>
        </w:rPr>
      </w:pPr>
    </w:p>
    <w:p w14:paraId="04C1E763">
      <w:pPr>
        <w:pageBreakBefore w:val="0"/>
        <w:kinsoku/>
        <w:overflowPunct/>
        <w:topLinePunct w:val="0"/>
        <w:autoSpaceDE/>
        <w:autoSpaceDN/>
        <w:bidi w:val="0"/>
        <w:spacing w:before="0" w:beforeAutospacing="0" w:after="0" w:afterAutospacing="0"/>
        <w:rPr>
          <w:rFonts w:hint="eastAsia"/>
          <w:color w:val="auto"/>
          <w:highlight w:val="none"/>
        </w:rPr>
      </w:pPr>
    </w:p>
    <w:p w14:paraId="738233EC">
      <w:pPr>
        <w:pageBreakBefore w:val="0"/>
        <w:kinsoku/>
        <w:overflowPunct/>
        <w:topLinePunct w:val="0"/>
        <w:autoSpaceDE/>
        <w:autoSpaceDN/>
        <w:bidi w:val="0"/>
        <w:spacing w:before="0" w:beforeAutospacing="0" w:after="0" w:afterAutospacing="0"/>
        <w:rPr>
          <w:rFonts w:hint="eastAsia"/>
          <w:color w:val="auto"/>
          <w:highlight w:val="none"/>
        </w:rPr>
      </w:pPr>
    </w:p>
    <w:p w14:paraId="069D8533">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5CDB01B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234EBD84">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4E503D6">
      <w:pPr>
        <w:pStyle w:val="2"/>
        <w:pageBreakBefore w:val="0"/>
        <w:widowControl w:val="0"/>
        <w:kinsoku/>
        <w:wordWrap/>
        <w:overflowPunct/>
        <w:topLinePunct w:val="0"/>
        <w:autoSpaceDE/>
        <w:autoSpaceDN/>
        <w:bidi w:val="0"/>
        <w:spacing w:before="0" w:beforeAutospacing="0" w:after="0" w:afterAutospacing="0" w:line="312" w:lineRule="auto"/>
        <w:textAlignment w:val="auto"/>
        <w:rPr>
          <w:rFonts w:hint="eastAsia"/>
          <w:color w:val="auto"/>
          <w:highlight w:val="none"/>
        </w:rPr>
        <w:sectPr>
          <w:headerReference r:id="rId4" w:type="default"/>
          <w:footerReference r:id="rId5" w:type="default"/>
          <w:pgSz w:w="11960" w:h="16880"/>
          <w:pgMar w:top="1440" w:right="1701" w:bottom="1440" w:left="1701" w:header="850" w:footer="992" w:gutter="0"/>
          <w:pgBorders>
            <w:top w:val="none" w:sz="0" w:space="0"/>
            <w:left w:val="none" w:sz="0" w:space="0"/>
            <w:bottom w:val="none" w:sz="0" w:space="0"/>
            <w:right w:val="none" w:sz="0" w:space="0"/>
          </w:pgBorders>
          <w:pgNumType w:fmt="decimal"/>
          <w:cols w:space="720" w:num="1"/>
        </w:sectPr>
      </w:pPr>
    </w:p>
    <w:p w14:paraId="2FCEE918">
      <w:pPr>
        <w:pStyle w:val="2"/>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第一部分</w:t>
      </w:r>
      <w:r>
        <w:rPr>
          <w:rFonts w:hint="eastAsia"/>
          <w:color w:val="auto"/>
          <w:highlight w:val="none"/>
          <w:lang w:val="en-US" w:eastAsia="zh-CN"/>
        </w:rPr>
        <w:t xml:space="preserve">  </w:t>
      </w:r>
      <w:r>
        <w:rPr>
          <w:rFonts w:hint="eastAsia"/>
          <w:color w:val="auto"/>
          <w:highlight w:val="none"/>
        </w:rPr>
        <w:t>协议书</w:t>
      </w:r>
    </w:p>
    <w:p w14:paraId="3661EEC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甲方（全称）：</w:t>
      </w:r>
      <w:r>
        <w:rPr>
          <w:rFonts w:hint="eastAsia" w:ascii="宋体" w:hAnsi="宋体" w:cs="宋体"/>
          <w:color w:val="auto"/>
          <w:kern w:val="0"/>
          <w:sz w:val="24"/>
          <w:szCs w:val="24"/>
          <w:highlight w:val="none"/>
          <w:u w:val="single"/>
        </w:rPr>
        <w:t xml:space="preserve">  西安建筑科技大学   </w:t>
      </w:r>
    </w:p>
    <w:p w14:paraId="1DAB501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乙方（全称）：</w:t>
      </w:r>
      <w:r>
        <w:rPr>
          <w:rFonts w:hint="eastAsia" w:ascii="宋体" w:hAnsi="宋体" w:cs="宋体"/>
          <w:color w:val="auto"/>
          <w:kern w:val="0"/>
          <w:sz w:val="24"/>
          <w:szCs w:val="24"/>
          <w:highlight w:val="none"/>
          <w:u w:val="single"/>
        </w:rPr>
        <w:t xml:space="preserve">                     </w:t>
      </w:r>
    </w:p>
    <w:p w14:paraId="5C90379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07C0EA3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一、工程概况</w:t>
      </w:r>
    </w:p>
    <w:p w14:paraId="7C8A788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u w:val="single"/>
          <w:lang w:eastAsia="zh-CN"/>
        </w:rPr>
      </w:pPr>
      <w:r>
        <w:rPr>
          <w:rFonts w:hint="eastAsia" w:ascii="宋体" w:hAnsi="宋体" w:cs="宋体"/>
          <w:color w:val="auto"/>
          <w:kern w:val="0"/>
          <w:sz w:val="24"/>
          <w:szCs w:val="24"/>
          <w:highlight w:val="none"/>
        </w:rPr>
        <w:t>工程名称：</w:t>
      </w:r>
      <w:r>
        <w:rPr>
          <w:rFonts w:hint="eastAsia" w:ascii="宋体" w:hAnsi="宋体" w:cs="宋体"/>
          <w:color w:val="auto"/>
          <w:kern w:val="0"/>
          <w:sz w:val="24"/>
          <w:szCs w:val="24"/>
          <w:highlight w:val="none"/>
          <w:u w:val="single"/>
          <w:lang w:eastAsia="zh-CN"/>
        </w:rPr>
        <w:t>西安建筑科技大学冶金楼实验室电路改造项目</w:t>
      </w:r>
    </w:p>
    <w:p w14:paraId="3F49138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工程地点：</w:t>
      </w:r>
      <w:r>
        <w:rPr>
          <w:rFonts w:hint="eastAsia" w:ascii="宋体" w:hAnsi="宋体" w:cs="宋体"/>
          <w:color w:val="auto"/>
          <w:kern w:val="0"/>
          <w:sz w:val="24"/>
          <w:szCs w:val="24"/>
          <w:highlight w:val="none"/>
          <w:u w:val="single"/>
          <w:lang w:eastAsia="zh-CN"/>
        </w:rPr>
        <w:t>西安建筑科技大学雁塔校区北院</w:t>
      </w:r>
    </w:p>
    <w:p w14:paraId="44A809E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二、工程承包范围</w:t>
      </w:r>
    </w:p>
    <w:p w14:paraId="3A639F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承包范围：</w:t>
      </w:r>
      <w:r>
        <w:rPr>
          <w:rFonts w:hint="eastAsia" w:ascii="宋体" w:hAnsi="宋体" w:cs="宋体"/>
          <w:color w:val="auto"/>
          <w:kern w:val="0"/>
          <w:sz w:val="24"/>
          <w:szCs w:val="24"/>
          <w:highlight w:val="none"/>
          <w:u w:val="single"/>
          <w:lang w:val="en-US" w:eastAsia="zh-CN"/>
        </w:rPr>
        <w:t>包工包料</w:t>
      </w:r>
    </w:p>
    <w:p w14:paraId="4AC6E9D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三、合同工期</w:t>
      </w:r>
      <w:r>
        <w:rPr>
          <w:rFonts w:hint="eastAsia" w:ascii="宋体" w:hAnsi="宋体" w:cs="宋体"/>
          <w:b/>
          <w:color w:val="auto"/>
          <w:kern w:val="0"/>
          <w:sz w:val="24"/>
          <w:highlight w:val="none"/>
          <w:lang w:val="en-US" w:eastAsia="zh-CN"/>
        </w:rPr>
        <w:t>及履约保证金</w:t>
      </w:r>
    </w:p>
    <w:p w14:paraId="08D72CE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总日历天数</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天</w:t>
      </w:r>
    </w:p>
    <w:p w14:paraId="129CD20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计划开工日期：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CB152F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计划竣工日期：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3A0E5D2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具体开工日期以甲方发出的开工令为准。</w:t>
      </w:r>
    </w:p>
    <w:p w14:paraId="4969B69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2.履约保证金：</w:t>
      </w:r>
      <w:r>
        <w:rPr>
          <w:rFonts w:hint="eastAsia" w:ascii="宋体" w:hAnsi="宋体" w:eastAsia="宋体" w:cs="宋体"/>
          <w:color w:val="auto"/>
          <w:kern w:val="0"/>
          <w:sz w:val="24"/>
          <w:szCs w:val="24"/>
          <w:highlight w:val="none"/>
          <w:u w:val="single"/>
          <w:lang w:val="en-US" w:eastAsia="zh-CN"/>
        </w:rPr>
        <w:t>乙方凭成交通知书向甲方缴纳成交金额的</w:t>
      </w:r>
      <w:r>
        <w:rPr>
          <w:rFonts w:hint="eastAsia" w:ascii="宋体" w:hAnsi="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lang w:val="en-US" w:eastAsia="zh-CN"/>
        </w:rPr>
        <w:t>%作为履约保证金</w:t>
      </w:r>
      <w:r>
        <w:rPr>
          <w:rFonts w:hint="eastAsia" w:ascii="宋体" w:hAnsi="宋体" w:eastAsia="宋体" w:cs="宋体"/>
          <w:color w:val="auto"/>
          <w:kern w:val="0"/>
          <w:sz w:val="24"/>
          <w:szCs w:val="24"/>
          <w:highlight w:val="none"/>
          <w:lang w:val="en-US" w:eastAsia="zh-CN"/>
        </w:rPr>
        <w:t>。</w:t>
      </w:r>
    </w:p>
    <w:p w14:paraId="167BCB5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3" w:firstLineChars="275"/>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四、质量标准</w:t>
      </w:r>
    </w:p>
    <w:p w14:paraId="3822AE6C">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szCs w:val="24"/>
          <w:highlight w:val="none"/>
          <w:u w:val="single"/>
          <w:lang w:eastAsia="zh-CN"/>
        </w:rPr>
      </w:pPr>
      <w:r>
        <w:rPr>
          <w:rFonts w:hint="eastAsia" w:ascii="宋体" w:hAnsi="宋体" w:cs="宋体"/>
          <w:color w:val="auto"/>
          <w:kern w:val="0"/>
          <w:sz w:val="24"/>
          <w:highlight w:val="none"/>
        </w:rPr>
        <w:t>工程质量标准：</w:t>
      </w:r>
      <w:r>
        <w:rPr>
          <w:rFonts w:hint="eastAsia" w:ascii="宋体" w:hAnsi="宋体" w:cs="宋体"/>
          <w:color w:val="auto"/>
          <w:kern w:val="0"/>
          <w:sz w:val="24"/>
          <w:highlight w:val="none"/>
          <w:u w:val="single"/>
        </w:rPr>
        <w:t>工程验收标准执行国家现行的有关规范及标准，本工程质量要求为合格</w:t>
      </w:r>
      <w:r>
        <w:rPr>
          <w:rFonts w:hint="eastAsia" w:ascii="宋体" w:hAnsi="宋体" w:cs="宋体"/>
          <w:color w:val="auto"/>
          <w:kern w:val="0"/>
          <w:sz w:val="24"/>
          <w:szCs w:val="24"/>
          <w:highlight w:val="none"/>
          <w:u w:val="none"/>
          <w:lang w:eastAsia="zh-CN"/>
        </w:rPr>
        <w:t>。</w:t>
      </w:r>
    </w:p>
    <w:p w14:paraId="16AB099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cs="宋体"/>
          <w:b/>
          <w:color w:val="auto"/>
          <w:kern w:val="0"/>
          <w:sz w:val="24"/>
          <w:highlight w:val="none"/>
        </w:rPr>
        <w:t>五、合同总价</w:t>
      </w:r>
    </w:p>
    <w:p w14:paraId="1E8CE46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合同总价</w:t>
      </w:r>
      <w:r>
        <w:rPr>
          <w:rFonts w:hint="eastAsia" w:ascii="宋体" w:hAnsi="宋体" w:cs="宋体"/>
          <w:color w:val="auto"/>
          <w:kern w:val="0"/>
          <w:sz w:val="24"/>
          <w:highlight w:val="none"/>
          <w:lang w:eastAsia="zh-CN"/>
        </w:rPr>
        <w:t>（暂定）</w:t>
      </w:r>
      <w:r>
        <w:rPr>
          <w:rFonts w:hint="eastAsia" w:ascii="宋体" w:hAnsi="宋体" w:cs="宋体"/>
          <w:color w:val="auto"/>
          <w:kern w:val="0"/>
          <w:sz w:val="24"/>
          <w:highlight w:val="none"/>
        </w:rPr>
        <w:t>（大写）：</w:t>
      </w:r>
      <w:r>
        <w:rPr>
          <w:rFonts w:hint="eastAsia" w:ascii="宋体" w:hAnsi="宋体" w:cs="宋体"/>
          <w:color w:val="auto"/>
          <w:kern w:val="0"/>
          <w:sz w:val="24"/>
          <w:highlight w:val="none"/>
          <w:u w:val="single"/>
        </w:rPr>
        <w:t xml:space="preserve">         (人民币)</w:t>
      </w:r>
      <w:r>
        <w:rPr>
          <w:rFonts w:hint="eastAsia" w:ascii="宋体" w:hAnsi="宋体" w:cs="宋体"/>
          <w:color w:val="auto"/>
          <w:kern w:val="0"/>
          <w:sz w:val="24"/>
          <w:highlight w:val="none"/>
        </w:rPr>
        <w:t>，（小写）</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0D1395E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六、组成合同的文件</w:t>
      </w:r>
    </w:p>
    <w:p w14:paraId="2D62FDB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组成本合同的文件包括：</w:t>
      </w:r>
    </w:p>
    <w:p w14:paraId="5D33B03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本合同协议书</w:t>
      </w:r>
    </w:p>
    <w:p w14:paraId="60AB05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本合同专用条款</w:t>
      </w:r>
    </w:p>
    <w:p w14:paraId="1EA64E4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本合同通用条款</w:t>
      </w:r>
    </w:p>
    <w:p w14:paraId="4C71253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成交</w:t>
      </w:r>
      <w:r>
        <w:rPr>
          <w:rFonts w:hint="eastAsia" w:ascii="宋体" w:hAnsi="宋体" w:cs="宋体"/>
          <w:color w:val="auto"/>
          <w:kern w:val="0"/>
          <w:sz w:val="24"/>
          <w:highlight w:val="none"/>
        </w:rPr>
        <w:t>通知书</w:t>
      </w:r>
    </w:p>
    <w:p w14:paraId="6A51886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5.投标书、工程报价单或预算书及其附件</w:t>
      </w:r>
    </w:p>
    <w:p w14:paraId="07D158D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rPr>
        <w:t>文件、答疑纪要及工程量清单</w:t>
      </w:r>
    </w:p>
    <w:p w14:paraId="6EAEBA9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7.图纸</w:t>
      </w:r>
    </w:p>
    <w:p w14:paraId="0BFC015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标准、规范及有关技术文件</w:t>
      </w:r>
    </w:p>
    <w:p w14:paraId="318A1EC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双方为履行本合同的有关洽商、变更等书面协议、文件，视为本合同的组成部分。</w:t>
      </w:r>
    </w:p>
    <w:p w14:paraId="084395C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七、本协议书中有关词语含义与本合同第二部分《通用条款》中赋予的定义相同。</w:t>
      </w:r>
    </w:p>
    <w:p w14:paraId="06ACC62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八、乙方</w:t>
      </w:r>
      <w:r>
        <w:rPr>
          <w:rFonts w:hint="eastAsia" w:ascii="宋体" w:hAnsi="宋体" w:cs="宋体"/>
          <w:b/>
          <w:color w:val="auto"/>
          <w:spacing w:val="8"/>
          <w:kern w:val="0"/>
          <w:sz w:val="24"/>
          <w:highlight w:val="none"/>
        </w:rPr>
        <w:t>按照合同约定进行施工、竣工并在质量保修期内承担工程质量保修责</w:t>
      </w:r>
      <w:r>
        <w:rPr>
          <w:rFonts w:hint="eastAsia" w:ascii="宋体" w:hAnsi="宋体" w:cs="宋体"/>
          <w:b/>
          <w:color w:val="auto"/>
          <w:kern w:val="0"/>
          <w:sz w:val="24"/>
          <w:highlight w:val="none"/>
        </w:rPr>
        <w:t>任。</w:t>
      </w:r>
    </w:p>
    <w:p w14:paraId="310F5E4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九、甲方按照合同约定的期限和方式支付合同价款及其他应当支付的款项。</w:t>
      </w:r>
    </w:p>
    <w:p w14:paraId="5042418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十、合同生效</w:t>
      </w:r>
    </w:p>
    <w:p w14:paraId="135CB8B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合同订立时间：_____年_____月_____日</w:t>
      </w:r>
    </w:p>
    <w:tbl>
      <w:tblPr>
        <w:tblStyle w:val="5"/>
        <w:tblpPr w:leftFromText="180" w:rightFromText="180" w:vertAnchor="text" w:horzAnchor="page" w:tblpX="1777" w:tblpY="108"/>
        <w:tblOverlap w:val="never"/>
        <w:tblW w:w="8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8"/>
        <w:gridCol w:w="4152"/>
      </w:tblGrid>
      <w:tr w14:paraId="653DA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D33D18A">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甲方（盖章）：西安建筑科技大学</w:t>
            </w:r>
          </w:p>
        </w:tc>
        <w:tc>
          <w:tcPr>
            <w:tcW w:w="4152" w:type="dxa"/>
            <w:noWrap w:val="0"/>
            <w:vAlign w:val="center"/>
          </w:tcPr>
          <w:p w14:paraId="0C167780">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乙方（盖章）： </w:t>
            </w:r>
          </w:p>
        </w:tc>
      </w:tr>
      <w:tr w14:paraId="17B82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58450297">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地    址：</w:t>
            </w:r>
            <w:r>
              <w:rPr>
                <w:rFonts w:hint="eastAsia" w:ascii="宋体" w:hAnsi="宋体" w:eastAsia="宋体" w:cs="宋体"/>
                <w:bCs/>
                <w:color w:val="auto"/>
                <w:sz w:val="24"/>
                <w:highlight w:val="none"/>
              </w:rPr>
              <w:t>西安市雁塔路中段13号</w:t>
            </w:r>
          </w:p>
        </w:tc>
        <w:tc>
          <w:tcPr>
            <w:tcW w:w="4152" w:type="dxa"/>
            <w:noWrap w:val="0"/>
            <w:vAlign w:val="center"/>
          </w:tcPr>
          <w:p w14:paraId="6D24AA5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地址： </w:t>
            </w:r>
          </w:p>
        </w:tc>
      </w:tr>
      <w:tr w14:paraId="284C8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B53D7B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c>
          <w:tcPr>
            <w:tcW w:w="4152" w:type="dxa"/>
            <w:noWrap w:val="0"/>
            <w:vAlign w:val="center"/>
          </w:tcPr>
          <w:p w14:paraId="3C1B740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r>
      <w:tr w14:paraId="0164D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3782B9D4">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c>
          <w:tcPr>
            <w:tcW w:w="4152" w:type="dxa"/>
            <w:noWrap w:val="0"/>
            <w:vAlign w:val="center"/>
          </w:tcPr>
          <w:p w14:paraId="368FB20A">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r>
      <w:tr w14:paraId="7A001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31B12005">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名：西安建筑科技大学</w:t>
            </w:r>
          </w:p>
        </w:tc>
        <w:tc>
          <w:tcPr>
            <w:tcW w:w="4152" w:type="dxa"/>
            <w:noWrap w:val="0"/>
            <w:vAlign w:val="center"/>
          </w:tcPr>
          <w:p w14:paraId="32977960">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名： </w:t>
            </w:r>
          </w:p>
        </w:tc>
      </w:tr>
      <w:tr w14:paraId="55C05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30C4E0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行：工行西安雁塔路支行</w:t>
            </w:r>
          </w:p>
        </w:tc>
        <w:tc>
          <w:tcPr>
            <w:tcW w:w="4152" w:type="dxa"/>
            <w:noWrap w:val="0"/>
            <w:vAlign w:val="center"/>
          </w:tcPr>
          <w:p w14:paraId="5EB459B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1200" w:right="0" w:hanging="1200" w:hangingChars="5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行： </w:t>
            </w:r>
          </w:p>
        </w:tc>
      </w:tr>
      <w:tr w14:paraId="0EC67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6AB7978">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帐    号：3700023009026400639</w:t>
            </w:r>
          </w:p>
        </w:tc>
        <w:tc>
          <w:tcPr>
            <w:tcW w:w="4152" w:type="dxa"/>
            <w:noWrap w:val="0"/>
            <w:vAlign w:val="center"/>
          </w:tcPr>
          <w:p w14:paraId="633FF0E6">
            <w:pPr>
              <w:pStyle w:val="7"/>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帐    号：</w:t>
            </w:r>
          </w:p>
        </w:tc>
      </w:tr>
      <w:tr w14:paraId="7004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565AF8A3">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c>
          <w:tcPr>
            <w:tcW w:w="4152" w:type="dxa"/>
            <w:noWrap w:val="0"/>
            <w:vAlign w:val="center"/>
          </w:tcPr>
          <w:p w14:paraId="095B7FFE">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r>
      <w:tr w14:paraId="70DEB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65FDB92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 系 人：</w:t>
            </w:r>
          </w:p>
        </w:tc>
        <w:tc>
          <w:tcPr>
            <w:tcW w:w="4152" w:type="dxa"/>
            <w:noWrap w:val="0"/>
            <w:vAlign w:val="center"/>
          </w:tcPr>
          <w:p w14:paraId="255A410D">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联系人： </w:t>
            </w:r>
          </w:p>
        </w:tc>
      </w:tr>
    </w:tbl>
    <w:p w14:paraId="6DD6E0A8">
      <w:pPr>
        <w:pStyle w:val="2"/>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bCs/>
          <w:color w:val="auto"/>
          <w:kern w:val="0"/>
          <w:szCs w:val="32"/>
          <w:highlight w:val="none"/>
        </w:rPr>
      </w:pPr>
      <w:r>
        <w:rPr>
          <w:rFonts w:hint="eastAsia" w:ascii="宋体" w:hAnsi="宋体" w:cs="宋体"/>
          <w:color w:val="auto"/>
          <w:kern w:val="0"/>
          <w:highlight w:val="none"/>
        </w:rPr>
        <w:br w:type="page"/>
      </w:r>
      <w:r>
        <w:rPr>
          <w:rFonts w:hint="eastAsia"/>
          <w:color w:val="auto"/>
          <w:highlight w:val="none"/>
          <w:lang w:eastAsia="zh-CN"/>
        </w:rPr>
        <w:t>第二部分</w:t>
      </w:r>
      <w:r>
        <w:rPr>
          <w:rFonts w:hint="eastAsia"/>
          <w:color w:val="auto"/>
          <w:highlight w:val="none"/>
          <w:lang w:val="en-US" w:eastAsia="zh-CN"/>
        </w:rPr>
        <w:t xml:space="preserve">  </w:t>
      </w:r>
      <w:r>
        <w:rPr>
          <w:rFonts w:hint="eastAsia"/>
          <w:color w:val="auto"/>
          <w:highlight w:val="none"/>
        </w:rPr>
        <w:t>通用条款</w:t>
      </w:r>
    </w:p>
    <w:p w14:paraId="4DC09FE8">
      <w:pPr>
        <w:pageBreakBefore w:val="0"/>
        <w:kinsoku/>
        <w:overflowPunct/>
        <w:topLinePunct w:val="0"/>
        <w:autoSpaceDE/>
        <w:autoSpaceDN/>
        <w:bidi w:val="0"/>
        <w:adjustRightInd/>
        <w:snapToGrid/>
        <w:spacing w:before="0" w:beforeAutospacing="0" w:after="0" w:afterAutospacing="0" w:line="360" w:lineRule="auto"/>
        <w:textAlignment w:val="auto"/>
        <w:rPr>
          <w:rFonts w:hint="eastAsia"/>
          <w:color w:val="auto"/>
          <w:highlight w:val="none"/>
        </w:rPr>
      </w:pPr>
    </w:p>
    <w:p w14:paraId="5D17186F">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详见《</w:t>
      </w:r>
      <w:r>
        <w:rPr>
          <w:rFonts w:hint="eastAsia" w:ascii="宋体" w:hAnsi="宋体" w:cs="宋体"/>
          <w:bCs/>
          <w:color w:val="auto"/>
          <w:kern w:val="0"/>
          <w:sz w:val="24"/>
          <w:highlight w:val="none"/>
          <w:lang w:val="en-US" w:eastAsia="zh-CN"/>
        </w:rPr>
        <w:t>2017年</w:t>
      </w:r>
      <w:r>
        <w:rPr>
          <w:rFonts w:hint="eastAsia" w:ascii="宋体" w:hAnsi="宋体" w:cs="宋体"/>
          <w:bCs/>
          <w:color w:val="auto"/>
          <w:kern w:val="0"/>
          <w:sz w:val="24"/>
          <w:highlight w:val="none"/>
        </w:rPr>
        <w:t>陕西省建设工程施工合同（示范文本）》“第二部分</w:t>
      </w:r>
      <w:r>
        <w:rPr>
          <w:rFonts w:hint="eastAsia" w:ascii="宋体" w:hAnsi="宋体" w:cs="宋体"/>
          <w:bCs/>
          <w:color w:val="auto"/>
          <w:kern w:val="0"/>
          <w:sz w:val="24"/>
          <w:highlight w:val="none"/>
          <w:lang w:val="en-US" w:eastAsia="zh-CN"/>
        </w:rPr>
        <w:t xml:space="preserve">  </w:t>
      </w:r>
      <w:r>
        <w:rPr>
          <w:rFonts w:hint="eastAsia" w:ascii="宋体" w:hAnsi="宋体" w:cs="宋体"/>
          <w:bCs/>
          <w:color w:val="auto"/>
          <w:kern w:val="0"/>
          <w:sz w:val="24"/>
          <w:highlight w:val="none"/>
        </w:rPr>
        <w:t>通用条款”</w:t>
      </w:r>
    </w:p>
    <w:p w14:paraId="12F704EE">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Cs/>
          <w:color w:val="auto"/>
          <w:kern w:val="0"/>
          <w:sz w:val="24"/>
          <w:highlight w:val="none"/>
          <w:lang w:eastAsia="zh-CN"/>
        </w:rPr>
        <w:sectPr>
          <w:pgSz w:w="11960" w:h="16880"/>
          <w:pgMar w:top="1440" w:right="1701" w:bottom="1440" w:left="1701"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cs="宋体"/>
          <w:bCs/>
          <w:color w:val="auto"/>
          <w:kern w:val="0"/>
          <w:sz w:val="24"/>
          <w:highlight w:val="none"/>
        </w:rPr>
        <w:t>（此处略</w:t>
      </w:r>
      <w:r>
        <w:rPr>
          <w:rFonts w:hint="eastAsia" w:ascii="宋体" w:hAnsi="宋体" w:cs="宋体"/>
          <w:bCs/>
          <w:color w:val="auto"/>
          <w:kern w:val="0"/>
          <w:sz w:val="24"/>
          <w:highlight w:val="none"/>
          <w:lang w:eastAsia="zh-CN"/>
        </w:rPr>
        <w:t>）</w:t>
      </w:r>
    </w:p>
    <w:p w14:paraId="21283D05">
      <w:pPr>
        <w:pStyle w:val="2"/>
        <w:pageBreakBefore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第三部分</w:t>
      </w:r>
      <w:r>
        <w:rPr>
          <w:rFonts w:hint="eastAsia"/>
          <w:color w:val="auto"/>
          <w:highlight w:val="none"/>
          <w:lang w:val="en-US" w:eastAsia="zh-CN"/>
        </w:rPr>
        <w:t xml:space="preserve">  </w:t>
      </w:r>
      <w:r>
        <w:rPr>
          <w:rFonts w:hint="eastAsia"/>
          <w:color w:val="auto"/>
          <w:highlight w:val="none"/>
        </w:rPr>
        <w:t>专用条款</w:t>
      </w:r>
    </w:p>
    <w:p w14:paraId="57DC755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一、合同文件解释顺序</w:t>
      </w:r>
    </w:p>
    <w:p w14:paraId="495CD9C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合同文件组成及解释顺序：</w:t>
      </w:r>
    </w:p>
    <w:p w14:paraId="00A8E6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w:t>
      </w:r>
      <w:r>
        <w:rPr>
          <w:rFonts w:hint="eastAsia" w:ascii="宋体" w:hAnsi="宋体" w:cs="宋体"/>
          <w:color w:val="auto"/>
          <w:kern w:val="0"/>
          <w:sz w:val="24"/>
          <w:highlight w:val="none"/>
          <w:lang w:eastAsia="zh-CN"/>
        </w:rPr>
        <w:t>合同补充协议、变更通知；</w:t>
      </w:r>
    </w:p>
    <w:p w14:paraId="29034BB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zh-CN"/>
        </w:rPr>
        <w:t>合同协议书；</w:t>
      </w:r>
    </w:p>
    <w:p w14:paraId="22F2F00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1.3</w:t>
      </w:r>
      <w:r>
        <w:rPr>
          <w:rFonts w:hint="eastAsia" w:ascii="宋体" w:hAnsi="宋体" w:cs="宋体"/>
          <w:color w:val="auto"/>
          <w:kern w:val="0"/>
          <w:sz w:val="24"/>
          <w:highlight w:val="none"/>
          <w:lang w:eastAsia="zh-CN"/>
        </w:rPr>
        <w:t>合同专用条款；</w:t>
      </w:r>
    </w:p>
    <w:p w14:paraId="7126262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1.4</w:t>
      </w:r>
      <w:r>
        <w:rPr>
          <w:rFonts w:hint="eastAsia" w:ascii="宋体" w:hAnsi="宋体" w:cs="宋体"/>
          <w:color w:val="auto"/>
          <w:kern w:val="0"/>
          <w:sz w:val="24"/>
          <w:highlight w:val="none"/>
          <w:lang w:eastAsia="zh-CN"/>
        </w:rPr>
        <w:t>合同通用条款；</w:t>
      </w:r>
    </w:p>
    <w:p w14:paraId="304046E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lang w:eastAsia="zh-CN"/>
        </w:rPr>
        <w:t>成交通知书；</w:t>
      </w:r>
    </w:p>
    <w:p w14:paraId="41BDB37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lang w:eastAsia="zh-CN"/>
        </w:rPr>
        <w:t>图纸；</w:t>
      </w:r>
    </w:p>
    <w:p w14:paraId="27EB39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1.7</w:t>
      </w:r>
      <w:r>
        <w:rPr>
          <w:rFonts w:hint="eastAsia" w:ascii="宋体" w:hAnsi="宋体" w:cs="宋体"/>
          <w:color w:val="auto"/>
          <w:kern w:val="0"/>
          <w:sz w:val="24"/>
          <w:highlight w:val="none"/>
          <w:lang w:eastAsia="zh-CN"/>
        </w:rPr>
        <w:t>采购文件、答疑纪要及工程量清单；</w:t>
      </w:r>
    </w:p>
    <w:p w14:paraId="07805A8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lang w:eastAsia="zh-CN"/>
        </w:rPr>
        <w:t>采购文件及其附件；</w:t>
      </w:r>
    </w:p>
    <w:p w14:paraId="25F3C79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zh-CN"/>
        </w:rPr>
        <w:t>工程质量保修书；</w:t>
      </w:r>
    </w:p>
    <w:p w14:paraId="276AF0E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1.10</w:t>
      </w:r>
      <w:r>
        <w:rPr>
          <w:rFonts w:hint="eastAsia" w:ascii="宋体" w:hAnsi="宋体" w:cs="宋体"/>
          <w:color w:val="auto"/>
          <w:kern w:val="0"/>
          <w:sz w:val="24"/>
          <w:highlight w:val="none"/>
          <w:lang w:eastAsia="zh-CN"/>
        </w:rPr>
        <w:t>标准、规范及有关技术文件。</w:t>
      </w:r>
    </w:p>
    <w:p w14:paraId="2CBE848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二、双方一般权利和义务</w:t>
      </w:r>
    </w:p>
    <w:p w14:paraId="19D4F1C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工程师</w:t>
      </w:r>
    </w:p>
    <w:p w14:paraId="2D36912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2.1甲方派驻的工程师</w:t>
      </w:r>
    </w:p>
    <w:p w14:paraId="37EFD7E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项目负责人 </w:t>
      </w:r>
    </w:p>
    <w:p w14:paraId="06C3EC4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职权：配合乙方协调施工全过程内外部关系，处理往来文件，对工程进度、质量、造价进行监督管理</w:t>
      </w:r>
    </w:p>
    <w:p w14:paraId="6231957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项目经理</w:t>
      </w:r>
    </w:p>
    <w:p w14:paraId="7E63929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项目经理 </w:t>
      </w:r>
    </w:p>
    <w:p w14:paraId="037F27CB">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3.1</w:t>
      </w:r>
      <w:r>
        <w:rPr>
          <w:rFonts w:hint="eastAsia" w:ascii="宋体" w:hAnsi="宋体" w:cs="宋体"/>
          <w:color w:val="auto"/>
          <w:kern w:val="0"/>
          <w:sz w:val="24"/>
          <w:highlight w:val="none"/>
        </w:rPr>
        <w:t>乙方对项目经理的授权范围：</w:t>
      </w:r>
      <w:r>
        <w:rPr>
          <w:rFonts w:hint="eastAsia" w:ascii="宋体" w:hAnsi="宋体" w:cs="宋体"/>
          <w:color w:val="auto"/>
          <w:kern w:val="0"/>
          <w:sz w:val="24"/>
          <w:highlight w:val="none"/>
          <w:u w:val="single"/>
        </w:rPr>
        <w:t xml:space="preserve"> 按照施工合同和设计文件严格施工，确保安全生产，按期完成和交付合格工程。权限：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1</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参与项目招标、投标和合同签订；</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组建项目管理班子；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指挥工程项目建设的生产经营活动</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7DD1B663">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关于项目经理每月在施工现场的时间要求：不小于工作日的80%。</w:t>
      </w:r>
    </w:p>
    <w:p w14:paraId="6399C39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color w:val="auto"/>
          <w:kern w:val="0"/>
          <w:sz w:val="24"/>
          <w:highlight w:val="none"/>
        </w:rPr>
        <w:t>项目经理未经批准，擅自离开施工现场的违约责任：</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处以5000元/天·人的罚款</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37E9D6D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三、施工组织设计和工期</w:t>
      </w:r>
    </w:p>
    <w:p w14:paraId="331161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进度计划</w:t>
      </w:r>
    </w:p>
    <w:p w14:paraId="13751C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乙方提供施工组织设计（施工方案）和进度计划的时间：按甲方要求。工程师确认的时间：</w:t>
      </w:r>
      <w:r>
        <w:rPr>
          <w:rFonts w:hint="eastAsia" w:ascii="宋体" w:hAnsi="宋体" w:cs="宋体"/>
          <w:color w:val="auto"/>
          <w:kern w:val="0"/>
          <w:sz w:val="24"/>
          <w:highlight w:val="none"/>
          <w:u w:val="single"/>
        </w:rPr>
        <w:t>5日内</w:t>
      </w:r>
      <w:r>
        <w:rPr>
          <w:rFonts w:hint="eastAsia" w:ascii="宋体" w:hAnsi="宋体" w:cs="宋体"/>
          <w:color w:val="auto"/>
          <w:kern w:val="0"/>
          <w:sz w:val="24"/>
          <w:highlight w:val="none"/>
        </w:rPr>
        <w:t>。</w:t>
      </w:r>
    </w:p>
    <w:p w14:paraId="6D890C49">
      <w:pPr>
        <w:pStyle w:val="8"/>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lang w:val="en-US" w:eastAsia="zh-CN"/>
        </w:rPr>
        <w:t>5.</w:t>
      </w:r>
      <w:r>
        <w:rPr>
          <w:rFonts w:hint="eastAsia" w:hAnsi="宋体" w:cs="宋体"/>
          <w:color w:val="auto"/>
          <w:szCs w:val="24"/>
          <w:highlight w:val="none"/>
        </w:rPr>
        <w:t>工期延误</w:t>
      </w:r>
    </w:p>
    <w:p w14:paraId="5368C91C">
      <w:pPr>
        <w:pStyle w:val="8"/>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7E63B78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5.2因乙方原因工期延误除按合同约定处罚外，还应承担其延误工期之后发生的以下相关责任（费用）：</w:t>
      </w:r>
    </w:p>
    <w:p w14:paraId="654F425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（1）国家、省、市颁布政策文件调增工程造价，造价不予调整；调减工程造价的予以调减。</w:t>
      </w:r>
    </w:p>
    <w:p w14:paraId="2069D1C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（2）乙方供应的材料、机械、设备等涨价，造价不予调整。</w:t>
      </w:r>
    </w:p>
    <w:p w14:paraId="03280C6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四、合同价款调整约定</w:t>
      </w:r>
    </w:p>
    <w:p w14:paraId="60B5DF3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合同价款调整约定</w:t>
      </w:r>
    </w:p>
    <w:p w14:paraId="1D2DC066">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本工程工程量清单和设</w:t>
      </w:r>
      <w:r>
        <w:rPr>
          <w:rFonts w:hint="eastAsia" w:ascii="宋体" w:hAnsi="宋体" w:eastAsia="宋体" w:cs="宋体"/>
          <w:bCs/>
          <w:color w:val="auto"/>
          <w:kern w:val="0"/>
          <w:sz w:val="24"/>
          <w:highlight w:val="none"/>
        </w:rPr>
        <w:t>计图纸内的分项及工程量据实结算，工程量清单和设计图纸外的变增项目，由校内相关单位审核后，按实际发生量据实结算；工程价款结算时依据最终价款和一次报价分别扣除暂列金后的下浮比例执行。乙方提</w:t>
      </w:r>
      <w:r>
        <w:rPr>
          <w:rFonts w:hint="eastAsia" w:ascii="宋体" w:hAnsi="宋体" w:cs="宋体"/>
          <w:bCs/>
          <w:color w:val="auto"/>
          <w:kern w:val="0"/>
          <w:sz w:val="24"/>
          <w:highlight w:val="none"/>
        </w:rPr>
        <w:t>供增值税专用发票方可予以报销。</w:t>
      </w:r>
    </w:p>
    <w:p w14:paraId="60EA89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u w:val="none"/>
          <w:lang w:val="en-US" w:eastAsia="zh-CN"/>
        </w:rPr>
        <w:t>6.1</w:t>
      </w:r>
      <w:r>
        <w:rPr>
          <w:rFonts w:hint="eastAsia" w:ascii="宋体" w:hAnsi="宋体" w:cs="宋体"/>
          <w:bCs/>
          <w:color w:val="auto"/>
          <w:kern w:val="0"/>
          <w:sz w:val="24"/>
          <w:highlight w:val="none"/>
          <w:u w:val="single"/>
        </w:rPr>
        <w:t>除暂定材料、设备价格外，其他材料、设备价格工程竣工结算时不再调整；</w:t>
      </w:r>
    </w:p>
    <w:p w14:paraId="1DD5C7B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u w:val="none"/>
          <w:lang w:val="en-US" w:eastAsia="zh-CN"/>
        </w:rPr>
        <w:t>6.2</w:t>
      </w:r>
      <w:r>
        <w:rPr>
          <w:rFonts w:hint="eastAsia" w:ascii="宋体" w:hAnsi="宋体" w:cs="宋体"/>
          <w:bCs/>
          <w:color w:val="auto"/>
          <w:kern w:val="0"/>
          <w:sz w:val="24"/>
          <w:highlight w:val="none"/>
          <w:u w:val="single"/>
        </w:rPr>
        <w:t>遇政策性调整及其他风险费用工程竣工结算时不再调整。</w:t>
      </w:r>
    </w:p>
    <w:p w14:paraId="3F868D3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五、材料设备供应</w:t>
      </w:r>
    </w:p>
    <w:p w14:paraId="13A9D47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乙方采购材料设备的约定：</w:t>
      </w:r>
    </w:p>
    <w:p w14:paraId="419AB06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5559A6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49714CA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7.3乙方采购的材料与设备在使用前，乙方应按甲方的要求进行检验或试验，不合格的不得使用，检验或试验费用由乙方承担。</w:t>
      </w:r>
    </w:p>
    <w:p w14:paraId="0C53BAC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7FAF2C0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0ADACF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7.6对按正常程序已经确认的材料与设备，乙方拒不执行的，甲方有权解除合同。并对乙方按该批材料与设备总价款的10%处罚。</w:t>
      </w:r>
    </w:p>
    <w:p w14:paraId="77C55AC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7.7施工期间需重新进行认质认价对的材料设备采购。需经甲方同意后方可采购。</w:t>
      </w:r>
    </w:p>
    <w:p w14:paraId="6A4FB96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7.8凡需认质认价的材料、设备一经认定，价格不再调整。</w:t>
      </w:r>
    </w:p>
    <w:p w14:paraId="13DAFA1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3FFA645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六、竣工结算</w:t>
      </w:r>
    </w:p>
    <w:p w14:paraId="4B439CD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8、主要结算条款：</w:t>
      </w:r>
    </w:p>
    <w:p w14:paraId="0DD4EBE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8.1分部分项工程量据实结算。</w:t>
      </w:r>
    </w:p>
    <w:p w14:paraId="7E43039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8.2变更签证调整合同价款的方式：</w:t>
      </w:r>
    </w:p>
    <w:p w14:paraId="323BE049">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合同中有相同或类似清单的参照相同或类似清单综合单价。</w:t>
      </w:r>
    </w:p>
    <w:p w14:paraId="3091A71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合同中无相同或类似清单时，参照合同中已有的材料价格或者认质认价价格，按照陕西省《建设工程工程量清单计价标准》DB61/5126-2025文件重新组价，经与建设单位协商后确定。</w:t>
      </w:r>
    </w:p>
    <w:p w14:paraId="1F2EF89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变更产生的新材料或设备经甲方认质认价确认后，依据</w:t>
      </w:r>
      <w:r>
        <w:rPr>
          <w:rFonts w:hint="eastAsia" w:ascii="宋体" w:hAnsi="宋体" w:cs="宋体"/>
          <w:bCs/>
          <w:color w:val="auto"/>
          <w:kern w:val="0"/>
          <w:sz w:val="24"/>
          <w:highlight w:val="none"/>
          <w:lang w:val="en-US" w:eastAsia="zh-CN"/>
        </w:rPr>
        <w:t>陕西省</w:t>
      </w:r>
      <w:r>
        <w:rPr>
          <w:rFonts w:hint="eastAsia" w:ascii="宋体" w:hAnsi="宋体" w:cs="宋体"/>
          <w:bCs/>
          <w:color w:val="auto"/>
          <w:kern w:val="0"/>
          <w:sz w:val="24"/>
          <w:highlight w:val="none"/>
        </w:rPr>
        <w:t>《建设工程工程量清单计价标准》DB61/5126-2025文件重新组价。</w:t>
      </w:r>
    </w:p>
    <w:p w14:paraId="3E00563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9.</w:t>
      </w:r>
      <w:r>
        <w:rPr>
          <w:rFonts w:hint="eastAsia" w:ascii="宋体" w:hAnsi="宋体" w:cs="宋体"/>
          <w:bCs/>
          <w:color w:val="auto"/>
          <w:kern w:val="0"/>
          <w:sz w:val="24"/>
          <w:highlight w:val="none"/>
        </w:rPr>
        <w:t>乙方提供竣工图的约定：竣工验收后20天内，提交竣工图及资料文件肆套。资料必须通过质检站备案要求（甲方原因除外）。若乙方不能按期完整提供归档施工资料，影响双方办理竣工结算时责任自负。</w:t>
      </w:r>
    </w:p>
    <w:p w14:paraId="1263BC7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10.</w:t>
      </w:r>
      <w:r>
        <w:rPr>
          <w:rFonts w:hint="eastAsia" w:ascii="宋体" w:hAnsi="宋体" w:cs="宋体"/>
          <w:bCs/>
          <w:color w:val="auto"/>
          <w:kern w:val="0"/>
          <w:sz w:val="24"/>
          <w:highlight w:val="none"/>
        </w:rPr>
        <w:t>乙方应在工程通过竣工验收后，在20天内向甲方递交竣工结算报告及完整的结算资料（肆份），双方按照协议书约定的合同价款及专用条款约定的合同价款调整内容，进行工程竣工结算。</w:t>
      </w:r>
    </w:p>
    <w:p w14:paraId="25367D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11.</w:t>
      </w:r>
      <w:r>
        <w:rPr>
          <w:rFonts w:hint="eastAsia" w:ascii="宋体" w:hAnsi="宋体" w:cs="宋体"/>
          <w:bCs/>
          <w:color w:val="auto"/>
          <w:kern w:val="0"/>
          <w:sz w:val="24"/>
          <w:highlight w:val="none"/>
        </w:rPr>
        <w:t>工程审定结算完成后，乙方缴纳施工水电费，安装计量表的按表据实计费，未安装计量表的按工程审定结算价的4‰计费。</w:t>
      </w:r>
    </w:p>
    <w:p w14:paraId="2E7080B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12.</w:t>
      </w:r>
      <w:r>
        <w:rPr>
          <w:rFonts w:hint="eastAsia" w:ascii="宋体" w:hAnsi="宋体" w:cs="宋体"/>
          <w:bCs/>
          <w:color w:val="auto"/>
          <w:kern w:val="0"/>
          <w:sz w:val="24"/>
          <w:highlight w:val="none"/>
        </w:rPr>
        <w:t>本工程的工程量据实结算，若乙方报送的原始结算价超出甲方审定结算价的3％，则乙方承担全部审计费，在结算付款时一次性扣除。</w:t>
      </w:r>
    </w:p>
    <w:p w14:paraId="34A728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七、工程款支付及结算</w:t>
      </w:r>
    </w:p>
    <w:p w14:paraId="11484FC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13.</w:t>
      </w:r>
      <w:r>
        <w:rPr>
          <w:rFonts w:hint="eastAsia" w:ascii="宋体" w:hAnsi="宋体" w:cs="宋体"/>
          <w:bCs/>
          <w:color w:val="auto"/>
          <w:kern w:val="0"/>
          <w:sz w:val="24"/>
          <w:highlight w:val="none"/>
        </w:rPr>
        <w:t>支付方式：本工程</w:t>
      </w:r>
      <w:r>
        <w:rPr>
          <w:rFonts w:hint="eastAsia" w:ascii="宋体" w:hAnsi="宋体" w:cs="宋体"/>
          <w:bCs/>
          <w:color w:val="auto"/>
          <w:kern w:val="0"/>
          <w:sz w:val="24"/>
          <w:highlight w:val="none"/>
          <w:lang w:val="en-US" w:eastAsia="zh-CN"/>
        </w:rPr>
        <w:t>分两次</w:t>
      </w:r>
      <w:r>
        <w:rPr>
          <w:rFonts w:hint="eastAsia" w:ascii="宋体" w:hAnsi="宋体" w:cs="宋体"/>
          <w:bCs/>
          <w:color w:val="auto"/>
          <w:kern w:val="0"/>
          <w:sz w:val="24"/>
          <w:highlight w:val="none"/>
        </w:rPr>
        <w:t>支付。</w:t>
      </w:r>
    </w:p>
    <w:p w14:paraId="22BF5F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14.工程预付款及进度款如下：</w:t>
      </w:r>
      <w:r>
        <w:rPr>
          <w:rFonts w:hint="eastAsia" w:ascii="宋体" w:hAnsi="宋体" w:cs="宋体"/>
          <w:bCs/>
          <w:color w:val="auto"/>
          <w:kern w:val="0"/>
          <w:sz w:val="24"/>
          <w:highlight w:val="none"/>
          <w:u w:val="single"/>
          <w:lang w:val="en-US" w:eastAsia="zh-CN"/>
        </w:rPr>
        <w:t>/</w:t>
      </w:r>
      <w:r>
        <w:rPr>
          <w:rFonts w:hint="eastAsia" w:ascii="宋体" w:hAnsi="宋体" w:cs="宋体"/>
          <w:bCs/>
          <w:color w:val="auto"/>
          <w:kern w:val="0"/>
          <w:sz w:val="24"/>
          <w:highlight w:val="none"/>
          <w:lang w:val="en-US" w:eastAsia="zh-CN"/>
        </w:rPr>
        <w:t>。</w:t>
      </w:r>
    </w:p>
    <w:p w14:paraId="6E7CD11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15.工程结算款：</w:t>
      </w:r>
    </w:p>
    <w:p w14:paraId="1FADE93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15.1工程竣工验收合格后经甲方审计部门或其委托有工程造价咨询资质的机构审定结算，并向甲方缴纳施工水电费后，支付全部审定工程款。但在国家规定的保修期限内，保修责任仍由承包人继续承担。</w:t>
      </w:r>
    </w:p>
    <w:p w14:paraId="1DA29F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15.2合同以外的变更、签证、工程量的增加等内容，随竣工结算支付。</w:t>
      </w:r>
    </w:p>
    <w:p w14:paraId="0B3286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15.3本工程的工程量据实结算，若成交供应商报送的原始结算价超出采购人审定结算价的3％，则成交供应商承担全部审计费，在结算付款时一次性扣除。</w:t>
      </w:r>
    </w:p>
    <w:p w14:paraId="0051679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16.</w:t>
      </w:r>
      <w:r>
        <w:rPr>
          <w:rFonts w:hint="eastAsia" w:ascii="宋体" w:hAnsi="宋体" w:cs="宋体"/>
          <w:bCs/>
          <w:color w:val="auto"/>
          <w:kern w:val="0"/>
          <w:sz w:val="24"/>
          <w:highlight w:val="none"/>
        </w:rPr>
        <w:t>甲方支付上述所有款项前，乙方须向甲方提供合法有效足额的增值税专用发票。</w:t>
      </w:r>
    </w:p>
    <w:p w14:paraId="7AB50A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八、工程保修期</w:t>
      </w:r>
    </w:p>
    <w:p w14:paraId="0A3E13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479" w:leftChars="228" w:firstLine="0" w:firstLineChars="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17.本工程保修期</w:t>
      </w:r>
      <w:r>
        <w:rPr>
          <w:rFonts w:hint="eastAsia" w:ascii="宋体" w:hAnsi="宋体" w:cs="宋体"/>
          <w:bCs/>
          <w:color w:val="auto"/>
          <w:kern w:val="0"/>
          <w:sz w:val="24"/>
          <w:highlight w:val="none"/>
          <w:u w:val="single"/>
          <w:lang w:val="en-US" w:eastAsia="zh-CN"/>
        </w:rPr>
        <w:t xml:space="preserve"> 2 </w:t>
      </w:r>
      <w:r>
        <w:rPr>
          <w:rFonts w:hint="eastAsia" w:ascii="宋体" w:hAnsi="宋体" w:cs="宋体"/>
          <w:bCs/>
          <w:color w:val="auto"/>
          <w:kern w:val="0"/>
          <w:sz w:val="24"/>
          <w:highlight w:val="none"/>
          <w:lang w:val="en-US" w:eastAsia="zh-CN"/>
        </w:rPr>
        <w:t>年</w:t>
      </w:r>
      <w:r>
        <w:rPr>
          <w:rFonts w:hint="eastAsia" w:ascii="宋体" w:hAnsi="宋体" w:cs="宋体"/>
          <w:bCs/>
          <w:color w:val="auto"/>
          <w:kern w:val="0"/>
          <w:sz w:val="24"/>
          <w:highlight w:val="none"/>
        </w:rPr>
        <w:t>。</w:t>
      </w:r>
      <w:r>
        <w:rPr>
          <w:rFonts w:hint="eastAsia" w:ascii="宋体" w:hAnsi="宋体" w:cs="宋体"/>
          <w:bCs/>
          <w:color w:val="auto"/>
          <w:kern w:val="0"/>
          <w:sz w:val="24"/>
          <w:highlight w:val="none"/>
        </w:rPr>
        <w:br w:type="textWrapping"/>
      </w:r>
      <w:r>
        <w:rPr>
          <w:rFonts w:hint="eastAsia" w:ascii="宋体" w:hAnsi="宋体" w:cs="宋体"/>
          <w:bCs/>
          <w:color w:val="auto"/>
          <w:kern w:val="0"/>
          <w:sz w:val="24"/>
          <w:highlight w:val="none"/>
          <w:lang w:val="en-US" w:eastAsia="zh-CN"/>
        </w:rPr>
        <w:t>18.</w:t>
      </w:r>
      <w:r>
        <w:rPr>
          <w:rFonts w:hint="eastAsia" w:ascii="宋体" w:hAnsi="宋体" w:cs="宋体"/>
          <w:bCs/>
          <w:color w:val="auto"/>
          <w:kern w:val="0"/>
          <w:sz w:val="24"/>
          <w:highlight w:val="none"/>
        </w:rPr>
        <w:t>乙方承担合同约定保修期限内的保修责任。工程履约保证金待合同所有</w:t>
      </w:r>
    </w:p>
    <w:p w14:paraId="27FAACE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约定内容（含保修期）履约完毕无质量问题后无息退还，若保修期内出现质量问题未及时处理或处理不当造成事故的，履约保证金不予退还。</w:t>
      </w:r>
    </w:p>
    <w:p w14:paraId="7196B71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九、合同份数及其他</w:t>
      </w:r>
    </w:p>
    <w:p w14:paraId="58ADD35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19.</w:t>
      </w:r>
      <w:r>
        <w:rPr>
          <w:rFonts w:hint="eastAsia" w:ascii="宋体" w:hAnsi="宋体" w:cs="宋体"/>
          <w:bCs/>
          <w:color w:val="auto"/>
          <w:kern w:val="0"/>
          <w:sz w:val="24"/>
          <w:highlight w:val="none"/>
        </w:rPr>
        <w:t>本合同正本陆份，具有同等效力，由甲方保存肆份，乙方保存贰份。</w:t>
      </w:r>
    </w:p>
    <w:p w14:paraId="5706EDB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20.</w:t>
      </w:r>
      <w:r>
        <w:rPr>
          <w:rFonts w:hint="eastAsia" w:ascii="宋体" w:hAnsi="宋体" w:cs="宋体"/>
          <w:bCs/>
          <w:color w:val="auto"/>
          <w:kern w:val="0"/>
          <w:sz w:val="24"/>
          <w:highlight w:val="none"/>
        </w:rPr>
        <w:t>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1941FF1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21.</w:t>
      </w:r>
      <w:r>
        <w:rPr>
          <w:rFonts w:hint="eastAsia" w:ascii="宋体" w:hAnsi="宋体" w:cs="宋体"/>
          <w:bCs/>
          <w:color w:val="auto"/>
          <w:kern w:val="0"/>
          <w:sz w:val="24"/>
          <w:highlight w:val="none"/>
        </w:rPr>
        <w:t>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57934E2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22.</w:t>
      </w:r>
      <w:r>
        <w:rPr>
          <w:rFonts w:hint="eastAsia" w:ascii="宋体" w:hAnsi="宋体" w:cs="宋体"/>
          <w:bCs/>
          <w:color w:val="auto"/>
          <w:kern w:val="0"/>
          <w:sz w:val="24"/>
          <w:highlight w:val="none"/>
        </w:rPr>
        <w:t>乙方必须确保施工场地周围地下管线和邻近建筑物、构筑物及相关设施设备完好无损，如施工过程中出现损坏，乙方负责修复赔偿。工程最终移交甲方前乙方负责保护已完成的工程。</w:t>
      </w:r>
    </w:p>
    <w:p w14:paraId="727F5F6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23.</w:t>
      </w:r>
      <w:r>
        <w:rPr>
          <w:rFonts w:hint="eastAsia" w:ascii="宋体" w:hAnsi="宋体" w:cs="宋体"/>
          <w:bCs/>
          <w:color w:val="auto"/>
          <w:kern w:val="0"/>
          <w:sz w:val="24"/>
          <w:highlight w:val="none"/>
        </w:rPr>
        <w:t>已完工程成品保护的特殊要求及费用承担：工程竣工、移交前由乙方负责保护并承担费用，最终移交后由甲方负责。</w:t>
      </w:r>
    </w:p>
    <w:p w14:paraId="4EE2A88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24.</w:t>
      </w:r>
      <w:r>
        <w:rPr>
          <w:rFonts w:hint="eastAsia" w:ascii="宋体" w:hAnsi="宋体" w:cs="宋体"/>
          <w:bCs/>
          <w:color w:val="auto"/>
          <w:kern w:val="0"/>
          <w:sz w:val="24"/>
          <w:highlight w:val="none"/>
        </w:rPr>
        <w:t>乙方应对其采用的施工工艺、施工方法等涉及到知识产权的行为的合法性负全责。</w:t>
      </w:r>
    </w:p>
    <w:p w14:paraId="0423316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25.</w:t>
      </w:r>
      <w:r>
        <w:rPr>
          <w:rFonts w:hint="eastAsia" w:ascii="宋体" w:hAnsi="宋体" w:cs="宋体"/>
          <w:bCs/>
          <w:color w:val="auto"/>
          <w:kern w:val="0"/>
          <w:sz w:val="24"/>
          <w:highlight w:val="none"/>
        </w:rPr>
        <w:t>乙方采购的建筑物资与设备，如与设计标准要求不符时，乙方应按甲方要求的时间运出施工场地，重新采购符合要求的产品，承担由此发生的费用，由此延误的工期不予顺延。</w:t>
      </w:r>
    </w:p>
    <w:p w14:paraId="0E1AC48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26.</w:t>
      </w:r>
      <w:r>
        <w:rPr>
          <w:rFonts w:hint="eastAsia" w:ascii="宋体" w:hAnsi="宋体" w:cs="宋体"/>
          <w:bCs/>
          <w:color w:val="auto"/>
          <w:kern w:val="0"/>
          <w:sz w:val="24"/>
          <w:highlight w:val="none"/>
        </w:rPr>
        <w:t>乙方不得将其承包工程任何部分转包给他人，一经发现乙方将本工程予以转包，甲方有权立即解除合同，乙方应在14日内清退出场。同时，乙方承担由此给甲方造成的损失；乙方提供的履约保证金不再退还。</w:t>
      </w:r>
    </w:p>
    <w:p w14:paraId="3E5FF47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27.</w:t>
      </w:r>
      <w:r>
        <w:rPr>
          <w:rFonts w:hint="eastAsia" w:ascii="宋体" w:hAnsi="宋体" w:cs="宋体"/>
          <w:bCs/>
          <w:color w:val="auto"/>
          <w:kern w:val="0"/>
          <w:sz w:val="24"/>
          <w:highlight w:val="none"/>
        </w:rPr>
        <w:t>对于违反施工规范，偷工减料，以次充好，影响工程安全、质量和进度的，甲方有权进行经济处罚。</w:t>
      </w:r>
    </w:p>
    <w:p w14:paraId="6CC2155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bCs/>
          <w:color w:val="auto"/>
          <w:kern w:val="0"/>
          <w:sz w:val="24"/>
          <w:highlight w:val="none"/>
          <w:lang w:val="en-US" w:eastAsia="zh-CN"/>
        </w:rPr>
        <w:t>28.</w:t>
      </w:r>
      <w:r>
        <w:rPr>
          <w:rFonts w:hint="eastAsia" w:ascii="宋体" w:hAnsi="宋体" w:cs="宋体"/>
          <w:bCs/>
          <w:color w:val="auto"/>
          <w:kern w:val="0"/>
          <w:sz w:val="24"/>
          <w:highlight w:val="none"/>
        </w:rPr>
        <w:t>在施工前乙方需与甲方项目负责人签订《安全文明施工责任书》《廉政协议》，该《安全文明施工责任书》《廉政协议》作为本合同不可分割的部分与本合同具有同等法律效力。</w:t>
      </w:r>
    </w:p>
    <w:p w14:paraId="19D218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附件1：工程质量保修书</w:t>
      </w:r>
    </w:p>
    <w:p w14:paraId="6B32BFE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2</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工程量清单及报价/工程量总报价及分部分项工程量清单报价</w:t>
      </w:r>
    </w:p>
    <w:p w14:paraId="13474C2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主材清单</w:t>
      </w:r>
    </w:p>
    <w:p w14:paraId="32BEB41B">
      <w:pPr>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sectPr>
          <w:pgSz w:w="11960" w:h="16880"/>
          <w:pgMar w:top="1440" w:right="1800" w:bottom="1440" w:left="1800" w:header="850" w:footer="992" w:gutter="0"/>
          <w:pgBorders>
            <w:top w:val="none" w:sz="0" w:space="0"/>
            <w:left w:val="none" w:sz="0" w:space="0"/>
            <w:bottom w:val="none" w:sz="0" w:space="0"/>
            <w:right w:val="none" w:sz="0" w:space="0"/>
          </w:pgBorders>
          <w:pgNumType w:fmt="decimal"/>
          <w:cols w:space="720" w:num="1"/>
        </w:sectPr>
      </w:pPr>
    </w:p>
    <w:p w14:paraId="0E72475B">
      <w:pPr>
        <w:pageBreakBefore w:val="0"/>
        <w:widowControl/>
        <w:kinsoku/>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附件1：</w:t>
      </w:r>
    </w:p>
    <w:p w14:paraId="6F87E886">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4C0FF10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甲方(全称)：</w:t>
      </w:r>
      <w:r>
        <w:rPr>
          <w:rFonts w:hint="eastAsia" w:ascii="宋体" w:hAnsi="宋体" w:cs="宋体"/>
          <w:color w:val="auto"/>
          <w:kern w:val="0"/>
          <w:sz w:val="24"/>
          <w:highlight w:val="none"/>
          <w:u w:val="single"/>
        </w:rPr>
        <w:t xml:space="preserve">西安建筑科技大学 </w:t>
      </w:r>
    </w:p>
    <w:p w14:paraId="75A1DE5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s="宋体"/>
          <w:color w:val="auto"/>
          <w:kern w:val="0"/>
          <w:sz w:val="24"/>
          <w:highlight w:val="none"/>
          <w:u w:val="single"/>
        </w:rPr>
      </w:pPr>
      <w:r>
        <w:rPr>
          <w:rFonts w:hint="eastAsia" w:ascii="宋体" w:hAnsi="宋体" w:cs="宋体"/>
          <w:color w:val="auto"/>
          <w:kern w:val="0"/>
          <w:sz w:val="24"/>
          <w:highlight w:val="none"/>
        </w:rPr>
        <w:t>乙方(全称)：</w:t>
      </w:r>
      <w:r>
        <w:rPr>
          <w:rFonts w:hint="eastAsia" w:ascii="宋体" w:hAnsi="宋体" w:cs="宋体"/>
          <w:color w:val="auto"/>
          <w:kern w:val="0"/>
          <w:sz w:val="24"/>
          <w:highlight w:val="none"/>
          <w:u w:val="single"/>
        </w:rPr>
        <w:t xml:space="preserve">                 </w:t>
      </w:r>
    </w:p>
    <w:p w14:paraId="73656A7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为保证</w:t>
      </w:r>
      <w:r>
        <w:rPr>
          <w:rFonts w:hint="eastAsia" w:ascii="宋体" w:hAnsi="宋体" w:cs="宋体"/>
          <w:color w:val="auto"/>
          <w:kern w:val="0"/>
          <w:sz w:val="24"/>
          <w:highlight w:val="none"/>
          <w:u w:val="single"/>
          <w:lang w:val="en-US" w:eastAsia="zh-CN"/>
        </w:rPr>
        <w:t xml:space="preserve"> 西安建筑科技大学冶金楼实验室电路改造项目</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在合理使用期限内正常使用，甲方、乙方协商一致签订工程质量保修书。乙方在质量保修期内按照有关管理规定及双方约定承担工程质量保修责任。</w:t>
      </w:r>
    </w:p>
    <w:p w14:paraId="34E2190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一、工程质量保修范围 </w:t>
      </w:r>
    </w:p>
    <w:p w14:paraId="43503F2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质量保修范围为施工区域内所含全部施工项目。</w:t>
      </w:r>
    </w:p>
    <w:p w14:paraId="26A02B0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二、质量保修期 </w:t>
      </w:r>
    </w:p>
    <w:p w14:paraId="66EDD10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质量保修期自工程竣工验收合格之日起计算。分单项竣工验收的工程，按单项工程分别计算质量保修期。</w:t>
      </w:r>
    </w:p>
    <w:p w14:paraId="3D689B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贰</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w:t>
      </w:r>
    </w:p>
    <w:p w14:paraId="4FF0D0D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三、质量保修责任 </w:t>
      </w:r>
    </w:p>
    <w:p w14:paraId="353140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属于保修范围和内容的项目，乙方应在接到修理通知之日后1天内派人修理，否则甲方有权对乙方进行经济处罚，处罚的数额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2000</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元/次。 </w:t>
      </w:r>
    </w:p>
    <w:p w14:paraId="190CCE6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olor w:val="auto"/>
          <w:sz w:val="24"/>
          <w:highlight w:val="none"/>
          <w:lang w:eastAsia="ko-KR"/>
        </w:rPr>
        <w:sectPr>
          <w:pgSz w:w="11960" w:h="16880"/>
          <w:pgMar w:top="1440" w:right="1800" w:bottom="1440" w:left="180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属于保修范围和内容的项目，成交供应商应在接到维修通知后，1天内派人维修。发生紧急抢修事故，成交供应商应在接到事故通知后</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小时内到达事故现场并于</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lang w:eastAsia="zh-CN"/>
        </w:rPr>
        <w:t>小时内完成应急维修。</w:t>
      </w:r>
      <w:r>
        <w:rPr>
          <w:rFonts w:hint="eastAsia" w:ascii="宋体" w:hAnsi="宋体" w:cs="宋体"/>
          <w:color w:val="auto"/>
          <w:kern w:val="0"/>
          <w:sz w:val="24"/>
          <w:highlight w:val="none"/>
        </w:rPr>
        <w:t>非乙方施工质量引起的事故，抢修费用由甲方承担。</w:t>
      </w:r>
    </w:p>
    <w:p w14:paraId="7E2FDA02">
      <w:pPr>
        <w:pageBreakBefore w:val="0"/>
        <w:widowControl/>
        <w:kinsoku/>
        <w:overflowPunct/>
        <w:topLinePunct w:val="0"/>
        <w:autoSpaceDE/>
        <w:autoSpaceDN/>
        <w:bidi w:val="0"/>
        <w:adjustRightInd/>
        <w:snapToGrid/>
        <w:spacing w:before="0" w:beforeAutospacing="0" w:after="0" w:afterAutospacing="0" w:line="375" w:lineRule="auto"/>
        <w:textAlignment w:val="auto"/>
        <w:rPr>
          <w:color w:val="auto"/>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0D050D58">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rPr>
        <w:sectPr>
          <w:footerReference r:id="rId7" w:type="firs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416DD65F">
      <w:pPr>
        <w:pageBreakBefore w:val="0"/>
        <w:widowControl/>
        <w:kinsoku/>
        <w:overflowPunct/>
        <w:topLinePunct w:val="0"/>
        <w:autoSpaceDE/>
        <w:autoSpaceDN/>
        <w:bidi w:val="0"/>
        <w:spacing w:before="0" w:beforeAutospacing="0" w:after="0" w:afterAutospacing="0" w:line="480" w:lineRule="auto"/>
        <w:rPr>
          <w:rFonts w:hint="eastAsia" w:ascii="宋体" w:hAnsi="宋体" w:eastAsia="宋体" w:cs="宋体"/>
          <w:bCs/>
          <w:color w:val="auto"/>
          <w:kern w:val="0"/>
          <w:sz w:val="24"/>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tbl>
      <w:tblPr>
        <w:tblStyle w:val="5"/>
        <w:tblW w:w="49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943"/>
        <w:gridCol w:w="2004"/>
        <w:gridCol w:w="1868"/>
        <w:gridCol w:w="822"/>
        <w:gridCol w:w="948"/>
      </w:tblGrid>
      <w:tr w14:paraId="4283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jc w:val="center"/>
        </w:trPr>
        <w:tc>
          <w:tcPr>
            <w:tcW w:w="532" w:type="pct"/>
            <w:noWrap w:val="0"/>
            <w:vAlign w:val="center"/>
          </w:tcPr>
          <w:p w14:paraId="2069A4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44" w:type="pct"/>
            <w:noWrap w:val="0"/>
            <w:vAlign w:val="center"/>
          </w:tcPr>
          <w:p w14:paraId="03F96B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主要材料名称</w:t>
            </w:r>
          </w:p>
        </w:tc>
        <w:tc>
          <w:tcPr>
            <w:tcW w:w="1180" w:type="pct"/>
            <w:noWrap w:val="0"/>
            <w:vAlign w:val="center"/>
          </w:tcPr>
          <w:p w14:paraId="664EEB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规格</w:t>
            </w:r>
            <w:r>
              <w:rPr>
                <w:rFonts w:hint="eastAsia" w:ascii="宋体" w:hAnsi="宋体" w:eastAsia="宋体" w:cs="宋体"/>
                <w:b/>
                <w:bCs/>
                <w:color w:val="auto"/>
                <w:sz w:val="24"/>
                <w:szCs w:val="24"/>
                <w:highlight w:val="none"/>
              </w:rPr>
              <w:t>型号</w:t>
            </w:r>
          </w:p>
        </w:tc>
        <w:tc>
          <w:tcPr>
            <w:tcW w:w="1100" w:type="pct"/>
            <w:noWrap w:val="0"/>
            <w:vAlign w:val="center"/>
          </w:tcPr>
          <w:p w14:paraId="06E783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品牌或制造商</w:t>
            </w:r>
          </w:p>
        </w:tc>
        <w:tc>
          <w:tcPr>
            <w:tcW w:w="484" w:type="pct"/>
            <w:noWrap w:val="0"/>
            <w:vAlign w:val="center"/>
          </w:tcPr>
          <w:p w14:paraId="06975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产地</w:t>
            </w:r>
          </w:p>
        </w:tc>
        <w:tc>
          <w:tcPr>
            <w:tcW w:w="558" w:type="pct"/>
            <w:noWrap w:val="0"/>
            <w:vAlign w:val="center"/>
          </w:tcPr>
          <w:p w14:paraId="716C1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0EBC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81" w:type="dxa"/>
            <w:noWrap w:val="0"/>
            <w:vAlign w:val="center"/>
          </w:tcPr>
          <w:p w14:paraId="126AD91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891" w:type="dxa"/>
            <w:noWrap w:val="0"/>
            <w:vAlign w:val="center"/>
          </w:tcPr>
          <w:p w14:paraId="13F6F52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电力电缆</w:t>
            </w:r>
          </w:p>
        </w:tc>
        <w:tc>
          <w:tcPr>
            <w:tcW w:w="1180" w:type="pct"/>
            <w:noWrap w:val="0"/>
            <w:vAlign w:val="center"/>
          </w:tcPr>
          <w:p w14:paraId="4C949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14B3E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4" w:type="pct"/>
            <w:noWrap w:val="0"/>
            <w:vAlign w:val="center"/>
          </w:tcPr>
          <w:p w14:paraId="1FCF12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lang w:val="en-US" w:eastAsia="zh-CN"/>
              </w:rPr>
            </w:pPr>
          </w:p>
        </w:tc>
        <w:tc>
          <w:tcPr>
            <w:tcW w:w="558" w:type="pct"/>
            <w:noWrap w:val="0"/>
            <w:vAlign w:val="center"/>
          </w:tcPr>
          <w:p w14:paraId="6B1A26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62E6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81" w:type="dxa"/>
            <w:noWrap w:val="0"/>
            <w:vAlign w:val="center"/>
          </w:tcPr>
          <w:p w14:paraId="21D12A8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1891" w:type="dxa"/>
            <w:noWrap w:val="0"/>
            <w:vAlign w:val="center"/>
          </w:tcPr>
          <w:p w14:paraId="35DF5EF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框架断路器</w:t>
            </w:r>
          </w:p>
        </w:tc>
        <w:tc>
          <w:tcPr>
            <w:tcW w:w="1180" w:type="pct"/>
            <w:noWrap w:val="0"/>
            <w:vAlign w:val="center"/>
          </w:tcPr>
          <w:p w14:paraId="503056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5223A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4" w:type="pct"/>
            <w:noWrap w:val="0"/>
            <w:vAlign w:val="center"/>
          </w:tcPr>
          <w:p w14:paraId="3F8D0D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0426F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3E2A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81" w:type="dxa"/>
            <w:noWrap w:val="0"/>
            <w:vAlign w:val="center"/>
          </w:tcPr>
          <w:p w14:paraId="14B8ED3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1891" w:type="dxa"/>
            <w:noWrap w:val="0"/>
            <w:vAlign w:val="center"/>
          </w:tcPr>
          <w:p w14:paraId="32E7F5D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塑壳断路器</w:t>
            </w:r>
          </w:p>
        </w:tc>
        <w:tc>
          <w:tcPr>
            <w:tcW w:w="1180" w:type="pct"/>
            <w:noWrap w:val="0"/>
            <w:vAlign w:val="center"/>
          </w:tcPr>
          <w:p w14:paraId="50ABB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743A9B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4" w:type="pct"/>
            <w:noWrap w:val="0"/>
            <w:vAlign w:val="center"/>
          </w:tcPr>
          <w:p w14:paraId="1455F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1C2984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0F44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81" w:type="dxa"/>
            <w:noWrap w:val="0"/>
            <w:vAlign w:val="center"/>
          </w:tcPr>
          <w:p w14:paraId="53D15B6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1891" w:type="dxa"/>
            <w:noWrap w:val="0"/>
            <w:vAlign w:val="center"/>
          </w:tcPr>
          <w:p w14:paraId="4D195FD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低压柜</w:t>
            </w:r>
          </w:p>
        </w:tc>
        <w:tc>
          <w:tcPr>
            <w:tcW w:w="1180" w:type="pct"/>
            <w:noWrap w:val="0"/>
            <w:vAlign w:val="center"/>
          </w:tcPr>
          <w:p w14:paraId="682457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5EF57B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4" w:type="pct"/>
            <w:noWrap w:val="0"/>
            <w:vAlign w:val="center"/>
          </w:tcPr>
          <w:p w14:paraId="4AFDF1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189422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bl>
    <w:p w14:paraId="049AF2E9">
      <w:pPr>
        <w:adjustRightInd w:val="0"/>
        <w:snapToGrid w:val="0"/>
        <w:spacing w:beforeAutospacing="0" w:afterAutospacing="0" w:line="360" w:lineRule="auto"/>
        <w:rPr>
          <w:rFonts w:ascii="黑体" w:hAnsi="黑体" w:eastAsia="黑体"/>
          <w:color w:val="auto"/>
          <w:sz w:val="28"/>
          <w:szCs w:val="28"/>
          <w:highlight w:val="none"/>
          <w:lang w:eastAsia="zh-Hans"/>
        </w:rPr>
      </w:pPr>
    </w:p>
    <w:p w14:paraId="04A2FF48">
      <w:bookmarkStart w:id="0" w:name="_GoBack"/>
      <w:bookmarkEnd w:id="0"/>
    </w:p>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78CE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AB5FE">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97AB5FE">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D6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60390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2160390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F7FA">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A6E6B8">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73A6E6B8">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257">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E04B6">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0DE04B6">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B311F">
    <w:pPr>
      <w:pStyle w:val="4"/>
      <w:pBdr>
        <w:bottom w:val="none" w:color="auto" w:sz="0" w:space="0"/>
      </w:pBdr>
      <w:jc w:val="righ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7581F">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385A18"/>
    <w:rsid w:val="78C20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paragraph" w:customStyle="1" w:styleId="8">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4631</Words>
  <Characters>4841</Characters>
  <Lines>0</Lines>
  <Paragraphs>0</Paragraphs>
  <TotalTime>0</TotalTime>
  <ScaleCrop>false</ScaleCrop>
  <LinksUpToDate>false</LinksUpToDate>
  <CharactersWithSpaces>5034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2026-07-09T08:35:00Z</dcterms:created>
  <dc:creator>Administrator</dc:creator>
  <cp:lastModifiedBy>开瑞</cp:lastModifiedBy>
  <dcterms:modified xsi:type="dcterms:W3CDTF">2026-07-09T08:48:09Z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B6851E30CC214D74AEDD7AC080749B57_12</vt:lpwstr>
  </property>
</Properties>
</file>