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版本号：SXGLZFCG-2026-26号20260817001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铜川公路管理局机械设备采购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SXGLZFCG-2026-26号</w:t>
      </w:r>
      <w:r>
        <w:br/>
      </w:r>
      <w:r>
        <w:br/>
      </w:r>
      <w:r>
        <w:br/>
      </w:r>
    </w:p>
    <w:p>
      <w:pPr>
        <w:pStyle w:val="null3"/>
        <w:jc w:val="center"/>
        <w:outlineLvl w:val="2"/>
      </w:pPr>
      <w:r>
        <w:rPr>
          <w:rFonts w:ascii="仿宋_GB2312" w:hAnsi="仿宋_GB2312" w:cs="仿宋_GB2312" w:eastAsia="仿宋_GB2312"/>
          <w:sz w:val="28"/>
          <w:b/>
        </w:rPr>
        <w:t>陕西省铜川公路管理局</w:t>
      </w:r>
    </w:p>
    <w:p>
      <w:pPr>
        <w:pStyle w:val="null3"/>
        <w:jc w:val="center"/>
        <w:outlineLvl w:val="2"/>
      </w:pPr>
      <w:r>
        <w:rPr>
          <w:rFonts w:ascii="仿宋_GB2312" w:hAnsi="仿宋_GB2312" w:cs="仿宋_GB2312" w:eastAsia="仿宋_GB2312"/>
          <w:sz w:val="28"/>
          <w:b/>
        </w:rPr>
        <w:t>陕西公立工程项目管理咨询有限公司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陕西公立工程项目管理咨询有限公司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陕西省铜川公路管理局</w:t>
      </w:r>
      <w:r>
        <w:rPr>
          <w:rFonts w:ascii="仿宋_GB2312" w:hAnsi="仿宋_GB2312" w:cs="仿宋_GB2312" w:eastAsia="仿宋_GB2312"/>
        </w:rPr>
        <w:t>委托，拟对</w:t>
      </w:r>
      <w:r>
        <w:rPr>
          <w:rFonts w:ascii="仿宋_GB2312" w:hAnsi="仿宋_GB2312" w:cs="仿宋_GB2312" w:eastAsia="仿宋_GB2312"/>
        </w:rPr>
        <w:t>铜川公路管理局机械设备采购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SXGLZFCG-2026-26号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铜川公路管理局机械设备采购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购置稀浆封层机1台、路面吸尘车1台。</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法人或者其他组织提供营业执照等证明文件，自然人提供身份证件，投标人需在项目电子化交易系统中按要求上传相应证明文件并进行电子签章；</w:t>
      </w:r>
    </w:p>
    <w:p>
      <w:pPr>
        <w:pStyle w:val="null3"/>
      </w:pPr>
      <w:r>
        <w:rPr>
          <w:rFonts w:ascii="仿宋_GB2312" w:hAnsi="仿宋_GB2312" w:cs="仿宋_GB2312" w:eastAsia="仿宋_GB2312"/>
        </w:rPr>
        <w:t>2、税收缴纳凭证及社会保险缴纳的凭证：投标人在本项目投标文件递交截止时间前十二个月内任意一个月的税收缴纳凭证及社会保险缴纳的凭证。依法免税或不需要缴纳社会保障资金的投标人，应提供相应文件证明其依法免税或不需要缴纳社会保障资金，投标人需在项目电子化交易系统中按要求上传相应证明文件，或提供《基本资格条件承诺函》；投标人需在项目电子化交易系统中按要求上传相应证明文件；</w:t>
      </w:r>
    </w:p>
    <w:p>
      <w:pPr>
        <w:pStyle w:val="null3"/>
      </w:pPr>
      <w:r>
        <w:rPr>
          <w:rFonts w:ascii="仿宋_GB2312" w:hAnsi="仿宋_GB2312" w:cs="仿宋_GB2312" w:eastAsia="仿宋_GB2312"/>
        </w:rPr>
        <w:t>3、财务状况报告：投标人提供2025年度经审计的财务审计报告（事业法人可提供部门决算报告），经审计的财务报告应满足以下要求：财务报告是指经会计师事务所审计的上述指定年度整个会计年度财务报表（须提供会计师事务所出具的审计报告复印件）,复印件至少须包括报告正文、资产负债表、现金流量表、利润表、附注和会计师事务所营业执照；或提供投标人基本账户银行出具的递交投标文件截止时间前六个月内的资信证明及投标人基本存款账户开户许可证（或基本存款账户信息））或提供专业担保机构出具的投标担保函；或提供《基本资格条件承诺函》；投标人需在项目电子化交易系统中按要求上传相应证明文件；</w:t>
      </w:r>
    </w:p>
    <w:p>
      <w:pPr>
        <w:pStyle w:val="null3"/>
      </w:pPr>
      <w:r>
        <w:rPr>
          <w:rFonts w:ascii="仿宋_GB2312" w:hAnsi="仿宋_GB2312" w:cs="仿宋_GB2312" w:eastAsia="仿宋_GB2312"/>
        </w:rPr>
        <w:t>4、参加政府采购活动前3年内在经营活动中没有重大违法记录的书面声明； 其中：重大违法记录是指投标人因违法经营受到刑事处罚或者责令停产停业、吊销许可证或者执照、较大数额罚款等行政处罚：参加政府采购活动前3年内在经营活动中没有重大违法记录的书面声明； 其中：重大违法记录是指供应商因违法经营受到刑事处罚或者责令停产停业、吊销许可证或者执照、较大数额罚款等行政处罚。或提供《基本资格条件承诺函》；投标人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陕西省铜川公路管理局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铜川市新区铁诺南路1号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陕西省铜川公路管理局经办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0919-3385116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陕西公立工程项目管理咨询有限公司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陕西省铜川市耀州区陕西省铜川市新区朝阳路鸿翔逸境1号楼1-4层商业区三楼304、305室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傅工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0919-2182986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代理服务费收费标准：参照国家计委颁发的《招标代理服务收费管理暂行办法》（计价格【2002】1980号）和国家发展改革委办公厅关于招标代理服务收费有关问题的通知（发改办价格【2003】857号）按标准计取。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陕西省铜川公路管理局</w:t>
      </w:r>
      <w:r>
        <w:rPr>
          <w:rFonts w:ascii="仿宋_GB2312" w:hAnsi="仿宋_GB2312" w:cs="仿宋_GB2312" w:eastAsia="仿宋_GB2312"/>
        </w:rPr>
        <w:t>和</w:t>
      </w:r>
      <w:r>
        <w:rPr>
          <w:rFonts w:ascii="仿宋_GB2312" w:hAnsi="仿宋_GB2312" w:cs="仿宋_GB2312" w:eastAsia="仿宋_GB2312"/>
        </w:rPr>
        <w:t>陕西公立工程项目管理咨询有限公司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陕西省铜川公路管理局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陕西公立工程项目管理咨询有限公司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陕西省铜川公路管理局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陕西公立工程项目管理咨询有限公司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投标人自有或第三方既有的技术、软件框架、源代码等背景知识产权，仍归投标人或原权利人所有，采购人仅获得为本项目运行所需的普通使用许可。2、投标人引入第三方知识成果的，须确保已取得合法授权，且授权范围覆盖采购人的使用需求。因第三方成果引发的侵权纠纷，由投标人承担全部法律责任及赔偿</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陕西公立工程项目管理咨询有限公司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陕西公立工程项目管理咨询有限公司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陕西公立工程项目管理咨询有限公司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联系人：傅兆麟</w:t>
      </w:r>
    </w:p>
    <w:p>
      <w:pPr>
        <w:pStyle w:val="null3"/>
      </w:pPr>
      <w:r>
        <w:rPr>
          <w:rFonts w:ascii="仿宋_GB2312" w:hAnsi="仿宋_GB2312" w:cs="仿宋_GB2312" w:eastAsia="仿宋_GB2312"/>
        </w:rPr>
        <w:t>联系电话：0919-2182986</w:t>
      </w:r>
    </w:p>
    <w:p>
      <w:pPr>
        <w:pStyle w:val="null3"/>
      </w:pPr>
      <w:r>
        <w:rPr>
          <w:rFonts w:ascii="仿宋_GB2312" w:hAnsi="仿宋_GB2312" w:cs="仿宋_GB2312" w:eastAsia="仿宋_GB2312"/>
        </w:rPr>
        <w:t>地址：陕西省铜川市新区朝阳路鸿翔逸境 1 号楼商业区三楼304室</w:t>
      </w:r>
    </w:p>
    <w:p>
      <w:pPr>
        <w:pStyle w:val="null3"/>
      </w:pPr>
      <w:r>
        <w:rPr>
          <w:rFonts w:ascii="仿宋_GB2312" w:hAnsi="仿宋_GB2312" w:cs="仿宋_GB2312" w:eastAsia="仿宋_GB2312"/>
        </w:rPr>
        <w:t>邮编：727000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购置稀浆封层车、干湿路面吸尘车各1台。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1,600,000.00</w:t>
      </w:r>
    </w:p>
    <w:p>
      <w:pPr>
        <w:pStyle w:val="null3"/>
      </w:pPr>
      <w:r>
        <w:rPr>
          <w:rFonts w:ascii="仿宋_GB2312" w:hAnsi="仿宋_GB2312" w:cs="仿宋_GB2312" w:eastAsia="仿宋_GB2312"/>
        </w:rPr>
        <w:t>采购包最高限价（元）: 1,600,000.00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稀浆封层机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1,150,000.00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干湿路面吸尘车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标的名称：稀浆封层机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875"/>
              <w:gridCol w:w="1670"/>
            </w:tblGrid>
            <w:tr>
              <w:tc>
                <w:tcPr>
                  <w:tcW w:type="dxa" w:w="8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性能</w:t>
                  </w:r>
                  <w:r>
                    <w:rPr>
                      <w:rFonts w:ascii="仿宋_GB2312" w:hAnsi="仿宋_GB2312" w:cs="仿宋_GB2312" w:eastAsia="仿宋_GB2312"/>
                      <w:sz w:val="21"/>
                      <w:b/>
                    </w:rPr>
                    <w:t>名称</w:t>
                  </w:r>
                </w:p>
              </w:tc>
              <w:tc>
                <w:tcPr>
                  <w:tcW w:type="dxa" w:w="16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性能</w:t>
                  </w:r>
                  <w:r>
                    <w:rPr>
                      <w:rFonts w:ascii="仿宋_GB2312" w:hAnsi="仿宋_GB2312" w:cs="仿宋_GB2312" w:eastAsia="仿宋_GB2312"/>
                      <w:sz w:val="21"/>
                      <w:b/>
                    </w:rPr>
                    <w:t>要求</w:t>
                  </w:r>
                </w:p>
              </w:tc>
            </w:tr>
            <w:tr>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both"/>
                  </w:pPr>
                  <w:r>
                    <w:rPr>
                      <w:rFonts w:ascii="仿宋_GB2312" w:hAnsi="仿宋_GB2312" w:cs="仿宋_GB2312" w:eastAsia="仿宋_GB2312"/>
                      <w:sz w:val="21"/>
                    </w:rPr>
                    <w:t>整车</w:t>
                  </w:r>
                </w:p>
              </w:tc>
              <w:tc>
                <w:tcPr>
                  <w:tcW w:type="dxa" w:w="1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设备功能：稀浆封层、微表处、高等级路面施工中的下封、桥面处治等功能。</w:t>
                  </w:r>
                </w:p>
              </w:tc>
            </w:tr>
            <w:tr>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底盘</w:t>
                  </w:r>
                </w:p>
              </w:tc>
              <w:tc>
                <w:tcPr>
                  <w:tcW w:type="dxa" w:w="1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整车最大质量</w:t>
                  </w:r>
                  <w:r>
                    <w:rPr>
                      <w:rFonts w:ascii="仿宋_GB2312" w:hAnsi="仿宋_GB2312" w:cs="仿宋_GB2312" w:eastAsia="仿宋_GB2312"/>
                      <w:sz w:val="21"/>
                    </w:rPr>
                    <w:t>≥</w:t>
                  </w:r>
                  <w:r>
                    <w:rPr>
                      <w:rFonts w:ascii="仿宋_GB2312" w:hAnsi="仿宋_GB2312" w:cs="仿宋_GB2312" w:eastAsia="仿宋_GB2312"/>
                      <w:sz w:val="21"/>
                    </w:rPr>
                    <w:t>25t</w:t>
                  </w:r>
                  <w:r>
                    <w:rPr>
                      <w:rFonts w:ascii="仿宋_GB2312" w:hAnsi="仿宋_GB2312" w:cs="仿宋_GB2312" w:eastAsia="仿宋_GB2312"/>
                      <w:sz w:val="21"/>
                    </w:rPr>
                    <w:t>，</w:t>
                  </w:r>
                  <w:r>
                    <w:rPr>
                      <w:rFonts w:ascii="仿宋_GB2312" w:hAnsi="仿宋_GB2312" w:cs="仿宋_GB2312" w:eastAsia="仿宋_GB2312"/>
                      <w:sz w:val="21"/>
                    </w:rPr>
                    <w:t>车辆驱动形式：</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后驱</w:t>
                  </w:r>
                </w:p>
              </w:tc>
            </w:tr>
            <w:tr>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发动机额定功率：</w:t>
                  </w:r>
                  <w:r>
                    <w:rPr>
                      <w:rFonts w:ascii="仿宋_GB2312" w:hAnsi="仿宋_GB2312" w:cs="仿宋_GB2312" w:eastAsia="仿宋_GB2312"/>
                      <w:sz w:val="21"/>
                    </w:rPr>
                    <w:t>≥</w:t>
                  </w:r>
                  <w:r>
                    <w:rPr>
                      <w:rFonts w:ascii="仿宋_GB2312" w:hAnsi="仿宋_GB2312" w:cs="仿宋_GB2312" w:eastAsia="仿宋_GB2312"/>
                      <w:sz w:val="21"/>
                    </w:rPr>
                    <w:t>240</w:t>
                  </w:r>
                  <w:r>
                    <w:rPr>
                      <w:rFonts w:ascii="仿宋_GB2312" w:hAnsi="仿宋_GB2312" w:cs="仿宋_GB2312" w:eastAsia="仿宋_GB2312"/>
                      <w:sz w:val="21"/>
                    </w:rPr>
                    <w:t>kw</w:t>
                  </w:r>
                  <w:r>
                    <w:rPr>
                      <w:rFonts w:ascii="仿宋_GB2312" w:hAnsi="仿宋_GB2312" w:cs="仿宋_GB2312" w:eastAsia="仿宋_GB2312"/>
                      <w:sz w:val="21"/>
                    </w:rPr>
                    <w:t>，废气排放符合国六标准，并通过相应的环保公告。</w:t>
                  </w:r>
                </w:p>
              </w:tc>
            </w:tr>
            <w:tr>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辅助动力</w:t>
                  </w:r>
                </w:p>
              </w:tc>
              <w:tc>
                <w:tcPr>
                  <w:tcW w:type="dxa" w:w="1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设备配置辅助发动机，可为上装提供辅助动力。</w:t>
                  </w:r>
                </w:p>
              </w:tc>
            </w:tr>
            <w:tr>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辅助发动机</w:t>
                  </w:r>
                  <w:r>
                    <w:rPr>
                      <w:rFonts w:ascii="仿宋_GB2312" w:hAnsi="仿宋_GB2312" w:cs="仿宋_GB2312" w:eastAsia="仿宋_GB2312"/>
                      <w:sz w:val="21"/>
                    </w:rPr>
                    <w:t>输出功率</w:t>
                  </w:r>
                  <w:r>
                    <w:rPr>
                      <w:rFonts w:ascii="仿宋_GB2312" w:hAnsi="仿宋_GB2312" w:cs="仿宋_GB2312" w:eastAsia="仿宋_GB2312"/>
                      <w:sz w:val="21"/>
                    </w:rPr>
                    <w:t>≥</w:t>
                  </w:r>
                  <w:r>
                    <w:rPr>
                      <w:rFonts w:ascii="仿宋_GB2312" w:hAnsi="仿宋_GB2312" w:cs="仿宋_GB2312" w:eastAsia="仿宋_GB2312"/>
                      <w:sz w:val="21"/>
                    </w:rPr>
                    <w:t>76</w:t>
                  </w:r>
                  <w:r>
                    <w:rPr>
                      <w:rFonts w:ascii="仿宋_GB2312" w:hAnsi="仿宋_GB2312" w:cs="仿宋_GB2312" w:eastAsia="仿宋_GB2312"/>
                      <w:sz w:val="21"/>
                    </w:rPr>
                    <w:t>kw</w:t>
                  </w:r>
                </w:p>
              </w:tc>
            </w:tr>
            <w:tr>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骨料系统</w:t>
                  </w:r>
                </w:p>
              </w:tc>
              <w:tc>
                <w:tcPr>
                  <w:tcW w:type="dxa" w:w="1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骨料仓容积（平装）</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m</w:t>
                  </w:r>
                  <w:r>
                    <w:rPr>
                      <w:rFonts w:ascii="仿宋_GB2312" w:hAnsi="仿宋_GB2312" w:cs="仿宋_GB2312" w:eastAsia="仿宋_GB2312"/>
                      <w:sz w:val="21"/>
                      <w:vertAlign w:val="superscript"/>
                    </w:rPr>
                    <w:t>3</w:t>
                  </w:r>
                </w:p>
              </w:tc>
            </w:tr>
            <w:tr>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F1115"/>
                      <w:shd w:fill="FFFFFF" w:val="clear"/>
                    </w:rPr>
                    <w:t>▲</w:t>
                  </w:r>
                  <w:r>
                    <w:rPr>
                      <w:rFonts w:ascii="仿宋_GB2312" w:hAnsi="仿宋_GB2312" w:cs="仿宋_GB2312" w:eastAsia="仿宋_GB2312"/>
                      <w:sz w:val="21"/>
                    </w:rPr>
                    <w:t>仓体需配置破拱装置</w:t>
                  </w:r>
                  <w:r>
                    <w:rPr>
                      <w:rFonts w:ascii="仿宋_GB2312" w:hAnsi="仿宋_GB2312" w:cs="仿宋_GB2312" w:eastAsia="仿宋_GB2312"/>
                      <w:sz w:val="21"/>
                    </w:rPr>
                    <w:t>,</w:t>
                  </w:r>
                  <w:r>
                    <w:rPr>
                      <w:rFonts w:ascii="仿宋_GB2312" w:hAnsi="仿宋_GB2312" w:cs="仿宋_GB2312" w:eastAsia="仿宋_GB2312"/>
                      <w:sz w:val="21"/>
                    </w:rPr>
                    <w:t>仓壁有铺设防积料衬板</w:t>
                  </w:r>
                  <w:r>
                    <w:rPr>
                      <w:rFonts w:ascii="仿宋_GB2312" w:hAnsi="仿宋_GB2312" w:cs="仿宋_GB2312" w:eastAsia="仿宋_GB2312"/>
                      <w:sz w:val="21"/>
                    </w:rPr>
                    <w:t>，保证下料通畅。</w:t>
                  </w:r>
                </w:p>
              </w:tc>
            </w:tr>
            <w:tr>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输料皮带齿轮齿条传动，避免皮带打滑。</w:t>
                  </w:r>
                </w:p>
              </w:tc>
            </w:tr>
            <w:tr>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F1115"/>
                      <w:shd w:fill="FFFFFF" w:val="clear"/>
                    </w:rPr>
                    <w:t>▲</w:t>
                  </w:r>
                  <w:r>
                    <w:rPr>
                      <w:rFonts w:ascii="仿宋_GB2312" w:hAnsi="仿宋_GB2312" w:cs="仿宋_GB2312" w:eastAsia="仿宋_GB2312"/>
                      <w:sz w:val="21"/>
                    </w:rPr>
                    <w:t>骨料皮带通过液压马达驱动，且转速时时可调。</w:t>
                  </w:r>
                </w:p>
              </w:tc>
            </w:tr>
            <w:tr>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仓体</w:t>
                  </w:r>
                  <w:r>
                    <w:rPr>
                      <w:rFonts w:ascii="仿宋_GB2312" w:hAnsi="仿宋_GB2312" w:cs="仿宋_GB2312" w:eastAsia="仿宋_GB2312"/>
                      <w:sz w:val="21"/>
                    </w:rPr>
                    <w:t>配置料空报警装置</w:t>
                  </w:r>
                </w:p>
              </w:tc>
            </w:tr>
            <w:tr>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粉料系统</w:t>
                  </w:r>
                </w:p>
              </w:tc>
              <w:tc>
                <w:tcPr>
                  <w:tcW w:type="dxa" w:w="1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粉料箱容积</w:t>
                  </w:r>
                  <w:r>
                    <w:rPr>
                      <w:rFonts w:ascii="仿宋_GB2312" w:hAnsi="仿宋_GB2312" w:cs="仿宋_GB2312" w:eastAsia="仿宋_GB2312"/>
                      <w:sz w:val="21"/>
                    </w:rPr>
                    <w:t>≥</w:t>
                  </w:r>
                  <w:r>
                    <w:rPr>
                      <w:rFonts w:ascii="仿宋_GB2312" w:hAnsi="仿宋_GB2312" w:cs="仿宋_GB2312" w:eastAsia="仿宋_GB2312"/>
                      <w:sz w:val="21"/>
                    </w:rPr>
                    <w:t>600</w:t>
                  </w:r>
                  <w:r>
                    <w:rPr>
                      <w:rFonts w:ascii="仿宋_GB2312" w:hAnsi="仿宋_GB2312" w:cs="仿宋_GB2312" w:eastAsia="仿宋_GB2312"/>
                      <w:sz w:val="21"/>
                    </w:rPr>
                    <w:t>L</w:t>
                  </w:r>
                </w:p>
              </w:tc>
            </w:tr>
            <w:tr>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箱体需配置破拱装置，保证下料通畅。</w:t>
                  </w:r>
                </w:p>
              </w:tc>
            </w:tr>
            <w:tr>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出料口配置开关阀门，</w:t>
                  </w:r>
                  <w:r>
                    <w:rPr>
                      <w:rFonts w:ascii="仿宋_GB2312" w:hAnsi="仿宋_GB2312" w:cs="仿宋_GB2312" w:eastAsia="仿宋_GB2312"/>
                      <w:sz w:val="21"/>
                    </w:rPr>
                    <w:t>可开启及</w:t>
                  </w:r>
                  <w:r>
                    <w:rPr>
                      <w:rFonts w:ascii="仿宋_GB2312" w:hAnsi="仿宋_GB2312" w:cs="仿宋_GB2312" w:eastAsia="仿宋_GB2312"/>
                      <w:sz w:val="21"/>
                    </w:rPr>
                    <w:t>关闭出料口。</w:t>
                  </w:r>
                </w:p>
              </w:tc>
            </w:tr>
            <w:tr>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沥青系统</w:t>
                  </w:r>
                </w:p>
              </w:tc>
              <w:tc>
                <w:tcPr>
                  <w:tcW w:type="dxa" w:w="1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乳化沥青箱容积</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0</w:t>
                  </w:r>
                  <w:r>
                    <w:rPr>
                      <w:rFonts w:ascii="仿宋_GB2312" w:hAnsi="仿宋_GB2312" w:cs="仿宋_GB2312" w:eastAsia="仿宋_GB2312"/>
                      <w:sz w:val="21"/>
                    </w:rPr>
                    <w:t>00</w:t>
                  </w:r>
                  <w:r>
                    <w:rPr>
                      <w:rFonts w:ascii="仿宋_GB2312" w:hAnsi="仿宋_GB2312" w:cs="仿宋_GB2312" w:eastAsia="仿宋_GB2312"/>
                      <w:sz w:val="21"/>
                    </w:rPr>
                    <w:t>L</w:t>
                  </w:r>
                </w:p>
              </w:tc>
            </w:tr>
            <w:tr>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沥青泵带有加热保温装置</w:t>
                  </w:r>
                </w:p>
              </w:tc>
            </w:tr>
            <w:tr>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箱体配置液位计，带有罐空报警装置。</w:t>
                  </w:r>
                </w:p>
              </w:tc>
            </w:tr>
            <w:tr>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水系统</w:t>
                  </w:r>
                </w:p>
              </w:tc>
              <w:tc>
                <w:tcPr>
                  <w:tcW w:type="dxa" w:w="1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水箱容积</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0</w:t>
                  </w:r>
                  <w:r>
                    <w:rPr>
                      <w:rFonts w:ascii="仿宋_GB2312" w:hAnsi="仿宋_GB2312" w:cs="仿宋_GB2312" w:eastAsia="仿宋_GB2312"/>
                      <w:sz w:val="21"/>
                    </w:rPr>
                    <w:t>00</w:t>
                  </w:r>
                  <w:r>
                    <w:rPr>
                      <w:rFonts w:ascii="仿宋_GB2312" w:hAnsi="仿宋_GB2312" w:cs="仿宋_GB2312" w:eastAsia="仿宋_GB2312"/>
                      <w:sz w:val="21"/>
                    </w:rPr>
                    <w:t>L</w:t>
                  </w:r>
                </w:p>
              </w:tc>
            </w:tr>
            <w:tr>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工作水泵与清洗水泵相互独立</w:t>
                  </w:r>
                </w:p>
              </w:tc>
            </w:tr>
            <w:tr>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箱体配置液位计，带有罐空报警装置。</w:t>
                  </w:r>
                </w:p>
              </w:tc>
            </w:tr>
            <w:tr>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搅拌系统</w:t>
                  </w:r>
                </w:p>
              </w:tc>
              <w:tc>
                <w:tcPr>
                  <w:tcW w:type="dxa" w:w="1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1"/>
                    </w:rPr>
                    <w:t>搅拌叶片</w:t>
                  </w:r>
                  <w:r>
                    <w:rPr>
                      <w:rFonts w:ascii="仿宋_GB2312" w:hAnsi="仿宋_GB2312" w:cs="仿宋_GB2312" w:eastAsia="仿宋_GB2312"/>
                      <w:sz w:val="21"/>
                    </w:rPr>
                    <w:t>≥</w:t>
                  </w:r>
                  <w:r>
                    <w:rPr>
                      <w:rFonts w:ascii="仿宋_GB2312" w:hAnsi="仿宋_GB2312" w:cs="仿宋_GB2312" w:eastAsia="仿宋_GB2312"/>
                      <w:sz w:val="21"/>
                    </w:rPr>
                    <w:t>48</w:t>
                  </w:r>
                  <w:r>
                    <w:rPr>
                      <w:rFonts w:ascii="仿宋_GB2312" w:hAnsi="仿宋_GB2312" w:cs="仿宋_GB2312" w:eastAsia="仿宋_GB2312"/>
                      <w:sz w:val="21"/>
                    </w:rPr>
                    <w:t>片，耐磨材质。</w:t>
                  </w:r>
                </w:p>
              </w:tc>
            </w:tr>
            <w:tr>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每个叶片可单独可换</w:t>
                  </w:r>
                </w:p>
              </w:tc>
            </w:tr>
            <w:tr>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摊铺系统</w:t>
                  </w:r>
                </w:p>
              </w:tc>
              <w:tc>
                <w:tcPr>
                  <w:tcW w:type="dxa" w:w="1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最小摊铺宽度</w:t>
                  </w:r>
                  <w:r>
                    <w:rPr>
                      <w:rFonts w:ascii="仿宋_GB2312" w:hAnsi="仿宋_GB2312" w:cs="仿宋_GB2312" w:eastAsia="仿宋_GB2312"/>
                      <w:sz w:val="21"/>
                      <w:color w:val="000000"/>
                    </w:rPr>
                    <w:t>≤</w:t>
                  </w:r>
                  <w:r>
                    <w:rPr>
                      <w:rFonts w:ascii="仿宋_GB2312" w:hAnsi="仿宋_GB2312" w:cs="仿宋_GB2312" w:eastAsia="仿宋_GB2312"/>
                      <w:sz w:val="21"/>
                    </w:rPr>
                    <w:t>2</w:t>
                  </w:r>
                  <w:r>
                    <w:rPr>
                      <w:rFonts w:ascii="仿宋_GB2312" w:hAnsi="仿宋_GB2312" w:cs="仿宋_GB2312" w:eastAsia="仿宋_GB2312"/>
                      <w:sz w:val="21"/>
                    </w:rPr>
                    <w:t>.5</w:t>
                  </w:r>
                  <w:r>
                    <w:rPr>
                      <w:rFonts w:ascii="仿宋_GB2312" w:hAnsi="仿宋_GB2312" w:cs="仿宋_GB2312" w:eastAsia="仿宋_GB2312"/>
                      <w:sz w:val="21"/>
                    </w:rPr>
                    <w:t>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最大摊铺宽度</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2m</w:t>
                  </w:r>
                </w:p>
              </w:tc>
            </w:tr>
            <w:tr>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最小摊铺厚度</w:t>
                  </w:r>
                  <w:r>
                    <w:rPr>
                      <w:rFonts w:ascii="仿宋_GB2312" w:hAnsi="仿宋_GB2312" w:cs="仿宋_GB2312" w:eastAsia="仿宋_GB2312"/>
                      <w:sz w:val="21"/>
                      <w:color w:val="000000"/>
                    </w:rPr>
                    <w:t>≤</w:t>
                  </w:r>
                  <w:r>
                    <w:rPr>
                      <w:rFonts w:ascii="仿宋_GB2312" w:hAnsi="仿宋_GB2312" w:cs="仿宋_GB2312" w:eastAsia="仿宋_GB2312"/>
                      <w:sz w:val="21"/>
                    </w:rPr>
                    <w:t>5</w:t>
                  </w:r>
                  <w:r>
                    <w:rPr>
                      <w:rFonts w:ascii="仿宋_GB2312" w:hAnsi="仿宋_GB2312" w:cs="仿宋_GB2312" w:eastAsia="仿宋_GB2312"/>
                      <w:sz w:val="21"/>
                    </w:rPr>
                    <w:t>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最大摊铺厚度</w:t>
                  </w: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mm</w:t>
                  </w:r>
                </w:p>
              </w:tc>
            </w:tr>
            <w:tr>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控制系统</w:t>
                  </w:r>
                </w:p>
              </w:tc>
              <w:tc>
                <w:tcPr>
                  <w:tcW w:type="dxa" w:w="1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智能化程度高，采用程序化自动控制技术，系统就可计算出各运动系统的参数。</w:t>
                  </w:r>
                </w:p>
              </w:tc>
            </w:tr>
            <w:tr>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★触屏操作</w:t>
                  </w:r>
                  <w:r>
                    <w:rPr>
                      <w:rFonts w:ascii="仿宋_GB2312" w:hAnsi="仿宋_GB2312" w:cs="仿宋_GB2312" w:eastAsia="仿宋_GB2312"/>
                      <w:sz w:val="21"/>
                    </w:rPr>
                    <w:t>，操作人员在触摸屏输入施工参数，设备自动执行。</w:t>
                  </w:r>
                </w:p>
              </w:tc>
            </w:tr>
            <w:tr>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无需标定：当物料配比发生变化时，无需重新标定，调整控制系统参数便可达到配比要求。</w:t>
                  </w:r>
                </w:p>
              </w:tc>
            </w:tr>
            <w:tr>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后控制操作人员可随时控制水量及车速。</w:t>
                  </w:r>
                </w:p>
              </w:tc>
            </w:tr>
          </w:tbl>
          <w:p/>
        </w:tc>
      </w:tr>
    </w:tbl>
    <w:p>
      <w:pPr>
        <w:pStyle w:val="null3"/>
      </w:pPr>
      <w:r>
        <w:rPr>
          <w:rFonts w:ascii="仿宋_GB2312" w:hAnsi="仿宋_GB2312" w:cs="仿宋_GB2312" w:eastAsia="仿宋_GB2312"/>
        </w:rPr>
        <w:t>标的名称：干湿路面吸尘车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875"/>
              <w:gridCol w:w="1670"/>
            </w:tblGrid>
            <w:tr>
              <w:tc>
                <w:tcPr>
                  <w:tcW w:type="dxa" w:w="8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性能</w:t>
                  </w:r>
                  <w:r>
                    <w:rPr>
                      <w:rFonts w:ascii="仿宋_GB2312" w:hAnsi="仿宋_GB2312" w:cs="仿宋_GB2312" w:eastAsia="仿宋_GB2312"/>
                      <w:sz w:val="21"/>
                      <w:b/>
                    </w:rPr>
                    <w:t>名称</w:t>
                  </w:r>
                </w:p>
              </w:tc>
              <w:tc>
                <w:tcPr>
                  <w:tcW w:type="dxa" w:w="16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性能</w:t>
                  </w:r>
                  <w:r>
                    <w:rPr>
                      <w:rFonts w:ascii="仿宋_GB2312" w:hAnsi="仿宋_GB2312" w:cs="仿宋_GB2312" w:eastAsia="仿宋_GB2312"/>
                      <w:sz w:val="21"/>
                      <w:b/>
                    </w:rPr>
                    <w:t>要求</w:t>
                  </w:r>
                </w:p>
              </w:tc>
            </w:tr>
            <w:tr>
              <w:tc>
                <w:tcPr>
                  <w:tcW w:type="dxa" w:w="8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both"/>
                  </w:pPr>
                  <w:r>
                    <w:rPr>
                      <w:rFonts w:ascii="仿宋_GB2312" w:hAnsi="仿宋_GB2312" w:cs="仿宋_GB2312" w:eastAsia="仿宋_GB2312"/>
                      <w:sz w:val="21"/>
                    </w:rPr>
                    <w:t>整车</w:t>
                  </w:r>
                </w:p>
              </w:tc>
              <w:tc>
                <w:tcPr>
                  <w:tcW w:type="dxa" w:w="1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设备功能</w:t>
                  </w:r>
                  <w:r>
                    <w:rPr>
                      <w:rFonts w:ascii="仿宋_GB2312" w:hAnsi="仿宋_GB2312" w:cs="仿宋_GB2312" w:eastAsia="仿宋_GB2312"/>
                      <w:sz w:val="21"/>
                    </w:rPr>
                    <w:t>：本设备适用于市政道路、煤场、矿区、港口、码头等场地清扫作业，可满足道路铣刨后、沥青铺设前等大面积、高强度路面清扫需求。</w:t>
                  </w:r>
                </w:p>
              </w:tc>
            </w:tr>
            <w:tr>
              <w:tc>
                <w:tcPr>
                  <w:tcW w:type="dxa" w:w="875"/>
                  <w:vMerge/>
                  <w:tcBorders>
                    <w:top w:val="none" w:color="000000" w:sz="4"/>
                    <w:left w:val="single" w:color="000000" w:sz="4"/>
                    <w:bottom w:val="single" w:color="000000" w:sz="4"/>
                    <w:right w:val="single" w:color="000000" w:sz="4"/>
                  </w:tcBorders>
                </w:tcPr>
                <w:p/>
              </w:tc>
              <w:tc>
                <w:tcPr>
                  <w:tcW w:type="dxa" w:w="1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作业类型：干式吸尘作业及湿式吸尘作业</w:t>
                  </w:r>
                </w:p>
              </w:tc>
            </w:tr>
            <w:tr>
              <w:tc>
                <w:tcPr>
                  <w:tcW w:type="dxa" w:w="8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底盘</w:t>
                  </w:r>
                </w:p>
              </w:tc>
              <w:tc>
                <w:tcPr>
                  <w:tcW w:type="dxa" w:w="1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整车最大质量</w:t>
                  </w:r>
                  <w:r>
                    <w:rPr>
                      <w:rFonts w:ascii="仿宋_GB2312" w:hAnsi="仿宋_GB2312" w:cs="仿宋_GB2312" w:eastAsia="仿宋_GB2312"/>
                      <w:sz w:val="21"/>
                    </w:rPr>
                    <w:t>≥</w:t>
                  </w:r>
                  <w:r>
                    <w:rPr>
                      <w:rFonts w:ascii="仿宋_GB2312" w:hAnsi="仿宋_GB2312" w:cs="仿宋_GB2312" w:eastAsia="仿宋_GB2312"/>
                      <w:sz w:val="21"/>
                    </w:rPr>
                    <w:t>18t</w:t>
                  </w:r>
                  <w:r>
                    <w:rPr>
                      <w:rFonts w:ascii="仿宋_GB2312" w:hAnsi="仿宋_GB2312" w:cs="仿宋_GB2312" w:eastAsia="仿宋_GB2312"/>
                      <w:sz w:val="21"/>
                    </w:rPr>
                    <w:t>，</w:t>
                  </w:r>
                  <w:r>
                    <w:rPr>
                      <w:rFonts w:ascii="仿宋_GB2312" w:hAnsi="仿宋_GB2312" w:cs="仿宋_GB2312" w:eastAsia="仿宋_GB2312"/>
                      <w:sz w:val="21"/>
                    </w:rPr>
                    <w:t>车辆驱动形式：</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后驱</w:t>
                  </w:r>
                </w:p>
              </w:tc>
            </w:tr>
            <w:tr>
              <w:tc>
                <w:tcPr>
                  <w:tcW w:type="dxa" w:w="875"/>
                  <w:vMerge/>
                  <w:tcBorders>
                    <w:top w:val="none" w:color="000000" w:sz="4"/>
                    <w:left w:val="single" w:color="000000" w:sz="4"/>
                    <w:bottom w:val="single" w:color="000000" w:sz="4"/>
                    <w:right w:val="single" w:color="000000" w:sz="4"/>
                  </w:tcBorders>
                </w:tcPr>
                <w:p/>
              </w:tc>
              <w:tc>
                <w:tcPr>
                  <w:tcW w:type="dxa" w:w="1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发动机额定功率：</w:t>
                  </w:r>
                  <w:r>
                    <w:rPr>
                      <w:rFonts w:ascii="仿宋_GB2312" w:hAnsi="仿宋_GB2312" w:cs="仿宋_GB2312" w:eastAsia="仿宋_GB2312"/>
                      <w:sz w:val="21"/>
                    </w:rPr>
                    <w:t>≥</w:t>
                  </w:r>
                  <w:r>
                    <w:rPr>
                      <w:rFonts w:ascii="仿宋_GB2312" w:hAnsi="仿宋_GB2312" w:cs="仿宋_GB2312" w:eastAsia="仿宋_GB2312"/>
                      <w:sz w:val="21"/>
                    </w:rPr>
                    <w:t>160</w:t>
                  </w:r>
                  <w:r>
                    <w:rPr>
                      <w:rFonts w:ascii="仿宋_GB2312" w:hAnsi="仿宋_GB2312" w:cs="仿宋_GB2312" w:eastAsia="仿宋_GB2312"/>
                      <w:sz w:val="21"/>
                    </w:rPr>
                    <w:t>kw</w:t>
                  </w:r>
                  <w:r>
                    <w:rPr>
                      <w:rFonts w:ascii="仿宋_GB2312" w:hAnsi="仿宋_GB2312" w:cs="仿宋_GB2312" w:eastAsia="仿宋_GB2312"/>
                      <w:sz w:val="21"/>
                    </w:rPr>
                    <w:t>，废气排放符合国六标准，并通过相应的环保公告。</w:t>
                  </w:r>
                </w:p>
              </w:tc>
            </w:tr>
            <w:tr>
              <w:tc>
                <w:tcPr>
                  <w:tcW w:type="dxa" w:w="8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辅助动力系统</w:t>
                  </w:r>
                </w:p>
              </w:tc>
              <w:tc>
                <w:tcPr>
                  <w:tcW w:type="dxa" w:w="1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设备配置辅助发动机，可为上装提供辅助动力。</w:t>
                  </w:r>
                </w:p>
              </w:tc>
            </w:tr>
            <w:tr>
              <w:tc>
                <w:tcPr>
                  <w:tcW w:type="dxa" w:w="875"/>
                  <w:vMerge/>
                  <w:tcBorders>
                    <w:top w:val="none" w:color="000000" w:sz="4"/>
                    <w:left w:val="single" w:color="000000" w:sz="4"/>
                    <w:bottom w:val="single" w:color="000000" w:sz="4"/>
                    <w:right w:val="single" w:color="000000" w:sz="4"/>
                  </w:tcBorders>
                </w:tcPr>
                <w:p/>
              </w:tc>
              <w:tc>
                <w:tcPr>
                  <w:tcW w:type="dxa" w:w="1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辅助发动机</w:t>
                  </w:r>
                  <w:r>
                    <w:rPr>
                      <w:rFonts w:ascii="仿宋_GB2312" w:hAnsi="仿宋_GB2312" w:cs="仿宋_GB2312" w:eastAsia="仿宋_GB2312"/>
                      <w:sz w:val="21"/>
                    </w:rPr>
                    <w:t>输出功率</w:t>
                  </w:r>
                  <w:r>
                    <w:rPr>
                      <w:rFonts w:ascii="仿宋_GB2312" w:hAnsi="仿宋_GB2312" w:cs="仿宋_GB2312" w:eastAsia="仿宋_GB2312"/>
                      <w:sz w:val="21"/>
                    </w:rPr>
                    <w:t>≥</w:t>
                  </w:r>
                  <w:r>
                    <w:rPr>
                      <w:rFonts w:ascii="仿宋_GB2312" w:hAnsi="仿宋_GB2312" w:cs="仿宋_GB2312" w:eastAsia="仿宋_GB2312"/>
                      <w:sz w:val="21"/>
                    </w:rPr>
                    <w:t>93</w:t>
                  </w:r>
                  <w:r>
                    <w:rPr>
                      <w:rFonts w:ascii="仿宋_GB2312" w:hAnsi="仿宋_GB2312" w:cs="仿宋_GB2312" w:eastAsia="仿宋_GB2312"/>
                      <w:sz w:val="21"/>
                    </w:rPr>
                    <w:t>kw</w:t>
                  </w:r>
                </w:p>
              </w:tc>
            </w:tr>
            <w:tr>
              <w:tc>
                <w:tcPr>
                  <w:tcW w:type="dxa" w:w="8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风机系统</w:t>
                  </w:r>
                </w:p>
              </w:tc>
              <w:tc>
                <w:tcPr>
                  <w:tcW w:type="dxa" w:w="1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风机采用辅助发动机皮带</w:t>
                  </w:r>
                  <w:r>
                    <w:rPr>
                      <w:rFonts w:ascii="仿宋_GB2312" w:hAnsi="仿宋_GB2312" w:cs="仿宋_GB2312" w:eastAsia="仿宋_GB2312"/>
                      <w:sz w:val="21"/>
                    </w:rPr>
                    <w:t>传动。</w:t>
                  </w:r>
                </w:p>
              </w:tc>
            </w:tr>
            <w:tr>
              <w:tc>
                <w:tcPr>
                  <w:tcW w:type="dxa" w:w="875"/>
                  <w:vMerge/>
                  <w:tcBorders>
                    <w:top w:val="none" w:color="000000" w:sz="4"/>
                    <w:left w:val="single" w:color="000000" w:sz="4"/>
                    <w:bottom w:val="single" w:color="000000" w:sz="4"/>
                    <w:right w:val="single" w:color="000000" w:sz="4"/>
                  </w:tcBorders>
                </w:tcPr>
                <w:p/>
              </w:tc>
              <w:tc>
                <w:tcPr>
                  <w:tcW w:type="dxa" w:w="1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★风量</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000m3/h</w:t>
                  </w:r>
                  <w:r>
                    <w:rPr>
                      <w:rFonts w:ascii="仿宋_GB2312" w:hAnsi="仿宋_GB2312" w:cs="仿宋_GB2312" w:eastAsia="仿宋_GB2312"/>
                      <w:sz w:val="21"/>
                    </w:rPr>
                    <w:t>，风压</w:t>
                  </w: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2</w:t>
                  </w:r>
                  <w:r>
                    <w:rPr>
                      <w:rFonts w:ascii="仿宋_GB2312" w:hAnsi="仿宋_GB2312" w:cs="仿宋_GB2312" w:eastAsia="仿宋_GB2312"/>
                      <w:sz w:val="21"/>
                    </w:rPr>
                    <w:t>00Pa</w:t>
                  </w:r>
                </w:p>
              </w:tc>
            </w:tr>
            <w:tr>
              <w:tc>
                <w:tcPr>
                  <w:tcW w:type="dxa" w:w="8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料箱</w:t>
                  </w:r>
                  <w:r>
                    <w:rPr>
                      <w:rFonts w:ascii="仿宋_GB2312" w:hAnsi="仿宋_GB2312" w:cs="仿宋_GB2312" w:eastAsia="仿宋_GB2312"/>
                      <w:sz w:val="21"/>
                    </w:rPr>
                    <w:t>系统</w:t>
                  </w:r>
                </w:p>
              </w:tc>
              <w:tc>
                <w:tcPr>
                  <w:tcW w:type="dxa" w:w="1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料箱</w:t>
                  </w:r>
                  <w:r>
                    <w:rPr>
                      <w:rFonts w:ascii="仿宋_GB2312" w:hAnsi="仿宋_GB2312" w:cs="仿宋_GB2312" w:eastAsia="仿宋_GB2312"/>
                      <w:sz w:val="21"/>
                    </w:rPr>
                    <w:t>容积</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m</w:t>
                  </w:r>
                  <w:r>
                    <w:rPr>
                      <w:rFonts w:ascii="仿宋_GB2312" w:hAnsi="仿宋_GB2312" w:cs="仿宋_GB2312" w:eastAsia="仿宋_GB2312"/>
                      <w:sz w:val="21"/>
                      <w:vertAlign w:val="superscript"/>
                    </w:rPr>
                    <w:t>3</w:t>
                  </w:r>
                </w:p>
              </w:tc>
            </w:tr>
            <w:tr>
              <w:tc>
                <w:tcPr>
                  <w:tcW w:type="dxa" w:w="875"/>
                  <w:vMerge/>
                  <w:tcBorders>
                    <w:top w:val="none" w:color="000000" w:sz="4"/>
                    <w:left w:val="single" w:color="000000" w:sz="4"/>
                    <w:bottom w:val="single" w:color="000000" w:sz="4"/>
                    <w:right w:val="single" w:color="000000" w:sz="4"/>
                  </w:tcBorders>
                </w:tcPr>
                <w:p/>
              </w:tc>
              <w:tc>
                <w:tcPr>
                  <w:tcW w:type="dxa" w:w="1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F1115"/>
                      <w:shd w:fill="FFFFFF" w:val="clear"/>
                    </w:rPr>
                    <w:t>▲</w:t>
                  </w:r>
                  <w:r>
                    <w:rPr>
                      <w:rFonts w:ascii="仿宋_GB2312" w:hAnsi="仿宋_GB2312" w:cs="仿宋_GB2312" w:eastAsia="仿宋_GB2312"/>
                      <w:sz w:val="21"/>
                    </w:rPr>
                    <w:t>舱体</w:t>
                  </w:r>
                  <w:r>
                    <w:rPr>
                      <w:rFonts w:ascii="仿宋_GB2312" w:hAnsi="仿宋_GB2312" w:cs="仿宋_GB2312" w:eastAsia="仿宋_GB2312"/>
                      <w:sz w:val="21"/>
                    </w:rPr>
                    <w:t>分布有两个风道：干式风道和湿式风道。</w:t>
                  </w:r>
                </w:p>
              </w:tc>
            </w:tr>
            <w:tr>
              <w:tc>
                <w:tcPr>
                  <w:tcW w:type="dxa" w:w="875"/>
                  <w:vMerge/>
                  <w:tcBorders>
                    <w:top w:val="none" w:color="000000" w:sz="4"/>
                    <w:left w:val="single" w:color="000000" w:sz="4"/>
                    <w:bottom w:val="single" w:color="000000" w:sz="4"/>
                    <w:right w:val="single" w:color="000000" w:sz="4"/>
                  </w:tcBorders>
                </w:tcPr>
                <w:p/>
              </w:tc>
              <w:tc>
                <w:tcPr>
                  <w:tcW w:type="dxa" w:w="1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料箱采用油缸举升卸料</w:t>
                  </w:r>
                </w:p>
              </w:tc>
            </w:tr>
            <w:tr>
              <w:tc>
                <w:tcPr>
                  <w:tcW w:type="dxa" w:w="875"/>
                  <w:vMerge/>
                  <w:tcBorders>
                    <w:top w:val="none" w:color="000000" w:sz="4"/>
                    <w:left w:val="single" w:color="000000" w:sz="4"/>
                    <w:bottom w:val="single" w:color="000000" w:sz="4"/>
                    <w:right w:val="single" w:color="000000" w:sz="4"/>
                  </w:tcBorders>
                </w:tcPr>
                <w:p/>
              </w:tc>
              <w:tc>
                <w:tcPr>
                  <w:tcW w:type="dxa" w:w="1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料箱尾部设有卸料口，采用油缸开启及关闭卸料口门。</w:t>
                  </w:r>
                </w:p>
              </w:tc>
            </w:tr>
            <w:tr>
              <w:tc>
                <w:tcPr>
                  <w:tcW w:type="dxa" w:w="8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除尘</w:t>
                  </w:r>
                  <w:r>
                    <w:rPr>
                      <w:rFonts w:ascii="仿宋_GB2312" w:hAnsi="仿宋_GB2312" w:cs="仿宋_GB2312" w:eastAsia="仿宋_GB2312"/>
                      <w:sz w:val="21"/>
                    </w:rPr>
                    <w:t>系统</w:t>
                  </w:r>
                </w:p>
              </w:tc>
              <w:tc>
                <w:tcPr>
                  <w:tcW w:type="dxa" w:w="1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设备采用滤芯除尘</w:t>
                  </w:r>
                </w:p>
              </w:tc>
            </w:tr>
            <w:tr>
              <w:tc>
                <w:tcPr>
                  <w:tcW w:type="dxa" w:w="875"/>
                  <w:vMerge/>
                  <w:tcBorders>
                    <w:top w:val="none" w:color="000000" w:sz="4"/>
                    <w:left w:val="single" w:color="000000" w:sz="4"/>
                    <w:bottom w:val="single" w:color="000000" w:sz="4"/>
                    <w:right w:val="single" w:color="000000" w:sz="4"/>
                  </w:tcBorders>
                </w:tcPr>
                <w:p/>
              </w:tc>
              <w:tc>
                <w:tcPr>
                  <w:tcW w:type="dxa" w:w="1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1"/>
                    </w:rPr>
                    <w:t>除尘滤芯数量</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个</w:t>
                  </w:r>
                </w:p>
              </w:tc>
            </w:tr>
            <w:tr>
              <w:tc>
                <w:tcPr>
                  <w:tcW w:type="dxa" w:w="875"/>
                  <w:vMerge/>
                  <w:tcBorders>
                    <w:top w:val="none" w:color="000000" w:sz="4"/>
                    <w:left w:val="single" w:color="000000" w:sz="4"/>
                    <w:bottom w:val="single" w:color="000000" w:sz="4"/>
                    <w:right w:val="single" w:color="000000" w:sz="4"/>
                  </w:tcBorders>
                </w:tcPr>
                <w:p/>
              </w:tc>
              <w:tc>
                <w:tcPr>
                  <w:tcW w:type="dxa" w:w="1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F1115"/>
                      <w:shd w:fill="FFFFFF" w:val="clear"/>
                    </w:rPr>
                    <w:t>▲</w:t>
                  </w:r>
                  <w:r>
                    <w:rPr>
                      <w:rFonts w:ascii="仿宋_GB2312" w:hAnsi="仿宋_GB2312" w:cs="仿宋_GB2312" w:eastAsia="仿宋_GB2312"/>
                      <w:sz w:val="21"/>
                    </w:rPr>
                    <w:t>除尘滤芯具备自动清尘系统。</w:t>
                  </w:r>
                </w:p>
              </w:tc>
            </w:tr>
            <w:tr>
              <w:tc>
                <w:tcPr>
                  <w:tcW w:type="dxa" w:w="8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清扫系统</w:t>
                  </w:r>
                </w:p>
              </w:tc>
              <w:tc>
                <w:tcPr>
                  <w:tcW w:type="dxa" w:w="1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清扫</w:t>
                  </w:r>
                  <w:r>
                    <w:rPr>
                      <w:rFonts w:ascii="仿宋_GB2312" w:hAnsi="仿宋_GB2312" w:cs="仿宋_GB2312" w:eastAsia="仿宋_GB2312"/>
                      <w:sz w:val="21"/>
                    </w:rPr>
                    <w:t>宽度</w:t>
                  </w:r>
                  <w:r>
                    <w:rPr>
                      <w:rFonts w:ascii="仿宋_GB2312" w:hAnsi="仿宋_GB2312" w:cs="仿宋_GB2312" w:eastAsia="仿宋_GB2312"/>
                      <w:sz w:val="21"/>
                    </w:rPr>
                    <w:t>：</w:t>
                  </w:r>
                  <w:r>
                    <w:rPr>
                      <w:rFonts w:ascii="仿宋_GB2312" w:hAnsi="仿宋_GB2312" w:cs="仿宋_GB2312" w:eastAsia="仿宋_GB2312"/>
                      <w:sz w:val="21"/>
                    </w:rPr>
                    <w:t>2200</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3200</w:t>
                  </w:r>
                  <w:r>
                    <w:rPr>
                      <w:rFonts w:ascii="仿宋_GB2312" w:hAnsi="仿宋_GB2312" w:cs="仿宋_GB2312" w:eastAsia="仿宋_GB2312"/>
                      <w:sz w:val="21"/>
                    </w:rPr>
                    <w:t>mm</w:t>
                  </w:r>
                </w:p>
              </w:tc>
            </w:tr>
            <w:tr>
              <w:tc>
                <w:tcPr>
                  <w:tcW w:type="dxa" w:w="875"/>
                  <w:vMerge/>
                  <w:tcBorders>
                    <w:top w:val="none" w:color="000000" w:sz="4"/>
                    <w:left w:val="single" w:color="000000" w:sz="4"/>
                    <w:bottom w:val="single" w:color="000000" w:sz="4"/>
                    <w:right w:val="single" w:color="000000" w:sz="4"/>
                  </w:tcBorders>
                </w:tcPr>
                <w:p/>
              </w:tc>
              <w:tc>
                <w:tcPr>
                  <w:tcW w:type="dxa" w:w="1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清扫装置包含边刷清扫系统及尾部滚刷系统。</w:t>
                  </w:r>
                </w:p>
              </w:tc>
            </w:tr>
            <w:tr>
              <w:tc>
                <w:tcPr>
                  <w:tcW w:type="dxa" w:w="875"/>
                  <w:vMerge/>
                  <w:tcBorders>
                    <w:top w:val="none" w:color="000000" w:sz="4"/>
                    <w:left w:val="single" w:color="000000" w:sz="4"/>
                    <w:bottom w:val="single" w:color="000000" w:sz="4"/>
                    <w:right w:val="single" w:color="000000" w:sz="4"/>
                  </w:tcBorders>
                </w:tcPr>
                <w:p/>
              </w:tc>
              <w:tc>
                <w:tcPr>
                  <w:tcW w:type="dxa" w:w="1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F1115"/>
                      <w:shd w:fill="FFFFFF" w:val="clear"/>
                    </w:rPr>
                    <w:t>▲</w:t>
                  </w:r>
                  <w:r>
                    <w:rPr>
                      <w:rFonts w:ascii="仿宋_GB2312" w:hAnsi="仿宋_GB2312" w:cs="仿宋_GB2312" w:eastAsia="仿宋_GB2312"/>
                      <w:sz w:val="21"/>
                    </w:rPr>
                    <w:t>边刷</w:t>
                  </w:r>
                  <w:r>
                    <w:rPr>
                      <w:rFonts w:ascii="仿宋_GB2312" w:hAnsi="仿宋_GB2312" w:cs="仿宋_GB2312" w:eastAsia="仿宋_GB2312"/>
                      <w:sz w:val="21"/>
                    </w:rPr>
                    <w:t>可</w:t>
                  </w:r>
                  <w:r>
                    <w:rPr>
                      <w:rFonts w:ascii="仿宋_GB2312" w:hAnsi="仿宋_GB2312" w:cs="仿宋_GB2312" w:eastAsia="仿宋_GB2312"/>
                      <w:sz w:val="21"/>
                    </w:rPr>
                    <w:t>通过油缸进行</w:t>
                  </w:r>
                  <w:r>
                    <w:rPr>
                      <w:rFonts w:ascii="仿宋_GB2312" w:hAnsi="仿宋_GB2312" w:cs="仿宋_GB2312" w:eastAsia="仿宋_GB2312"/>
                      <w:sz w:val="21"/>
                    </w:rPr>
                    <w:t>伸展收回</w:t>
                  </w:r>
                </w:p>
              </w:tc>
            </w:tr>
            <w:tr>
              <w:tc>
                <w:tcPr>
                  <w:tcW w:type="dxa" w:w="875"/>
                  <w:vMerge/>
                  <w:tcBorders>
                    <w:top w:val="none" w:color="000000" w:sz="4"/>
                    <w:left w:val="single" w:color="000000" w:sz="4"/>
                    <w:bottom w:val="single" w:color="000000" w:sz="4"/>
                    <w:right w:val="single" w:color="000000" w:sz="4"/>
                  </w:tcBorders>
                </w:tcPr>
                <w:p/>
              </w:tc>
              <w:tc>
                <w:tcPr>
                  <w:tcW w:type="dxa" w:w="1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F1115"/>
                      <w:shd w:fill="FFFFFF" w:val="clear"/>
                    </w:rPr>
                    <w:t>▲</w:t>
                  </w:r>
                  <w:r>
                    <w:rPr>
                      <w:rFonts w:ascii="仿宋_GB2312" w:hAnsi="仿宋_GB2312" w:cs="仿宋_GB2312" w:eastAsia="仿宋_GB2312"/>
                      <w:sz w:val="21"/>
                    </w:rPr>
                    <w:t>边刷设有防撞缓冲结构，可以避开一定体积的障碍物。</w:t>
                  </w:r>
                </w:p>
              </w:tc>
            </w:tr>
            <w:tr>
              <w:tc>
                <w:tcPr>
                  <w:tcW w:type="dxa" w:w="875"/>
                  <w:vMerge/>
                  <w:tcBorders>
                    <w:top w:val="none" w:color="000000" w:sz="4"/>
                    <w:left w:val="single" w:color="000000" w:sz="4"/>
                    <w:bottom w:val="single" w:color="000000" w:sz="4"/>
                    <w:right w:val="single" w:color="000000" w:sz="4"/>
                  </w:tcBorders>
                </w:tcPr>
                <w:p/>
              </w:tc>
              <w:tc>
                <w:tcPr>
                  <w:tcW w:type="dxa" w:w="1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滚刷设有升降机构，</w:t>
                  </w:r>
                  <w:r>
                    <w:rPr>
                      <w:rFonts w:ascii="仿宋_GB2312" w:hAnsi="仿宋_GB2312" w:cs="仿宋_GB2312" w:eastAsia="仿宋_GB2312"/>
                      <w:sz w:val="21"/>
                    </w:rPr>
                    <w:t>采用</w:t>
                  </w:r>
                  <w:r>
                    <w:rPr>
                      <w:rFonts w:ascii="仿宋_GB2312" w:hAnsi="仿宋_GB2312" w:cs="仿宋_GB2312" w:eastAsia="仿宋_GB2312"/>
                      <w:sz w:val="21"/>
                    </w:rPr>
                    <w:t>升降油缸</w:t>
                  </w:r>
                  <w:r>
                    <w:rPr>
                      <w:rFonts w:ascii="仿宋_GB2312" w:hAnsi="仿宋_GB2312" w:cs="仿宋_GB2312" w:eastAsia="仿宋_GB2312"/>
                      <w:sz w:val="21"/>
                    </w:rPr>
                    <w:t>升起及落下</w:t>
                  </w:r>
                </w:p>
              </w:tc>
            </w:tr>
            <w:tr>
              <w:tc>
                <w:tcPr>
                  <w:tcW w:type="dxa" w:w="8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水系统</w:t>
                  </w:r>
                </w:p>
              </w:tc>
              <w:tc>
                <w:tcPr>
                  <w:tcW w:type="dxa" w:w="1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水箱容积</w:t>
                  </w:r>
                  <w:r>
                    <w:rPr>
                      <w:rFonts w:ascii="仿宋_GB2312" w:hAnsi="仿宋_GB2312" w:cs="仿宋_GB2312" w:eastAsia="仿宋_GB2312"/>
                      <w:sz w:val="21"/>
                    </w:rPr>
                    <w:t>≥</w:t>
                  </w:r>
                  <w:r>
                    <w:rPr>
                      <w:rFonts w:ascii="仿宋_GB2312" w:hAnsi="仿宋_GB2312" w:cs="仿宋_GB2312" w:eastAsia="仿宋_GB2312"/>
                      <w:sz w:val="21"/>
                    </w:rPr>
                    <w:t>40</w:t>
                  </w:r>
                  <w:r>
                    <w:rPr>
                      <w:rFonts w:ascii="仿宋_GB2312" w:hAnsi="仿宋_GB2312" w:cs="仿宋_GB2312" w:eastAsia="仿宋_GB2312"/>
                      <w:sz w:val="21"/>
                    </w:rPr>
                    <w:t>00</w:t>
                  </w:r>
                  <w:r>
                    <w:rPr>
                      <w:rFonts w:ascii="仿宋_GB2312" w:hAnsi="仿宋_GB2312" w:cs="仿宋_GB2312" w:eastAsia="仿宋_GB2312"/>
                      <w:sz w:val="21"/>
                    </w:rPr>
                    <w:t>L</w:t>
                  </w:r>
                </w:p>
              </w:tc>
            </w:tr>
            <w:tr>
              <w:tc>
                <w:tcPr>
                  <w:tcW w:type="dxa" w:w="875"/>
                  <w:vMerge/>
                  <w:tcBorders>
                    <w:top w:val="none" w:color="000000" w:sz="4"/>
                    <w:left w:val="single" w:color="000000" w:sz="4"/>
                    <w:bottom w:val="single" w:color="000000" w:sz="4"/>
                    <w:right w:val="single" w:color="000000" w:sz="4"/>
                  </w:tcBorders>
                </w:tcPr>
                <w:p/>
              </w:tc>
              <w:tc>
                <w:tcPr>
                  <w:tcW w:type="dxa" w:w="1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水系统可</w:t>
                  </w:r>
                  <w:r>
                    <w:rPr>
                      <w:rFonts w:ascii="仿宋_GB2312" w:hAnsi="仿宋_GB2312" w:cs="仿宋_GB2312" w:eastAsia="仿宋_GB2312"/>
                      <w:sz w:val="21"/>
                    </w:rPr>
                    <w:t>为边刷、滚刷、料仓内及水枪等执行元件提供水源</w:t>
                  </w:r>
                </w:p>
              </w:tc>
            </w:tr>
            <w:tr>
              <w:tc>
                <w:tcPr>
                  <w:tcW w:type="dxa" w:w="8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控制系统</w:t>
                  </w:r>
                </w:p>
              </w:tc>
              <w:tc>
                <w:tcPr>
                  <w:tcW w:type="dxa" w:w="1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控制柜</w:t>
                  </w:r>
                  <w:r>
                    <w:rPr>
                      <w:rFonts w:ascii="仿宋_GB2312" w:hAnsi="仿宋_GB2312" w:cs="仿宋_GB2312" w:eastAsia="仿宋_GB2312"/>
                      <w:sz w:val="21"/>
                    </w:rPr>
                    <w:t>安装在</w:t>
                  </w:r>
                  <w:r>
                    <w:rPr>
                      <w:rFonts w:ascii="仿宋_GB2312" w:hAnsi="仿宋_GB2312" w:cs="仿宋_GB2312" w:eastAsia="仿宋_GB2312"/>
                      <w:sz w:val="21"/>
                    </w:rPr>
                    <w:t>驾驶室，用于整车各项动作的操作。</w:t>
                  </w:r>
                </w:p>
              </w:tc>
            </w:tr>
            <w:tr>
              <w:tc>
                <w:tcPr>
                  <w:tcW w:type="dxa" w:w="875"/>
                  <w:vMerge/>
                  <w:tcBorders>
                    <w:top w:val="none" w:color="000000" w:sz="4"/>
                    <w:left w:val="single" w:color="000000" w:sz="4"/>
                    <w:bottom w:val="single" w:color="000000" w:sz="4"/>
                    <w:right w:val="single" w:color="000000" w:sz="4"/>
                  </w:tcBorders>
                </w:tcPr>
                <w:p/>
              </w:tc>
              <w:tc>
                <w:tcPr>
                  <w:tcW w:type="dxa" w:w="1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F1115"/>
                      <w:shd w:fill="FFFFFF" w:val="clear"/>
                    </w:rPr>
                    <w:t>▲</w:t>
                  </w:r>
                  <w:r>
                    <w:rPr>
                      <w:rFonts w:ascii="仿宋_GB2312" w:hAnsi="仿宋_GB2312" w:cs="仿宋_GB2312" w:eastAsia="仿宋_GB2312"/>
                      <w:sz w:val="21"/>
                    </w:rPr>
                    <w:t>配备了无线遥控装置，用于可视化排料。</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合同签订之日起20个日历日内完成全部设备交付</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进度款，设备运抵指定地点并完成验收合格后，达到付款条件起10个工作日内，支付合同总金额的40.0%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进度款，设备安装调试完毕，试运行并经最终验收合格，达到付款条件起10个工作日内，支付合同总金额的30.0%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由采购人和成交单位（中标人）共同对设备整体进行验收。其内容包括确认产品的产地、规格、型号和数量，对其产品技术指标、采购要求及性能参数是否达到现行国家有关验收规范“合格”标准进行逐项检查。 2、所验产品的指标、性能参数通过验收达不到招标文件要求和投标文件承诺的，或在使用中发现采购人不能容忍的缺陷等，将视为产品验收不合格，投标人应无条件免费更换或退货。 3、 若发现投标人有弄虚作假的，在投标阶段故意或随意夸大产品技术性能，投标人应无条件退货，并赔偿采购人相应的损失。 4、 验收标准：按招标文件、投标文件等技术指标进行验收。各项指标均应符合验收标准及要求。 5、 验收合格后，填写验收单，双方签字生效。 6、 验收依据： （1）合同文本； （2）投标文件、招标文件； （3）国家和行业制定的相应的标准和规范； （4）产品验收清单（注明品名、数量、规格和原产地或生产厂家）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涉及的商品包装和快递包装，均应符合《商品包装政府采购需求标准（试行）》《快递包装政府采购需求标准（试行）》的要求，包装应适应于远距离运输、防潮、防震、防锈和防野蛮装卸，以确保货物安全无损运抵指定地点。2、包装要求：投标人应采取防潮、防晒、防腐蚀、防震动等必要保护措施，因包装不当造成的货物锈蚀、损坏、丢失等损失由投标人承担责任。 3、运输要求：运杂费（含装卸、运输、保险、现场保管费、二次倒运费等）全部包含在总价内。 4、运输保险：投标人应在发运前为设备购买足额运输保险，费用由投标人承担。 5、风险转移：设备送达采购人指定地点并完成交付签收之日起，意外毁损、灭失风险转移至采购人；因设备本身出厂质量缺陷导致损毁的，由投标人承担责任。</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验收合格之日起12个月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1、按《中华人民共和国民法典》相关条款执行。 2、未按合同要求提供服务或服务质量不能满足采购人要求的，采购人有权终止合同，并报请政府采购管理部门对其违约行为进行追究。 3、因投标人原因导致合同解除的，投标人应赔偿采购人因此遭受的全部损失。 4、合同履行过程中发生争议的，双方应协商解决；协商不成的，可向同级政府采购监管部门投诉，也可依法提请仲裁或向人民法院提起诉讼。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 xml:space="preserve"> 合同价款：本合同为含税全包价，包含设备购置费、运输费、装卸费、安装调试费、车辆挂牌费、培训费、质保期内售后服务费及所有伴随费用。合同履行期间价款不作调整。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为本项目提供整体设计、规范编制或者项目管理、监理、检测等服务的投标人，不得再参加该采购项目的其他采购活动。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具有独立承担民事责任能力的法人、其他组织或自然人：法人或者其他组织提供营业执照等证明文件，自然人提供身份证件，投标人需在项目电子化交易系统中按要求上传相应证明文件并进行电子签章；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投标人在本项目投标文件递交截止时间前十二个月内任意一个月的税收缴纳凭证及社会保险缴纳的凭证。依法免税或不需要缴纳社会保障资金的投标人，应提供相应文件证明其依法免税或不需要缴纳社会保障资金，投标人需在项目电子化交易系统中按要求上传相应证明文件，或提供《基本资格条件承诺函》；投标人需在项目电子化交易系统中按要求上传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提供2025年度经审计的财务审计报告（事业法人可提供部门决算报告），经审计的财务报告应满足以下要求：财务报告是指经会计师事务所审计的上述指定年度整个会计年度财务报表（须提供会计师事务所出具的审计报告复印件）,复印件至少须包括报告正文、资产负债表、现金流量表、利润表、附注和会计师事务所营业执照；或提供投标人基本账户银行出具的递交投标文件截止时间前六个月内的资信证明及投标人基本存款账户开户许可证（或基本存款账户信息））或提供专业担保机构出具的投标担保函；或提供《基本资格条件承诺函》；投标人需在项目电子化交易系统中按要求上传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参加政府采购活动前3年内在经营活动中没有重大违法记录的书面声明； 其中：重大违法记录是指投标人因违法经营受到刑事处罚或者责令停产停业、吊销许可证或者执照、较大数额罚款等行政处罚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 其中：重大违法记录是指供应商因违法经营受到刑事处罚或者责令停产停业、吊销许可证或者执照、较大数额罚款等行政处罚。或提供《基本资格条件承诺函》；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投标文件签署、盖章均按招标文件要求签字、盖章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技术参数要求</w:t>
            </w:r>
          </w:p>
        </w:tc>
        <w:tc>
          <w:tcPr>
            <w:tcW w:type="dxa" w:w="2492"/>
          </w:tcPr>
          <w:p>
            <w:pPr>
              <w:pStyle w:val="null3"/>
            </w:pPr>
            <w:r>
              <w:rPr>
                <w:rFonts w:ascii="仿宋_GB2312" w:hAnsi="仿宋_GB2312" w:cs="仿宋_GB2312" w:eastAsia="仿宋_GB2312"/>
              </w:rPr>
              <w:t>投标产品的技术指标满足招标文件要求的，得满分20分。 带“★”标识的参数需求为实质性要求，必须响应并满足参数需求。 1、带“▲”号技术参数共计9项，有一项不满足扣1分； 2、非“▲”和非“★”号技术参数共计22项每有一项负偏离扣0.5分， 注：对标“▲”和“★”号技术参数供应商必须提供相关技术参数佐证材料（不限于国家认可的检测机构出具的检测报告或制造商检验报告或产品彩页或官网功能截图等）予以证明其技术参数的响应性。未提供或评审委员会认定所提供材料无法有效证明的将视为不满足本参数要求。 3、对非“▲”非“★”号的技术参数投标人在投标文件中应尽可能多地提供技术支持资料予以证明其技术指标响应性，并在技术响应偏离表中标注对应页码及位置。</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1、产品性能说明：提供投标产品性能说明文件，包含产品主要技术参数、性能指标、功能特点详细描述。内容完整得3分，所投产品每缺一项扣0.5分，扣完为止；未提供不得分。 2、质量保证承诺：提供投标产品质量保证承诺函，明确质保期限（≥12个月）、质保范围、质保期内服务内容：内容完整得3分；所投产品每缺一项扣0.5分，扣完为止；未提供不得分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供货渠道合法</w:t>
            </w:r>
          </w:p>
        </w:tc>
        <w:tc>
          <w:tcPr>
            <w:tcW w:type="dxa" w:w="2492"/>
          </w:tcPr>
          <w:p>
            <w:pPr>
              <w:pStyle w:val="null3"/>
            </w:pPr>
            <w:r>
              <w:rPr>
                <w:rFonts w:ascii="仿宋_GB2312" w:hAnsi="仿宋_GB2312" w:cs="仿宋_GB2312" w:eastAsia="仿宋_GB2312"/>
              </w:rPr>
              <w:t>投标单位提供所投产品的合法来源渠道证明文件，满分3分，不提供不得分。以下资料提供任意一种:1、如投标单位为所投产品代理商:提供货物的合法来源渠道证明文件(例如:产品制造商授权、销售协议、代理协议等证明文件)，所投产品全部提供得3分，每少提供一台采购产品证明文件扣1.5分，扣完为止。2、如供应商为所投产品的制造商:需提供情况说明(说明某一项产品为制造商自己生产)，所投产品全部提供得3分，每少提供一台采购产品证明文件扣1.5分，扣完为止。备注:以加盖投标单位公章的证明材料复印件为计分依据</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1、培训计划：提供完整的培训计划，包含培训时间（≥3天）、培训地点及培训对象（操作人员）、培训方式及培训频次；内容完整得3分；每缺一项扣1分，扣完为止；未提供不得分。 2、培训内容：提供完整的培训内容说明，包含设备操作、维护保养、故障排除；内容完整得3分；每缺一项扣1分，扣完为止；未提供不得分 3、额外承诺在培训结束后进行实操考核，并确保操作人员达到独立操作水平的，加2分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交货期承诺加分</w:t>
            </w:r>
          </w:p>
        </w:tc>
        <w:tc>
          <w:tcPr>
            <w:tcW w:type="dxa" w:w="2492"/>
          </w:tcPr>
          <w:p>
            <w:pPr>
              <w:pStyle w:val="null3"/>
            </w:pPr>
            <w:r>
              <w:rPr>
                <w:rFonts w:ascii="仿宋_GB2312" w:hAnsi="仿宋_GB2312" w:cs="仿宋_GB2312" w:eastAsia="仿宋_GB2312"/>
              </w:rPr>
              <w:t>投标单位在满足招标文件要求的交货期（20个日历日）基础上，承诺每提前2个日历日交付的加1分，最多加4分。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质保期承诺加分</w:t>
            </w:r>
          </w:p>
        </w:tc>
        <w:tc>
          <w:tcPr>
            <w:tcW w:type="dxa" w:w="2492"/>
          </w:tcPr>
          <w:p>
            <w:pPr>
              <w:pStyle w:val="null3"/>
            </w:pPr>
            <w:r>
              <w:rPr>
                <w:rFonts w:ascii="仿宋_GB2312" w:hAnsi="仿宋_GB2312" w:cs="仿宋_GB2312" w:eastAsia="仿宋_GB2312"/>
              </w:rPr>
              <w:t>投标单位在满足招标文件要求的最低质保期（12个月）基础上，每延长3个月加1分，最多加4分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1、供货、运输安排、安装调试说明； 2、供货进度计划及保障措施； 3、管理制度、协调方案及项目验收方案； 4、人员配置分工。 评审标准：各项内容全面，条理清晰，阐述合理，能有效保障本项目的开展实施。每项满分为3.5分，每缺1项当项不得分，每有一处内容存在缺陷或瑕疵，扣0.5分，扣完为止。 备注：缺陷是指内容不合理、虽有内容但不完善、内容表述前后不一致、套用其他项目方案或与项目需求不匹配及其他不利于项目实施等任意一种情形。 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1、售后服务总体计划及应急处理措施； 2、故障响应时间、处理方式及服务承诺； 3、售后服务方式及售后服务人员保障。 评审标准：各项内容全面，条理清晰，阐述合理，能有效保障本项目供货实施。每项满分为2分，每缺1项当项不得分，每有一处内容存在缺陷或瑕疵，扣0.5分，扣完为止。 备注：缺陷是指内容不合理、虽有内容但不完善、内容表述前后不一致、套用其他项目方案或与项目需求不匹配及其他不利于项目实施等任意一种情形。 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供应商提供2023年1月至今的类似业绩，每提供一份合同复印件或中标通知书或中标（成交）结果公告网页截图并加盖公章得1分，满分5分，提供资料不全或者无法辨认的不得分。 类似业绩指：特种车辆（专用车辆）销售业绩</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价格分统一采用低价优先法计算，即满足招标文件要求且投标价格最低的投标报价为评标基准价，其价格分为满分。其他投标人的价格分统一按照下列公式计算：价格分=(评标基准价／投标报价)×30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详见附件：拟签订合同文本（参考）.docx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