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版本号：ZCXG-ZB-202604720260707001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西安市“十五五”野生动植物保护专项规划编制项目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ZCXG-ZB-2026047</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西安市“十五五”野生动植物保护专项规划编制项目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西安市“十五五”野生动植物保护专项规划编制项目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采购西安市“十五五”野生动植物保护专项规划编制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采购包1（西安市“十五五”野生动植物保护专项规划编制项目）：属于专门面向中小企业采购。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会计报告：供应商提供2024年度或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3、社保缴纳证明：提供2025年6月1日至今任意时段的社会保障资金缴存单据或社保机构开具的社会保险参保缴费情况证明，依法不需要缴纳社会保障资金的提供相关文件证明。</w:t>
      </w:r>
    </w:p>
    <w:p>
      <w:pPr>
        <w:pStyle w:val="null3"/>
      </w:pPr>
      <w:r>
        <w:rPr>
          <w:rFonts w:ascii="仿宋_GB2312" w:hAnsi="仿宋_GB2312" w:cs="仿宋_GB2312" w:eastAsia="仿宋_GB2312"/>
        </w:rPr>
        <w:t>4、税收缴纳证明：提供2025年6月1日至今任意时段的纳税证明或完税证明，纳税证明或完税证明上应有代收机构或税务机关的公章，依法免税的应提供相关文件证明</w:t>
      </w:r>
    </w:p>
    <w:p>
      <w:pPr>
        <w:pStyle w:val="null3"/>
      </w:pPr>
      <w:r>
        <w:rPr>
          <w:rFonts w:ascii="仿宋_GB2312" w:hAnsi="仿宋_GB2312" w:cs="仿宋_GB2312" w:eastAsia="仿宋_GB2312"/>
        </w:rPr>
        <w:t>5、无重大违法记录声明：参加政府采购项目前 3 年内经营项目中没有重大违法记录声明。</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附被授权人在本单位缴纳社保的证明材料、劳动合同复印件、授权代表身份证复印件。磋商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9、联合体响应：本项目不接受联合体响应，不允许分包。供应商提供《非联合体不分包投标声明》，视为独立响应，不分包。</w:t>
      </w:r>
    </w:p>
    <w:p>
      <w:pPr>
        <w:pStyle w:val="null3"/>
      </w:pPr>
      <w:r>
        <w:rPr>
          <w:rFonts w:ascii="仿宋_GB2312" w:hAnsi="仿宋_GB2312" w:cs="仿宋_GB2312" w:eastAsia="仿宋_GB2312"/>
        </w:rPr>
        <w:t>10、信用中国：通过“信用中国”网站（www.creditchina.gov.cn/ ）和“中国政府采购网”（http://www.ccgp.gov.cn/）查询投标主体未被列入失信被执行人、重大税收失信主体、政府采购严重违法失信行为记录名单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西安市长安区关中环线子午段2345号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梁迟金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陕西省西安市雁塔区南二环路西段88号老三届8楼K座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1</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收费标准：参照国家计委2002年颁发的《招标代理服务收费管理暂行办法》(计价格〔2002〕1980号)和国家发改委颁发的《关于招标代理服务费收费有关问题的通知》（发改办价格〔2003〕857号）、《国家发展改革委关于降低部分建设项目收费标准规范收费行为等有关问题的通知》发改价格〔2011〕534号文件的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联系人：张航帆</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 8 层 K 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西安市“十五五”野生动植物保护专项规划编制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西安市“十五五”野生动植物保护专项规划编制项目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标的名称：西安市“十五五”野生动植物保护专项规划编制项目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（一）编制依据：</w:t>
            </w:r>
          </w:p>
          <w:p>
            <w:pPr>
              <w:pStyle w:val="null3"/>
              <w:ind w:firstLine="400"/>
            </w:pPr>
            <w:r>
              <w:rPr>
                <w:rFonts w:ascii="仿宋_GB2312" w:hAnsi="仿宋_GB2312" w:cs="仿宋_GB2312" w:eastAsia="仿宋_GB2312"/>
              </w:rPr>
              <w:t>法律法规：《中华人民共和国野生动物保护法》（第五条）、《陕西省实施〈中华人民共和国野生动物保护法〉办法》（第三条）、《陕西省秦岭生态保护条例》以及西安市相关地方性法规。</w:t>
            </w:r>
          </w:p>
          <w:p>
            <w:pPr>
              <w:pStyle w:val="null3"/>
              <w:ind w:firstLine="400"/>
            </w:pPr>
            <w:r>
              <w:rPr>
                <w:rFonts w:ascii="仿宋_GB2312" w:hAnsi="仿宋_GB2312" w:cs="仿宋_GB2312" w:eastAsia="仿宋_GB2312"/>
              </w:rPr>
              <w:t>政策文件：《国家林业和草原局</w:t>
            </w:r>
            <w:r>
              <w:rPr>
                <w:rFonts w:ascii="仿宋_GB2312" w:hAnsi="仿宋_GB2312" w:cs="仿宋_GB2312" w:eastAsia="仿宋_GB2312"/>
              </w:rPr>
              <w:t>“十五五”规划《建议》前期重大课题研究报告》《西安市秦岭生态环境保护规划》等。</w:t>
            </w:r>
          </w:p>
          <w:p>
            <w:pPr>
              <w:pStyle w:val="null3"/>
              <w:ind w:firstLine="400"/>
            </w:pPr>
            <w:r>
              <w:rPr>
                <w:rFonts w:ascii="仿宋_GB2312" w:hAnsi="仿宋_GB2312" w:cs="仿宋_GB2312" w:eastAsia="仿宋_GB2312"/>
              </w:rPr>
              <w:t>实际需求：结合西安市野生动植物资源现状、保护成效及存在问题，针对秦岭区域生态修复、生物多样性保护等实际需求制定规划。</w:t>
            </w:r>
          </w:p>
          <w:p>
            <w:pPr>
              <w:pStyle w:val="null3"/>
              <w:ind w:firstLine="400"/>
            </w:pPr>
            <w:r>
              <w:rPr>
                <w:rFonts w:ascii="仿宋_GB2312" w:hAnsi="仿宋_GB2312" w:cs="仿宋_GB2312" w:eastAsia="仿宋_GB2312"/>
              </w:rPr>
              <w:t>专项行动：参考</w:t>
            </w:r>
            <w:r>
              <w:rPr>
                <w:rFonts w:ascii="仿宋_GB2312" w:hAnsi="仿宋_GB2312" w:cs="仿宋_GB2312" w:eastAsia="仿宋_GB2312"/>
              </w:rPr>
              <w:t>“清风行动”“网盾行动”“西安市开展打击非法捕猎、交易、饲养野生鸟类专项整治行动”等打击破坏野生动植物资源违法犯罪专项行动成果，强化执法监管机制建设。</w:t>
            </w:r>
          </w:p>
          <w:p>
            <w:pPr>
              <w:pStyle w:val="null3"/>
            </w:pPr>
            <w:r>
              <w:rPr>
                <w:rFonts w:ascii="仿宋_GB2312" w:hAnsi="仿宋_GB2312" w:cs="仿宋_GB2312" w:eastAsia="仿宋_GB2312"/>
              </w:rPr>
              <w:t>（二）规划目标</w:t>
            </w:r>
          </w:p>
          <w:p>
            <w:pPr>
              <w:pStyle w:val="null3"/>
              <w:ind w:firstLine="400"/>
            </w:pPr>
            <w:r>
              <w:rPr>
                <w:rFonts w:ascii="仿宋_GB2312" w:hAnsi="仿宋_GB2312" w:cs="仿宋_GB2312" w:eastAsia="仿宋_GB2312"/>
              </w:rPr>
              <w:t>落实国省十五五规划任务，全面提高西安市野生动植物管理和执法能力，确保违法案件发生率明显下降，珍稀野生动物种群数量稳中有升，迁地保护和野生动物救护工作上新台阶。</w:t>
            </w:r>
          </w:p>
          <w:p>
            <w:pPr>
              <w:pStyle w:val="null3"/>
            </w:pPr>
            <w:r>
              <w:rPr>
                <w:rFonts w:ascii="仿宋_GB2312" w:hAnsi="仿宋_GB2312" w:cs="仿宋_GB2312" w:eastAsia="仿宋_GB2312"/>
              </w:rPr>
              <w:t>（三）规划任务</w:t>
            </w:r>
          </w:p>
          <w:p>
            <w:pPr>
              <w:pStyle w:val="null3"/>
              <w:ind w:firstLine="400"/>
            </w:pPr>
            <w:r>
              <w:rPr>
                <w:rFonts w:ascii="仿宋_GB2312" w:hAnsi="仿宋_GB2312" w:cs="仿宋_GB2312" w:eastAsia="仿宋_GB2312"/>
              </w:rPr>
              <w:t>1</w:t>
            </w:r>
            <w:r>
              <w:rPr>
                <w:rFonts w:ascii="仿宋_GB2312" w:hAnsi="仿宋_GB2312" w:cs="仿宋_GB2312" w:eastAsia="仿宋_GB2312"/>
              </w:rPr>
              <w:t>、资料搜集与分析</w:t>
            </w:r>
          </w:p>
          <w:p>
            <w:pPr>
              <w:pStyle w:val="null3"/>
              <w:ind w:firstLine="400"/>
            </w:pPr>
            <w:r>
              <w:rPr>
                <w:rFonts w:ascii="仿宋_GB2312" w:hAnsi="仿宋_GB2312" w:cs="仿宋_GB2312" w:eastAsia="仿宋_GB2312"/>
              </w:rPr>
              <w:t>①现行法律法规、国际条约等确定的重点任务和部门职责等；</w:t>
            </w:r>
          </w:p>
          <w:p>
            <w:pPr>
              <w:pStyle w:val="null3"/>
              <w:ind w:firstLine="400"/>
            </w:pPr>
            <w:r>
              <w:rPr>
                <w:rFonts w:ascii="仿宋_GB2312" w:hAnsi="仿宋_GB2312" w:cs="仿宋_GB2312" w:eastAsia="仿宋_GB2312"/>
              </w:rPr>
              <w:t>②中央、省市出台的有关政策文件和中央领导重要讲话、指示、批示精神，包括候鸟保护、野生动物栖息地、疫源疫病防控、生物多样性保护等；</w:t>
            </w:r>
          </w:p>
          <w:p>
            <w:pPr>
              <w:pStyle w:val="null3"/>
              <w:ind w:firstLine="400"/>
            </w:pPr>
            <w:r>
              <w:rPr>
                <w:rFonts w:ascii="仿宋_GB2312" w:hAnsi="仿宋_GB2312" w:cs="仿宋_GB2312" w:eastAsia="仿宋_GB2312"/>
              </w:rPr>
              <w:t>③中央、省市野生动植物保护指导性文件，如技术规范、办法、方案、通知等；</w:t>
            </w:r>
          </w:p>
          <w:p>
            <w:pPr>
              <w:pStyle w:val="null3"/>
              <w:ind w:firstLine="400"/>
            </w:pPr>
            <w:r>
              <w:rPr>
                <w:rFonts w:ascii="仿宋_GB2312" w:hAnsi="仿宋_GB2312" w:cs="仿宋_GB2312" w:eastAsia="仿宋_GB2312"/>
              </w:rPr>
              <w:t>④中央、省市出台的相关规划（林业、环保、野生动植物、湿地、自然保护地、生物多样性保护等）；</w:t>
            </w:r>
          </w:p>
          <w:p>
            <w:pPr>
              <w:pStyle w:val="null3"/>
              <w:ind w:firstLine="400"/>
            </w:pPr>
            <w:r>
              <w:rPr>
                <w:rFonts w:ascii="仿宋_GB2312" w:hAnsi="仿宋_GB2312" w:cs="仿宋_GB2312" w:eastAsia="仿宋_GB2312"/>
              </w:rPr>
              <w:t>⑤“十四五”野生动植物保护工作总结及重点工程项目实施情况</w:t>
            </w:r>
          </w:p>
          <w:p>
            <w:pPr>
              <w:pStyle w:val="null3"/>
              <w:ind w:firstLine="400"/>
            </w:pPr>
            <w:r>
              <w:rPr>
                <w:rFonts w:ascii="仿宋_GB2312" w:hAnsi="仿宋_GB2312" w:cs="仿宋_GB2312" w:eastAsia="仿宋_GB2312"/>
              </w:rPr>
              <w:t>⑥野生动植物保护管理现有机构、人员、基础设施等状况</w:t>
            </w:r>
          </w:p>
          <w:p>
            <w:pPr>
              <w:pStyle w:val="null3"/>
              <w:ind w:firstLine="400"/>
            </w:pPr>
            <w:r>
              <w:rPr>
                <w:rFonts w:ascii="仿宋_GB2312" w:hAnsi="仿宋_GB2312" w:cs="仿宋_GB2312" w:eastAsia="仿宋_GB2312"/>
              </w:rPr>
              <w:t>⑦野生动植物监测工作开展情况（含监测站点和疫源疫病监测站点布局和建设）</w:t>
            </w:r>
          </w:p>
          <w:p>
            <w:pPr>
              <w:pStyle w:val="null3"/>
              <w:ind w:firstLine="400"/>
            </w:pPr>
            <w:r>
              <w:rPr>
                <w:rFonts w:ascii="仿宋_GB2312" w:hAnsi="仿宋_GB2312" w:cs="仿宋_GB2312" w:eastAsia="仿宋_GB2312"/>
              </w:rPr>
              <w:t>⑧西安市野生动植物资源的最新状况</w:t>
            </w:r>
          </w:p>
          <w:p>
            <w:pPr>
              <w:pStyle w:val="null3"/>
              <w:ind w:firstLine="400"/>
            </w:pPr>
            <w:r>
              <w:rPr>
                <w:rFonts w:ascii="仿宋_GB2312" w:hAnsi="仿宋_GB2312" w:cs="仿宋_GB2312" w:eastAsia="仿宋_GB2312"/>
              </w:rPr>
              <w:t>⑨野生动物收容救护和致害防控情况</w:t>
            </w:r>
          </w:p>
          <w:p>
            <w:pPr>
              <w:pStyle w:val="null3"/>
              <w:ind w:firstLine="400"/>
            </w:pPr>
            <w:r>
              <w:rPr>
                <w:rFonts w:ascii="仿宋_GB2312" w:hAnsi="仿宋_GB2312" w:cs="仿宋_GB2312" w:eastAsia="仿宋_GB2312"/>
              </w:rPr>
              <w:t>分析物种分布、数量及变化趋势。评估现有保护措施成效，识别主要威胁因素，为规划制定提供科学依据。</w:t>
            </w:r>
          </w:p>
          <w:p>
            <w:pPr>
              <w:pStyle w:val="null3"/>
              <w:ind w:firstLine="400"/>
            </w:pPr>
            <w:r>
              <w:rPr>
                <w:rFonts w:ascii="仿宋_GB2312" w:hAnsi="仿宋_GB2312" w:cs="仿宋_GB2312" w:eastAsia="仿宋_GB2312"/>
              </w:rPr>
              <w:t>2</w:t>
            </w:r>
            <w:r>
              <w:rPr>
                <w:rFonts w:ascii="仿宋_GB2312" w:hAnsi="仿宋_GB2312" w:cs="仿宋_GB2312" w:eastAsia="仿宋_GB2312"/>
              </w:rPr>
              <w:t>、重点任务</w:t>
            </w:r>
          </w:p>
          <w:p>
            <w:pPr>
              <w:pStyle w:val="null3"/>
              <w:ind w:firstLine="402"/>
            </w:pPr>
            <w:r>
              <w:rPr>
                <w:rFonts w:ascii="仿宋_GB2312" w:hAnsi="仿宋_GB2312" w:cs="仿宋_GB2312" w:eastAsia="仿宋_GB2312"/>
                <w:b/>
              </w:rPr>
              <w:t>保护管理体系构建</w:t>
            </w:r>
          </w:p>
          <w:p>
            <w:pPr>
              <w:pStyle w:val="null3"/>
              <w:ind w:firstLine="400"/>
            </w:pPr>
            <w:r>
              <w:rPr>
                <w:rFonts w:ascii="仿宋_GB2312" w:hAnsi="仿宋_GB2312" w:cs="仿宋_GB2312" w:eastAsia="仿宋_GB2312"/>
              </w:rPr>
              <w:t>①强化执法监管：完善各级监管机构和人员，建立跨部门联合执法机制，建立野生动物执法监管视频智慧化监控报警网络，严厉打击非法捕猎、交易行为。</w:t>
            </w:r>
          </w:p>
          <w:p>
            <w:pPr>
              <w:pStyle w:val="null3"/>
              <w:ind w:firstLine="400"/>
            </w:pPr>
            <w:r>
              <w:rPr>
                <w:rFonts w:ascii="仿宋_GB2312" w:hAnsi="仿宋_GB2312" w:cs="仿宋_GB2312" w:eastAsia="仿宋_GB2312"/>
              </w:rPr>
              <w:t>②完善野生动植物监测体系：结合国家、省野生动植物监测工作安排，完善西安市野生动植物监测体系，构建智慧化监测网络，及时掌握资源动态；</w:t>
            </w:r>
          </w:p>
          <w:p>
            <w:pPr>
              <w:pStyle w:val="null3"/>
              <w:ind w:firstLine="200"/>
            </w:pPr>
            <w:r>
              <w:rPr>
                <w:rFonts w:ascii="仿宋_GB2312" w:hAnsi="仿宋_GB2312" w:cs="仿宋_GB2312" w:eastAsia="仿宋_GB2312"/>
              </w:rPr>
              <w:t>③完善野生动物救护体系：建设完善收容站点布局和设施设备，发挥社会力量参与野生动物救护，全面提升野生动物救护能力；</w:t>
            </w:r>
          </w:p>
          <w:p>
            <w:pPr>
              <w:pStyle w:val="null3"/>
              <w:ind w:firstLine="400"/>
            </w:pPr>
            <w:r>
              <w:rPr>
                <w:rFonts w:ascii="仿宋_GB2312" w:hAnsi="仿宋_GB2312" w:cs="仿宋_GB2312" w:eastAsia="仿宋_GB2312"/>
              </w:rPr>
              <w:t>④完善野生动物疫源疫病监测体系：充分利用高新科技手段，建成以国家级监测站点为支撑，省市监测站点为补充的疫源疫病监测网络。</w:t>
            </w:r>
          </w:p>
          <w:p>
            <w:pPr>
              <w:pStyle w:val="null3"/>
              <w:ind w:firstLine="402"/>
            </w:pPr>
            <w:r>
              <w:rPr>
                <w:rFonts w:ascii="仿宋_GB2312" w:hAnsi="仿宋_GB2312" w:cs="仿宋_GB2312" w:eastAsia="仿宋_GB2312"/>
                <w:b/>
              </w:rPr>
              <w:t>重点物种保护</w:t>
            </w:r>
          </w:p>
          <w:p>
            <w:pPr>
              <w:pStyle w:val="null3"/>
              <w:ind w:firstLine="400"/>
            </w:pPr>
            <w:r>
              <w:rPr>
                <w:rFonts w:ascii="仿宋_GB2312" w:hAnsi="仿宋_GB2312" w:cs="仿宋_GB2312" w:eastAsia="仿宋_GB2312"/>
              </w:rPr>
              <w:t>①濒危物种就地保护：加强大熊猫、川金丝猴、林麝、豹等国家重点保护物种的就地保护，加强巡护与监测，通过植被恢复、湿地保护等措施构建生态廊道和提升栖息地质量。加强秦岭冷杉、红豆杉等珍稀濒危植物的就地保护，建立保护小区，制定科学监测与扩繁计划。</w:t>
            </w:r>
          </w:p>
          <w:p>
            <w:pPr>
              <w:pStyle w:val="null3"/>
              <w:ind w:firstLine="400"/>
            </w:pPr>
            <w:r>
              <w:rPr>
                <w:rFonts w:ascii="仿宋_GB2312" w:hAnsi="仿宋_GB2312" w:cs="仿宋_GB2312" w:eastAsia="仿宋_GB2312"/>
              </w:rPr>
              <w:t>②濒危物种迁地保护：配合国家和省做好大熊猫科学公园建设，积极开展朱鹮、林麝等野化放归，不断扩大野外种群；配合做好秦岭植物园和西安植物园建设，开展珍稀濒危植物迁地保护和回迁，依托植物园等建设种质资源库；</w:t>
            </w:r>
          </w:p>
          <w:p>
            <w:pPr>
              <w:pStyle w:val="null3"/>
              <w:ind w:firstLine="400"/>
            </w:pPr>
            <w:r>
              <w:rPr>
                <w:rFonts w:ascii="仿宋_GB2312" w:hAnsi="仿宋_GB2312" w:cs="仿宋_GB2312" w:eastAsia="仿宋_GB2312"/>
              </w:rPr>
              <w:t>③加强外来物种管控：建立入侵物种监测、预警和防控体系，加强西安市放生管理，降低生态风险。</w:t>
            </w:r>
          </w:p>
          <w:p>
            <w:pPr>
              <w:pStyle w:val="null3"/>
              <w:ind w:firstLine="402"/>
            </w:pPr>
            <w:r>
              <w:rPr>
                <w:rFonts w:ascii="仿宋_GB2312" w:hAnsi="仿宋_GB2312" w:cs="仿宋_GB2312" w:eastAsia="仿宋_GB2312"/>
                <w:b/>
              </w:rPr>
              <w:t>公众参与与科普教育</w:t>
            </w:r>
          </w:p>
          <w:p>
            <w:pPr>
              <w:pStyle w:val="null3"/>
              <w:ind w:firstLine="400"/>
            </w:pPr>
            <w:r>
              <w:rPr>
                <w:rFonts w:ascii="仿宋_GB2312" w:hAnsi="仿宋_GB2312" w:cs="仿宋_GB2312" w:eastAsia="仿宋_GB2312"/>
              </w:rPr>
              <w:t>①开展科普宣传：利用“世界野生动植物日”“爱鸟周”等活动，通过新媒体、宣传牌、专题讲座、进校园等形式开展保护野生动植物保护知识及法律法规宣传，不断提升公众依法科学保护意识。</w:t>
            </w:r>
          </w:p>
          <w:p>
            <w:pPr>
              <w:pStyle w:val="null3"/>
              <w:ind w:firstLine="400"/>
            </w:pPr>
            <w:r>
              <w:rPr>
                <w:rFonts w:ascii="仿宋_GB2312" w:hAnsi="仿宋_GB2312" w:cs="仿宋_GB2312" w:eastAsia="仿宋_GB2312"/>
              </w:rPr>
              <w:t>②鼓励社会参与：结合西安市野生鸟类保护协会等社团组织和热心市民，建立野生动植物保护宣传志愿者队伍，推动西安市民开展野外观察、护鸟护林等公益活动。</w:t>
            </w:r>
          </w:p>
          <w:p>
            <w:pPr>
              <w:pStyle w:val="null3"/>
              <w:ind w:firstLine="400"/>
            </w:pPr>
            <w:r>
              <w:rPr>
                <w:rFonts w:ascii="仿宋_GB2312" w:hAnsi="仿宋_GB2312" w:cs="仿宋_GB2312" w:eastAsia="仿宋_GB2312"/>
              </w:rPr>
              <w:t>3</w:t>
            </w:r>
            <w:r>
              <w:rPr>
                <w:rFonts w:ascii="仿宋_GB2312" w:hAnsi="仿宋_GB2312" w:cs="仿宋_GB2312" w:eastAsia="仿宋_GB2312"/>
              </w:rPr>
              <w:t>、工程项目</w:t>
            </w:r>
          </w:p>
          <w:p>
            <w:pPr>
              <w:pStyle w:val="null3"/>
              <w:ind w:firstLine="400"/>
            </w:pPr>
            <w:r>
              <w:rPr>
                <w:rFonts w:ascii="仿宋_GB2312" w:hAnsi="仿宋_GB2312" w:cs="仿宋_GB2312" w:eastAsia="仿宋_GB2312"/>
              </w:rPr>
              <w:t>结合重点任务，规划设计相应的工程项目，包括建设内容及经费预算。</w:t>
            </w:r>
          </w:p>
          <w:tbl>
            <w:tblPr>
              <w:tblInd w:type="dxa" w:w="90"/>
              <w:tblBorders>
                <w:top w:val="none" w:color="000000" w:sz="4"/>
                <w:left w:val="none" w:color="000000" w:sz="4"/>
                <w:bottom w:val="none" w:color="000000" w:sz="4"/>
                <w:right w:val="none" w:color="000000" w:sz="4"/>
                <w:insideH w:val="none"/>
                <w:insideV w:val="none"/>
              </w:tblBorders>
            </w:tblPr>
            <w:tblGrid>
              <w:gridCol w:w="1769"/>
              <w:gridCol w:w="783"/>
            </w:tblGrid>
            <w:tr>
              <w:tc>
                <w:tcPr>
                  <w:tcW w:type="dxa" w:w="1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完成专项规划文本（项）</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绘制相关规划图（份）</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w:t>
                  </w:r>
                </w:p>
              </w:tc>
            </w:tr>
            <w:tr>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省外调研（次）</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区县调研（处）</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问卷调查（份）</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市场调研（处）</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10</w:t>
                  </w:r>
                </w:p>
              </w:tc>
            </w:tr>
            <w:tr>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专项规划文本通过评审验收（</w:t>
                  </w:r>
                  <w:r>
                    <w:rPr>
                      <w:rFonts w:ascii="仿宋_GB2312" w:hAnsi="仿宋_GB2312" w:cs="仿宋_GB2312" w:eastAsia="仿宋_GB2312"/>
                      <w:sz w:val="20"/>
                    </w:rPr>
                    <w:t>%</w:t>
                  </w:r>
                  <w:r>
                    <w:rPr>
                      <w:rFonts w:ascii="仿宋_GB2312" w:hAnsi="仿宋_GB2312" w:cs="仿宋_GB2312" w:eastAsia="仿宋_GB2312"/>
                      <w:sz w:val="20"/>
                    </w:rPr>
                    <w:t>）</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规划图表符合相关要求（</w:t>
                  </w:r>
                  <w:r>
                    <w:rPr>
                      <w:rFonts w:ascii="仿宋_GB2312" w:hAnsi="仿宋_GB2312" w:cs="仿宋_GB2312" w:eastAsia="仿宋_GB2312"/>
                      <w:sz w:val="20"/>
                    </w:rPr>
                    <w:t>%</w:t>
                  </w:r>
                  <w:r>
                    <w:rPr>
                      <w:rFonts w:ascii="仿宋_GB2312" w:hAnsi="仿宋_GB2312" w:cs="仿宋_GB2312" w:eastAsia="仿宋_GB2312"/>
                      <w:sz w:val="20"/>
                    </w:rPr>
                    <w:t>）</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95</w:t>
                  </w:r>
                </w:p>
              </w:tc>
            </w:tr>
            <w:tr>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项目完成时间</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11</w:t>
                  </w:r>
                  <w:r>
                    <w:rPr>
                      <w:rFonts w:ascii="仿宋_GB2312" w:hAnsi="仿宋_GB2312" w:cs="仿宋_GB2312" w:eastAsia="仿宋_GB2312"/>
                      <w:sz w:val="20"/>
                    </w:rPr>
                    <w:t>月</w:t>
                  </w:r>
                  <w:r>
                    <w:rPr>
                      <w:rFonts w:ascii="仿宋_GB2312" w:hAnsi="仿宋_GB2312" w:cs="仿宋_GB2312" w:eastAsia="仿宋_GB2312"/>
                      <w:sz w:val="20"/>
                    </w:rPr>
                    <w:t>1</w:t>
                  </w:r>
                  <w:r>
                    <w:rPr>
                      <w:rFonts w:ascii="仿宋_GB2312" w:hAnsi="仿宋_GB2312" w:cs="仿宋_GB2312" w:eastAsia="仿宋_GB2312"/>
                      <w:sz w:val="20"/>
                    </w:rPr>
                    <w:t>日前</w:t>
                  </w:r>
                </w:p>
              </w:tc>
            </w:tr>
            <w:tr>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规划年限</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年</w:t>
                  </w:r>
                </w:p>
              </w:tc>
            </w:tr>
            <w:tr>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构建完善的公众参与和科普体系（套）</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对未来野生动物保护的作用（年）</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w:t>
                  </w:r>
                </w:p>
              </w:tc>
            </w:tr>
            <w:tr>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市级主管单位满意度（</w:t>
                  </w:r>
                  <w:r>
                    <w:rPr>
                      <w:rFonts w:ascii="仿宋_GB2312" w:hAnsi="仿宋_GB2312" w:cs="仿宋_GB2312" w:eastAsia="仿宋_GB2312"/>
                      <w:sz w:val="20"/>
                    </w:rPr>
                    <w:t>%</w:t>
                  </w:r>
                  <w:r>
                    <w:rPr>
                      <w:rFonts w:ascii="仿宋_GB2312" w:hAnsi="仿宋_GB2312" w:cs="仿宋_GB2312" w:eastAsia="仿宋_GB2312"/>
                      <w:sz w:val="20"/>
                    </w:rPr>
                    <w:t>）</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95</w:t>
                  </w:r>
                </w:p>
              </w:tc>
            </w:tr>
            <w:tr>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区县林业局野生动植物管理人员满意度（</w:t>
                  </w:r>
                  <w:r>
                    <w:rPr>
                      <w:rFonts w:ascii="仿宋_GB2312" w:hAnsi="仿宋_GB2312" w:cs="仿宋_GB2312" w:eastAsia="仿宋_GB2312"/>
                      <w:sz w:val="20"/>
                    </w:rPr>
                    <w:t>%</w:t>
                  </w:r>
                  <w:r>
                    <w:rPr>
                      <w:rFonts w:ascii="仿宋_GB2312" w:hAnsi="仿宋_GB2312" w:cs="仿宋_GB2312" w:eastAsia="仿宋_GB2312"/>
                      <w:sz w:val="20"/>
                    </w:rPr>
                    <w:t>）</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95</w:t>
                  </w:r>
                </w:p>
              </w:tc>
            </w:tr>
          </w:tbl>
          <w:p>
            <w:pPr>
              <w:pStyle w:val="null3"/>
              <w:ind w:firstLine="400"/>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根据项目情况自行安排人员，人员安排应符合采购项目情况。</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跟项目情况自行安排设备，设备安排应符合采购项目情况。</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如有，合同进行补充要求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合同签订之日起至项目完成止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据采购人、采购文件要求及合同约定执行。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进度款，履约验收完成，达到付款条件起30个工作日内，支付合同总金额的70.0%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财务会计报告</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提供2025年6月1日至今任意时段的社会保障资金缴存单据或社保机构开具的社会保险参保缴费情况证明，依法不需要缴纳社会保障资金的提供相关文件证明。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提供2025年6月1日至今任意时段的纳税证明或完税证明，纳税证明或完税证明上应有代收机构或税务机关的公章，依法免税的应提供相关文件证明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参加政府采购项目前 3 年内经营项目中没有重大违法记录声明。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附被授权人在本单位缴纳社保的证明材料、劳动合同复印件、授权代表身份证复印件。磋商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联合体响应</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项目编制方案</w:t>
            </w:r>
          </w:p>
        </w:tc>
        <w:tc>
          <w:tcPr>
            <w:tcW w:type="dxa" w:w="2492"/>
          </w:tcPr>
          <w:p>
            <w:pPr>
              <w:pStyle w:val="null3"/>
            </w:pPr>
            <w:r>
              <w:rPr>
                <w:rFonts w:ascii="仿宋_GB2312" w:hAnsi="仿宋_GB2312" w:cs="仿宋_GB2312" w:eastAsia="仿宋_GB2312"/>
              </w:rPr>
              <w:t>从以下五个方向进行方案阐述 ①项目整体方案 ②项目重难点分析 ③政策分析 ④质量保证措施 ⑤进度管理措施 每个方向根据以下四个关键点阐述：完整性、合理性、针对性、可实行性，每个方向满足一个关键点得1分。 全部满足每一个方向最高得4分，满分20分。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工作流程阐述</w:t>
            </w:r>
          </w:p>
        </w:tc>
        <w:tc>
          <w:tcPr>
            <w:tcW w:type="dxa" w:w="2492"/>
          </w:tcPr>
          <w:p>
            <w:pPr>
              <w:pStyle w:val="null3"/>
            </w:pPr>
            <w:r>
              <w:rPr>
                <w:rFonts w:ascii="仿宋_GB2312" w:hAnsi="仿宋_GB2312" w:cs="仿宋_GB2312" w:eastAsia="仿宋_GB2312"/>
              </w:rPr>
              <w:t>从以下三个方向进行方案阐述 ①前期准备 ②报告编制 ③报告审核及提交 每个方向根据以下四个关键点阐述：完整性、合理性、针对性、可实行性，每个方向满足一点得1分。 全部满足每一方向最高得4分，满分12分。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科普教育方案</w:t>
            </w:r>
          </w:p>
        </w:tc>
        <w:tc>
          <w:tcPr>
            <w:tcW w:type="dxa" w:w="2492"/>
          </w:tcPr>
          <w:p>
            <w:pPr>
              <w:pStyle w:val="null3"/>
            </w:pPr>
            <w:r>
              <w:rPr>
                <w:rFonts w:ascii="仿宋_GB2312" w:hAnsi="仿宋_GB2312" w:cs="仿宋_GB2312" w:eastAsia="仿宋_GB2312"/>
              </w:rPr>
              <w:t>从以下两个方向进行方案阐述 ①科普方案 ②科普结果反馈 每个方向根据以下四个关键点阐述：完整性、合理性、针对性、可实行性，每满足一关键点得1分。 全部满足每个方向最高得4分，满分8分。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本项目需指定一名项目负责人，一名技术负责人。 项目负责人有高级职称的得5分，中级职称的得3分，其他得0分。 项目负责人是本科及以上得1分，其他得0分。 技术负责人中级职称及以上得3分，其他得0分。 技术负责人是本科及以上得1分，其他得0分。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为本项提供服务的人员超过8人（含8人）得5分,4人（不含4人）到7（含7人）得3分，低于4人不得分。本项满分5分。 项目组成中，除去项目负责人和技术负责人，每提供一个高级职称得3分，每提供一个中级职称得2分，每提供一个初级职称得1分，本项满分10分。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w:t>
            </w:r>
          </w:p>
        </w:tc>
        <w:tc>
          <w:tcPr>
            <w:tcW w:type="dxa" w:w="2492"/>
          </w:tcPr>
          <w:p>
            <w:pPr>
              <w:pStyle w:val="null3"/>
            </w:pPr>
            <w:r>
              <w:rPr>
                <w:rFonts w:ascii="仿宋_GB2312" w:hAnsi="仿宋_GB2312" w:cs="仿宋_GB2312" w:eastAsia="仿宋_GB2312"/>
              </w:rPr>
              <w:t>在项目所在地（西安市）有固定办公场所得5分，需提供地址及租赁协议（或产权证明）。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项目承诺</w:t>
            </w:r>
          </w:p>
        </w:tc>
        <w:tc>
          <w:tcPr>
            <w:tcW w:type="dxa" w:w="2492"/>
          </w:tcPr>
          <w:p>
            <w:pPr>
              <w:pStyle w:val="null3"/>
            </w:pPr>
            <w:r>
              <w:rPr>
                <w:rFonts w:ascii="仿宋_GB2312" w:hAnsi="仿宋_GB2312" w:cs="仿宋_GB2312" w:eastAsia="仿宋_GB2312"/>
              </w:rPr>
              <w:t>1.供应商承诺完成成果文件编制前进行满意度调查，承诺在未达到目标满意度前对成果文件进行修正，提供此承诺得5分。 2.供应商承诺服务成果的相关资料知识产权归采购人所有，提供此承诺得5分。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提供2023年1月1日至今的类似项目（林业相关）业绩合同，包含首页、金额页、签章页等，业绩以合同为依据，每提供一个计2分，满分10分（须提供合同复印件并加盖供应商公章）。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详见附件：修订版-合同条款.docx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