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版本号：ZCSP-白水县-2026-00114-02020260712002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白水县城区主干道人行道提升改造项目设计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ZCSP-白水县-2026-00114-020</w:t>
      </w:r>
      <w:r>
        <w:br/>
      </w:r>
      <w:r>
        <w:br/>
      </w:r>
      <w:r>
        <w:br/>
      </w:r>
    </w:p>
    <w:p>
      <w:pPr>
        <w:pStyle w:val="null3"/>
        <w:jc w:val="center"/>
        <w:outlineLvl w:val="2"/>
      </w:pPr>
      <w:r>
        <w:rPr>
          <w:rFonts w:ascii="仿宋_GB2312" w:hAnsi="仿宋_GB2312" w:cs="仿宋_GB2312" w:eastAsia="仿宋_GB2312"/>
          <w:sz w:val="28"/>
          <w:b/>
        </w:rPr>
        <w:t>白水县城市建设市政工程管理处</w:t>
      </w:r>
    </w:p>
    <w:p>
      <w:pPr>
        <w:pStyle w:val="null3"/>
        <w:jc w:val="center"/>
        <w:outlineLvl w:val="2"/>
      </w:pPr>
      <w:r>
        <w:rPr>
          <w:rFonts w:ascii="仿宋_GB2312" w:hAnsi="仿宋_GB2312" w:cs="仿宋_GB2312" w:eastAsia="仿宋_GB2312"/>
          <w:sz w:val="28"/>
          <w:b/>
        </w:rPr>
        <w:t>鸿民国际工程（集团）有限公司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鸿民国际工程（集团）有限公司</w:t>
      </w:r>
      <w:r>
        <w:rPr>
          <w:rFonts w:ascii="仿宋_GB2312" w:hAnsi="仿宋_GB2312" w:cs="仿宋_GB2312" w:eastAsia="仿宋_GB2312"/>
        </w:rPr>
        <w:t>（以下简称“代理机构”）受</w:t>
      </w:r>
      <w:r>
        <w:rPr>
          <w:rFonts w:ascii="仿宋_GB2312" w:hAnsi="仿宋_GB2312" w:cs="仿宋_GB2312" w:eastAsia="仿宋_GB2312"/>
        </w:rPr>
        <w:t>白水县城市建设市政工程管理处</w:t>
      </w:r>
      <w:r>
        <w:rPr>
          <w:rFonts w:ascii="仿宋_GB2312" w:hAnsi="仿宋_GB2312" w:cs="仿宋_GB2312" w:eastAsia="仿宋_GB2312"/>
        </w:rPr>
        <w:t>委托，拟对</w:t>
      </w:r>
      <w:r>
        <w:rPr>
          <w:rFonts w:ascii="仿宋_GB2312" w:hAnsi="仿宋_GB2312" w:cs="仿宋_GB2312" w:eastAsia="仿宋_GB2312"/>
        </w:rPr>
        <w:t>白水县城区主干道人行道提升改造项目设计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ZCSP-白水县-2026-00114-020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白水县城区主干道人行道提升改造项目设计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本项目为白水县城区主干道人行道提升改造项目设计服务采购项目，该项目仓颉路、居苑路、东风路东段等市政道路人行道实施更新改造，道路全长4810米，改造面积66500平方米。本项目仅实施城区主干道人行道提升改造，不含对应主干道车行道、路基、路面、交叉口主体结构等新建及改造内容，仅针对人行道铺装、路缘石、树池、检查井开展设计工作。2.本次采购范围为该项目全过程设计服务，具体包含项目前期工程测量、方案设计、初步设计（含概算编制）、施工图设计（含预算编制）、图纸审查配合、施工全过程技术配合、工程竣工验收配合、结算审计配合、资料归档及采购人交办的相关配套设计服务等全部工作内容。3.合同履行期限：自合同签订之日起30日历天内，完成全部设计工作并提交符合审查要求的最终成果。4.项目实施地点：白水县仓颉路、居苑路、东风路东段。</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采购包1（白水县城区主干道人行道提升改造项目设计）：属于专门面向中小企业采购。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代表身份：法定代表人参加磋商的，须提供本人身份证复印件（附在资格证明文件中）；法定代表人授权他人参加磋商的，须提供法定代表人授权委托书、授权代表身份证、授权代表本单位证明（在供应商单位近3个月内任意一个月缴纳的养老保险证明）。竞争性磋商文件中凡是需要法定代表人签字或盖章之处，非法人单位的负责人均参照执行。法人的分支机构参与磋商时，除提供《法定代表人授权委托书》外，还须同时提供法人给分支机构出具的授权书。</w:t>
      </w:r>
    </w:p>
    <w:p>
      <w:pPr>
        <w:pStyle w:val="null3"/>
      </w:pPr>
      <w:r>
        <w:rPr>
          <w:rFonts w:ascii="仿宋_GB2312" w:hAnsi="仿宋_GB2312" w:cs="仿宋_GB2312" w:eastAsia="仿宋_GB2312"/>
        </w:rPr>
        <w:t>2、营业执照等主体资格证明文件：供应商提供有效存续的企业营业执照（含2025年度报告）。</w:t>
      </w:r>
    </w:p>
    <w:p>
      <w:pPr>
        <w:pStyle w:val="null3"/>
      </w:pPr>
      <w:r>
        <w:rPr>
          <w:rFonts w:ascii="仿宋_GB2312" w:hAnsi="仿宋_GB2312" w:cs="仿宋_GB2312" w:eastAsia="仿宋_GB2312"/>
        </w:rPr>
        <w:t>3、供应商资格：供应商具备工程设计综合资质甲级或工程设计市政行业乙级及以上或工程设计市政行业(燃气工程、轨道交通工程除外)乙级及以上或工程设计市政行业道路工程乙级及以上资质，并同时具备工程勘察工程测量专业乙级及以上资质。</w:t>
      </w:r>
    </w:p>
    <w:p>
      <w:pPr>
        <w:pStyle w:val="null3"/>
      </w:pPr>
      <w:r>
        <w:rPr>
          <w:rFonts w:ascii="仿宋_GB2312" w:hAnsi="仿宋_GB2312" w:cs="仿宋_GB2312" w:eastAsia="仿宋_GB2312"/>
        </w:rPr>
        <w:t>4、项目负责人：拟派项目负责人具备注册土木工程师（道路工程）或一级注册结构工程师或二级注册结构师执业资格，并出具项目负责人在供应商单位近3个月内任意一个月缴纳的养老保险证明。</w:t>
      </w:r>
    </w:p>
    <w:p>
      <w:pPr>
        <w:pStyle w:val="null3"/>
      </w:pPr>
      <w:r>
        <w:rPr>
          <w:rFonts w:ascii="仿宋_GB2312" w:hAnsi="仿宋_GB2312" w:cs="仿宋_GB2312" w:eastAsia="仿宋_GB2312"/>
        </w:rPr>
        <w:t>5、财务状况报告：供应商提供2025年度经审计的财务报告（包括“四表一注”，即资产负债表、利润表、现金流量表、所有者权益变动表及其附注，成立时间至提交响应文件截止时间不足一年的可提供成立后任意时段的资产负债表），或其提交响应文件截止时间前三个月内基本开户银行出具的资信证明，或信用担保机构出具的磋商担保函，以上三种形式的资料提供任何一种即可。</w:t>
      </w:r>
    </w:p>
    <w:p>
      <w:pPr>
        <w:pStyle w:val="null3"/>
      </w:pPr>
      <w:r>
        <w:rPr>
          <w:rFonts w:ascii="仿宋_GB2312" w:hAnsi="仿宋_GB2312" w:cs="仿宋_GB2312" w:eastAsia="仿宋_GB2312"/>
        </w:rPr>
        <w:t>6、社保缴纳证明：供应商提供2026年1月1日至响应文件递交截止之日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7、税收缴纳证明：提供2026年1月1日至响应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8、信用记录：供应商提供《供应商信用记录书面声明函》（按格式填写，提供原件）。经查，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9、控股管理关系：供应商提供直接控股和管理关系清单。若与其他供应商存在单位负责人为同一人或者存在直接控股、管理关系的，则响应无效。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10、书面声明：供应商提供书面声明，包括声明具有履行合同所必需的设备和专业技术能力；未为本项目提供整体设计、规范编制或者项目管理、监理、检测等服务。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11、本合同包不接受联合体磋商、不允许分包：供应商提供《非联合体磋商不分包声明》。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白水县城市建设市政工程管理处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白水县地下水监测中心一楼市政处</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白军平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0913-6302599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鸿民国际工程（集团）有限公司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渭南市临渭区西四路林业大厦四层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党文丽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18220320178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0913-8483373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采购包1：850,300.00元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开户名称：鸿民国际工程（集团）有限公司</w:t>
            </w:r>
          </w:p>
          <w:p>
            <w:pPr>
              <w:pStyle w:val="null3"/>
            </w:pPr>
            <w:r>
              <w:rPr>
                <w:rFonts w:ascii="仿宋_GB2312" w:hAnsi="仿宋_GB2312" w:cs="仿宋_GB2312" w:eastAsia="仿宋_GB2312"/>
              </w:rPr>
              <w:t>开户银行：中国银行渭南分行营业部</w:t>
            </w:r>
          </w:p>
          <w:p>
            <w:pPr>
              <w:pStyle w:val="null3"/>
            </w:pPr>
            <w:r>
              <w:rPr>
                <w:rFonts w:ascii="仿宋_GB2312" w:hAnsi="仿宋_GB2312" w:cs="仿宋_GB2312" w:eastAsia="仿宋_GB2312"/>
              </w:rPr>
              <w:t>银行账号：103311740136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与采购代理机构依据“财库[2018]2号-财政部关于印发《政府采购代理机构管理暂⾏办法》的通知”第⼗五条规定，约定代理服务费由成交单位⽀付。成交单位在领取成交通知书前⼀次性付清。参照国家计委关于《招标代理服务收费管理暂⾏办法》（计价格〔2002〕1980号）、《国家发展改⾰委关于降低部分建设项⽬收费标准规范收费⾏为等有关问题的通知》（发改价格〔2011〕534号），以合同包成交价为基数，按标准的100%收取。成交单位的代理服务费交纳信息户名：鸿⺠国际⼯程（集团）有限公司渭南分公司，开户银⾏：中国建设银⾏股份有限公司渭南朝阳⼤街⽀⾏，账号：61050164500800000631，联系⼈：党⽂丽，联系电话：18220320178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白水县城市建设市政工程管理处</w:t>
      </w:r>
      <w:r>
        <w:rPr>
          <w:rFonts w:ascii="仿宋_GB2312" w:hAnsi="仿宋_GB2312" w:cs="仿宋_GB2312" w:eastAsia="仿宋_GB2312"/>
        </w:rPr>
        <w:t>和</w:t>
      </w:r>
      <w:r>
        <w:rPr>
          <w:rFonts w:ascii="仿宋_GB2312" w:hAnsi="仿宋_GB2312" w:cs="仿宋_GB2312" w:eastAsia="仿宋_GB2312"/>
        </w:rPr>
        <w:t>鸿民国际工程（集团）有限公司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白水县城市建设市政工程管理处</w:t>
      </w:r>
      <w:r>
        <w:rPr>
          <w:rFonts w:ascii="仿宋_GB2312" w:hAnsi="仿宋_GB2312" w:cs="仿宋_GB2312" w:eastAsia="仿宋_GB2312"/>
        </w:rPr>
        <w:t>负责解释。除上述磋商文件内容，其他内容由</w:t>
      </w:r>
      <w:r>
        <w:rPr>
          <w:rFonts w:ascii="仿宋_GB2312" w:hAnsi="仿宋_GB2312" w:cs="仿宋_GB2312" w:eastAsia="仿宋_GB2312"/>
        </w:rPr>
        <w:t>鸿民国际工程（集团）有限公司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白水县城市建设市政工程管理处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鸿民国际工程（集团）有限公司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在本采购项目实施过程中，可自主采用自有合法知识成果或合规第三方知识成果开展工程测量、方案设计、图纸编制、造价编制等全部服务工作，严禁使用侵权、盗版、非法授权的技术成果、设计素材、软件系统及相关资料。本项目所有工程测量成果、设计图纸、方案文本、概算预算文件、技术资料等全部履约成果知识产权，经双方约定，项目完成验收后归采购人所有。 供应商保证本项目交付的全部成果不存在任何知识产权权属纠纷、侵权纠纷，若因供应商使用非自有成果、未取得合法授权、侵权使用第三方知识产权等原因引发投诉、诉讼、索赔及一切不良后果的，由供应商承担全部法律责任、经济赔偿责任及项目整改责任，给采购人造成损失的须全额赔偿。 供应商未经采购人书面许可，不得将本项目设计成果、测量数据、项目资料及衍生知识产权用于本项目以外的任何用途，不得转借、授权、转让、泄露给任何第三方。采购人拥有本项目成果的永久使用权、修改权、复制权、传播权及后续改造使用权，可根据项目建设、运维、整改、归档等工作需求无偿使用全部成果文件。</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履约验收严格以本项目采购需求、双方签订的正式服务合同、国家及行业现行工程测量、工程设计、工程造价规范标准、第三方图纸审查合格意见、财政衔接资金项目管理相关规定、白水县市政工程建设管理要求为唯一验收依据。</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联系人：党文丽</w:t>
      </w:r>
    </w:p>
    <w:p>
      <w:pPr>
        <w:pStyle w:val="null3"/>
      </w:pPr>
      <w:r>
        <w:rPr>
          <w:rFonts w:ascii="仿宋_GB2312" w:hAnsi="仿宋_GB2312" w:cs="仿宋_GB2312" w:eastAsia="仿宋_GB2312"/>
        </w:rPr>
        <w:t>联系电话：18220320178</w:t>
      </w:r>
    </w:p>
    <w:p>
      <w:pPr>
        <w:pStyle w:val="null3"/>
      </w:pPr>
      <w:r>
        <w:rPr>
          <w:rFonts w:ascii="仿宋_GB2312" w:hAnsi="仿宋_GB2312" w:cs="仿宋_GB2312" w:eastAsia="仿宋_GB2312"/>
        </w:rPr>
        <w:t>地址：渭南市临渭区西四路林业大厦四层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本项目为白水县城区主干道人行道提升改造项目设计服务采购项目，该项目仓颉路、居苑路、东风路东段等市政道路人行道实施更新改造，道路全长4810米，改造面积66500平方米。本项目仅实施城区主干道人行道提升改造，不含对应主干道车行道、路基、路面、交叉口主体结构等新建及改造内容，仅针对人行道铺装、路缘石、树池、检查井开展设计工作。 2.本次采购范围为该项目全过程设计服务，具体包含项目前期工程测量、方案设计、初步设计（含概算编制）、施工图设计（含预算编制）、图纸审查配合、施工全过程技术配合、工程竣工验收配合、结算审计配合、资料归档及采购人交办的相关配套设计服务等全部工作内容。 3.合同履行期限：自合同签订之日起30日历天内，完成全部设计工作并提交符合审查要求的最终成果。 4.项目实施地点：白水县仓颉路、居苑路、东风路东段。</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850,300.00</w:t>
      </w:r>
    </w:p>
    <w:p>
      <w:pPr>
        <w:pStyle w:val="null3"/>
      </w:pPr>
      <w:r>
        <w:rPr>
          <w:rFonts w:ascii="仿宋_GB2312" w:hAnsi="仿宋_GB2312" w:cs="仿宋_GB2312" w:eastAsia="仿宋_GB2312"/>
        </w:rPr>
        <w:t>采购包最高限价（元）: 850,300.00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白水县城区主干道人行道提升改造项目设计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850,300.00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标的名称：白水县城区主干道人行道提升改造项目设计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一、需执行的国家相关标准、行业标准、地方标准或者其他标准、规范标准</w:t>
            </w:r>
          </w:p>
          <w:p>
            <w:pPr>
              <w:pStyle w:val="null3"/>
            </w:pPr>
            <w:r>
              <w:rPr>
                <w:rFonts w:ascii="仿宋_GB2312" w:hAnsi="仿宋_GB2312" w:cs="仿宋_GB2312" w:eastAsia="仿宋_GB2312"/>
              </w:rPr>
              <w:t>本项目所有工程测量、设计服务、造价编制（概算、预算）及成果文件，必须严格执行国家最新现行市政工程设计、城市道路、人行道铺装、园林树池、市政附属设施、工程造价、工程测量等相关标准规范，严格遵守市政行业规范、陕西省及渭南市地方标准、白水县城市建设管理相关规定。同时严格落实财政衔接资金项目管理、工程设计审查、工程竣工验收、工程审计等相关管理办法及制度要求，契合白水县城市更新、市政道路提升、人居环境整治相关建设标准，所有测量、设计、造价成果内容须合规、可行、可落地、可施工、可审计、可归档。</w:t>
            </w:r>
          </w:p>
          <w:p>
            <w:pPr>
              <w:pStyle w:val="null3"/>
            </w:pPr>
            <w:r>
              <w:rPr>
                <w:rFonts w:ascii="仿宋_GB2312" w:hAnsi="仿宋_GB2312" w:cs="仿宋_GB2312" w:eastAsia="仿宋_GB2312"/>
              </w:rPr>
              <w:t>二、采购标的具体要求</w:t>
            </w:r>
          </w:p>
          <w:p>
            <w:pPr>
              <w:pStyle w:val="null3"/>
            </w:pPr>
            <w:r>
              <w:rPr>
                <w:rFonts w:ascii="仿宋_GB2312" w:hAnsi="仿宋_GB2312" w:cs="仿宋_GB2312" w:eastAsia="仿宋_GB2312"/>
              </w:rPr>
              <w:t>（一）供应商资格与能力要求：</w:t>
            </w:r>
          </w:p>
          <w:p>
            <w:pPr>
              <w:pStyle w:val="null3"/>
            </w:pPr>
            <w:r>
              <w:rPr>
                <w:rFonts w:ascii="仿宋_GB2312" w:hAnsi="仿宋_GB2312" w:cs="仿宋_GB2312" w:eastAsia="仿宋_GB2312"/>
              </w:rPr>
              <w:t>1.供应商具备合格法有效的营业执照。</w:t>
            </w:r>
          </w:p>
          <w:p>
            <w:pPr>
              <w:pStyle w:val="null3"/>
            </w:pPr>
            <w:r>
              <w:rPr>
                <w:rFonts w:ascii="仿宋_GB2312" w:hAnsi="仿宋_GB2312" w:cs="仿宋_GB2312" w:eastAsia="仿宋_GB2312"/>
              </w:rPr>
              <w:t>2.供应商具备工程设计综合资质甲级或工程设计市政行业乙级及以上或工程设计市政行业(燃气工程、轨道交通工程除外)乙级及以上或工程设计市政行业道路工程乙级及以上资质，并同时具备工程勘察工程测量专业乙级及以上资质。</w:t>
            </w:r>
          </w:p>
          <w:p>
            <w:pPr>
              <w:pStyle w:val="null3"/>
            </w:pPr>
            <w:r>
              <w:rPr>
                <w:rFonts w:ascii="仿宋_GB2312" w:hAnsi="仿宋_GB2312" w:cs="仿宋_GB2312" w:eastAsia="仿宋_GB2312"/>
              </w:rPr>
              <w:t>3.拟派项目负责人具备注册土木工程师（道路工程）或一级注册结构工程师或二级注册结构师执业资格，并出具项目负责人在供应商单位近3个月内任意一个月缴纳的养老保险证明。</w:t>
            </w:r>
          </w:p>
          <w:p>
            <w:pPr>
              <w:pStyle w:val="null3"/>
            </w:pPr>
            <w:r>
              <w:rPr>
                <w:rFonts w:ascii="仿宋_GB2312" w:hAnsi="仿宋_GB2312" w:cs="仿宋_GB2312" w:eastAsia="仿宋_GB2312"/>
              </w:rPr>
              <w:t>（二）服务团队要求：</w:t>
            </w:r>
          </w:p>
          <w:p>
            <w:pPr>
              <w:pStyle w:val="null3"/>
            </w:pPr>
            <w:r>
              <w:rPr>
                <w:rFonts w:ascii="仿宋_GB2312" w:hAnsi="仿宋_GB2312" w:cs="仿宋_GB2312" w:eastAsia="仿宋_GB2312"/>
              </w:rPr>
              <w:t>供应商须组建专业齐全、人员稳定、经验丰富的服务团队，确保各专业设计无缝衔接、无遗漏、无冲突，能够高效完成本项目工程测量、全过程设计及配套服务，安排专人全程对接采购人及住建、市政、审计等主管部门，保障项目推进高效顺畅。</w:t>
            </w:r>
          </w:p>
          <w:p>
            <w:pPr>
              <w:pStyle w:val="null3"/>
            </w:pPr>
            <w:r>
              <w:rPr>
                <w:rFonts w:ascii="仿宋_GB2312" w:hAnsi="仿宋_GB2312" w:cs="仿宋_GB2312" w:eastAsia="仿宋_GB2312"/>
              </w:rPr>
              <w:t>（三）具体服务内容：</w:t>
            </w:r>
          </w:p>
          <w:p>
            <w:pPr>
              <w:pStyle w:val="null3"/>
            </w:pPr>
            <w:r>
              <w:rPr>
                <w:rFonts w:ascii="仿宋_GB2312" w:hAnsi="仿宋_GB2312" w:cs="仿宋_GB2312" w:eastAsia="仿宋_GB2312"/>
              </w:rPr>
              <w:t>1.前期配套服务：全面开展现场踏勘、现状地形及设施精准测量、原有道路及管线资料核查、现场病害及问题摸排梳理；主动对接住建、市政、城管、属地街道等相关部门，全面收集项目基础资料、规划要求及地方建设标准；完成项目设计方案论证、点位核对、现状问题分析，确保设计方案贴合现场实际、符合白水县城市整体规划及风貌要求。</w:t>
            </w:r>
          </w:p>
          <w:p>
            <w:pPr>
              <w:pStyle w:val="null3"/>
            </w:pPr>
            <w:r>
              <w:rPr>
                <w:rFonts w:ascii="仿宋_GB2312" w:hAnsi="仿宋_GB2312" w:cs="仿宋_GB2312" w:eastAsia="仿宋_GB2312"/>
              </w:rPr>
              <w:t>2.全流程设计服务：根据项目需求、现场实测数据及国家、地方规范标准，完成全套方案设计、初步设计、施工图设计工作；精准编制工程概算、工程预算，确保造价文件合规、精准、贴合市场行情，匹配财政衔接资金管理及审计要求，杜绝超标准、不合理造价编制问题。</w:t>
            </w:r>
          </w:p>
          <w:p>
            <w:pPr>
              <w:pStyle w:val="null3"/>
            </w:pPr>
            <w:r>
              <w:rPr>
                <w:rFonts w:ascii="仿宋_GB2312" w:hAnsi="仿宋_GB2312" w:cs="仿宋_GB2312" w:eastAsia="仿宋_GB2312"/>
              </w:rPr>
              <w:t>3.图纸审查配合服务：全程配合第三方图纸审查机构及行业主管部门开展图纸审核工作，及时响应各类审查意见，无偿完成图纸修改、方案优化、技术答疑、资料补正等工作，直至全套图纸及设计资料审查合格、取得正式合格审查意见。</w:t>
            </w:r>
          </w:p>
          <w:p>
            <w:pPr>
              <w:pStyle w:val="null3"/>
            </w:pPr>
            <w:r>
              <w:rPr>
                <w:rFonts w:ascii="仿宋_GB2312" w:hAnsi="仿宋_GB2312" w:cs="仿宋_GB2312" w:eastAsia="仿宋_GB2312"/>
              </w:rPr>
              <w:t>4.施工阶段全程服务：项目开工前完成设计技术交底、施工图纸答疑、施工重难点技术交底；施工期间提供常态化现场技术指导，定期派员到场巡查，及时处置施工过程中的各类设计技术问题；严格审核工程设计变更、现场签证的技术合理性、合规性、经济性；全程参与隐蔽工程验收、分部分项工程验收、竣工验收工作，出具专业、合规的技术验收意见。</w:t>
            </w:r>
          </w:p>
          <w:p>
            <w:pPr>
              <w:pStyle w:val="null3"/>
            </w:pPr>
            <w:r>
              <w:rPr>
                <w:rFonts w:ascii="仿宋_GB2312" w:hAnsi="仿宋_GB2312" w:cs="仿宋_GB2312" w:eastAsia="仿宋_GB2312"/>
              </w:rPr>
              <w:t>5.后期收尾配套服务：配合采购人完成工程竣工结算核算、项目全过程审计、工程全套资料整理分类归档、项目绩效评价、项目验收报备等全部收尾工作，确保项目资料齐全、流程闭环、顺利办结。</w:t>
            </w:r>
          </w:p>
          <w:p>
            <w:pPr>
              <w:pStyle w:val="null3"/>
            </w:pPr>
            <w:r>
              <w:rPr>
                <w:rFonts w:ascii="仿宋_GB2312" w:hAnsi="仿宋_GB2312" w:cs="仿宋_GB2312" w:eastAsia="仿宋_GB2312"/>
              </w:rPr>
              <w:t>6.其他配套工作：主动完成采购人及行业主管部门交办的、与本项目工程测量、设计工作相关的其他临时性配套工作，无条件配合项目各项整改、优化、报备工作。</w:t>
            </w:r>
          </w:p>
          <w:p>
            <w:pPr>
              <w:pStyle w:val="null3"/>
            </w:pPr>
            <w:r>
              <w:rPr>
                <w:rFonts w:ascii="仿宋_GB2312" w:hAnsi="仿宋_GB2312" w:cs="仿宋_GB2312" w:eastAsia="仿宋_GB2312"/>
              </w:rPr>
              <w:t>（四）成果文件要求：</w:t>
            </w:r>
          </w:p>
          <w:p>
            <w:pPr>
              <w:pStyle w:val="null3"/>
            </w:pPr>
            <w:r>
              <w:rPr>
                <w:rFonts w:ascii="仿宋_GB2312" w:hAnsi="仿宋_GB2312" w:cs="仿宋_GB2312" w:eastAsia="仿宋_GB2312"/>
              </w:rPr>
              <w:t>1.成果内容完整性：须提交完整的测量成果报告、设计说明书、项目总平面图、全套施工图纸、概算书、预算书及配套说明等全套合规成果，全面覆盖项目改造全部内容，无缺项、错项、漏项，满足项目施工、验收、审计、归档全流程使用需求。</w:t>
            </w:r>
          </w:p>
          <w:p>
            <w:pPr>
              <w:pStyle w:val="null3"/>
            </w:pPr>
            <w:r>
              <w:rPr>
                <w:rFonts w:ascii="仿宋_GB2312" w:hAnsi="仿宋_GB2312" w:cs="仿宋_GB2312" w:eastAsia="仿宋_GB2312"/>
              </w:rPr>
              <w:t>2.成果格式标准：纸质版成果份数满足采购人报审、施工、归档、审计、报备等各类使用需求；电子版成果包含CAD原版可编辑文件、高清PDF定稿文件、造价编制原版文件，所有文件分层清晰、命名规范、分类规整、可直接编辑使用及报审归档。</w:t>
            </w:r>
          </w:p>
          <w:p>
            <w:pPr>
              <w:pStyle w:val="null3"/>
            </w:pPr>
            <w:r>
              <w:rPr>
                <w:rFonts w:ascii="仿宋_GB2312" w:hAnsi="仿宋_GB2312" w:cs="仿宋_GB2312" w:eastAsia="仿宋_GB2312"/>
              </w:rPr>
              <w:t>3.成果质量标准：所有工程测量、设计、造价成果须完全满足国家及地方规范审查、现场实际施工、工程结算审计、财政衔接资金项目管理要求，确保图纸可落地、可施工、可验收、可归档、可审计，无质量瑕疵及合规性问题。</w:t>
            </w:r>
          </w:p>
          <w:p>
            <w:pPr>
              <w:pStyle w:val="null3"/>
            </w:pPr>
            <w:r>
              <w:rPr>
                <w:rFonts w:ascii="仿宋_GB2312" w:hAnsi="仿宋_GB2312" w:cs="仿宋_GB2312" w:eastAsia="仿宋_GB2312"/>
              </w:rPr>
              <w:t>三、服务标准、期限、效率等要求</w:t>
            </w:r>
          </w:p>
          <w:p>
            <w:pPr>
              <w:pStyle w:val="null3"/>
            </w:pPr>
            <w:r>
              <w:rPr>
                <w:rFonts w:ascii="仿宋_GB2312" w:hAnsi="仿宋_GB2312" w:cs="仿宋_GB2312" w:eastAsia="仿宋_GB2312"/>
              </w:rPr>
              <w:t>（一）服务标准</w:t>
            </w:r>
          </w:p>
          <w:p>
            <w:pPr>
              <w:pStyle w:val="null3"/>
            </w:pPr>
            <w:r>
              <w:rPr>
                <w:rFonts w:ascii="仿宋_GB2312" w:hAnsi="仿宋_GB2312" w:cs="仿宋_GB2312" w:eastAsia="仿宋_GB2312"/>
              </w:rPr>
              <w:t>严格遵循国家、行业、地方现行工程测量、工程设计、工程造价规范标准及政府采购、财政资金使用管理规定，测量数据精准无误，设计成果深度、精度达标，方案科学合理、经济适用、贴合白水县城市风貌及人居环境提升要求，确保顺利通过图纸审查、工程验收、财政审计，无设计、测量、造价质量瑕疵及合规性问题。</w:t>
            </w:r>
          </w:p>
          <w:p>
            <w:pPr>
              <w:pStyle w:val="null3"/>
            </w:pPr>
            <w:r>
              <w:rPr>
                <w:rFonts w:ascii="仿宋_GB2312" w:hAnsi="仿宋_GB2312" w:cs="仿宋_GB2312" w:eastAsia="仿宋_GB2312"/>
              </w:rPr>
              <w:t>（二）服务期限</w:t>
            </w:r>
          </w:p>
          <w:p>
            <w:pPr>
              <w:pStyle w:val="null3"/>
            </w:pPr>
            <w:r>
              <w:rPr>
                <w:rFonts w:ascii="仿宋_GB2312" w:hAnsi="仿宋_GB2312" w:cs="仿宋_GB2312" w:eastAsia="仿宋_GB2312"/>
              </w:rPr>
              <w:t>设计成果交付期：合同签订之日起30日历天内完成全部工程测量、设计、造价编制工作并提交完整合格的全套成果；后续技术指导、图纸答疑、验收审计配合、资料归档等配套服务贯穿项目施工、验收、审计、归档全过程，直至项目整体办结、流程闭环。</w:t>
            </w:r>
          </w:p>
          <w:p>
            <w:pPr>
              <w:pStyle w:val="null3"/>
            </w:pPr>
            <w:r>
              <w:rPr>
                <w:rFonts w:ascii="仿宋_GB2312" w:hAnsi="仿宋_GB2312" w:cs="仿宋_GB2312" w:eastAsia="仿宋_GB2312"/>
              </w:rPr>
              <w:t>（三）服务效率要求</w:t>
            </w:r>
          </w:p>
          <w:p>
            <w:pPr>
              <w:pStyle w:val="null3"/>
            </w:pPr>
            <w:r>
              <w:rPr>
                <w:rFonts w:ascii="仿宋_GB2312" w:hAnsi="仿宋_GB2312" w:cs="仿宋_GB2312" w:eastAsia="仿宋_GB2312"/>
              </w:rPr>
              <w:t>供应商须在合同签订后3日内提交详细的项目工程测量及设计工作计划、人员分工表、进度保障方案、质量管控方案。项目服务期间，针对采购人及施工单位提出的技术咨询、问题反馈，24小时内响应对接，一般技术问题48小时内闭环解决，重大技术问题12小时内派员到场处置，全力保障项目施工进度不受测量、设计、技术问题影响。</w:t>
            </w:r>
          </w:p>
          <w:p>
            <w:pPr>
              <w:pStyle w:val="null3"/>
            </w:pPr>
            <w:r>
              <w:rPr>
                <w:rFonts w:ascii="仿宋_GB2312" w:hAnsi="仿宋_GB2312" w:cs="仿宋_GB2312" w:eastAsia="仿宋_GB2312"/>
              </w:rPr>
              <w:t>（四）保密要求</w:t>
            </w:r>
          </w:p>
          <w:p>
            <w:pPr>
              <w:pStyle w:val="null3"/>
            </w:pPr>
            <w:r>
              <w:rPr>
                <w:rFonts w:ascii="仿宋_GB2312" w:hAnsi="仿宋_GB2312" w:cs="仿宋_GB2312" w:eastAsia="仿宋_GB2312"/>
              </w:rPr>
              <w:t>供应商对本项目所有现场测量资料、设计数据、方案图纸、报审资料、项目信息、造价数据等承担永久保密责任，未经采购人书面正式同意，严禁向任何第三方泄露、传播、转借、使用项目相关资料及数据。项目保密义务不因合同终止、项目办结而失效。</w:t>
            </w:r>
          </w:p>
          <w:p>
            <w:pPr>
              <w:pStyle w:val="null3"/>
            </w:pPr>
            <w:r>
              <w:rPr>
                <w:rFonts w:ascii="仿宋_GB2312" w:hAnsi="仿宋_GB2312" w:cs="仿宋_GB2312" w:eastAsia="仿宋_GB2312"/>
              </w:rPr>
              <w:t>（五）成果质量责任</w:t>
            </w:r>
          </w:p>
          <w:p>
            <w:pPr>
              <w:pStyle w:val="null3"/>
            </w:pPr>
            <w:r>
              <w:rPr>
                <w:rFonts w:ascii="仿宋_GB2312" w:hAnsi="仿宋_GB2312" w:cs="仿宋_GB2312" w:eastAsia="仿宋_GB2312"/>
              </w:rPr>
              <w:t>因供应商测量失误、设计失误、图纸漏项、设计深度不足、方案不合理、未按规范标准设计、造价编制失误等自身原因，导致图纸审查不通过、工程返工、设计变更增加、工期延误、经济损失或审计问题的，由供应商承担全部整改责任、返工费用及相应经济损失与违约责任，无条件无偿完成整改优化，确保项目达标。</w:t>
            </w:r>
          </w:p>
          <w:p>
            <w:pPr>
              <w:pStyle w:val="null3"/>
            </w:pPr>
            <w:r>
              <w:rPr>
                <w:rFonts w:ascii="仿宋_GB2312" w:hAnsi="仿宋_GB2312" w:cs="仿宋_GB2312" w:eastAsia="仿宋_GB2312"/>
              </w:rPr>
              <w:t>四、付款方式</w:t>
            </w:r>
          </w:p>
          <w:p>
            <w:pPr>
              <w:pStyle w:val="null3"/>
            </w:pPr>
            <w:r>
              <w:rPr>
                <w:rFonts w:ascii="仿宋_GB2312" w:hAnsi="仿宋_GB2312" w:cs="仿宋_GB2312" w:eastAsia="仿宋_GB2312"/>
              </w:rPr>
              <w:t>本项目合同计价方式为固定总价合同，合同总价包含本项目全过程工程测量、方案设计、初步设计、施工图设计、概算预算编制、图审配合、施工技术服务、验收审计配合、资料归档及所有配套临时服务的全部费用，采购人无需额外支付其他任何费用，总价固定不变，不受后期工程建安费用调整、工程量微调等因素影响。具体付款方式如下：</w:t>
            </w:r>
          </w:p>
          <w:p>
            <w:pPr>
              <w:pStyle w:val="null3"/>
            </w:pPr>
            <w:r>
              <w:rPr>
                <w:rFonts w:ascii="仿宋_GB2312" w:hAnsi="仿宋_GB2312" w:cs="仿宋_GB2312" w:eastAsia="仿宋_GB2312"/>
              </w:rPr>
              <w:t>1.预付款支付：合同签订生效后，采购人向供应商支付固定合同总价的40%作为项目预付款。</w:t>
            </w:r>
          </w:p>
          <w:p>
            <w:pPr>
              <w:pStyle w:val="null3"/>
            </w:pPr>
            <w:r>
              <w:rPr>
                <w:rFonts w:ascii="仿宋_GB2312" w:hAnsi="仿宋_GB2312" w:cs="仿宋_GB2312" w:eastAsia="仿宋_GB2312"/>
              </w:rPr>
              <w:t>2.尾款支付：供应商完成本合同约定全部工程测量、设计及配套服务工作，提交完整合格的全套设计成果，且项目成果验收合格、所有服务履约完毕后，扣除已支付预付款，一次性结清剩余全部合同尾款。</w:t>
            </w:r>
          </w:p>
          <w:p>
            <w:pPr>
              <w:pStyle w:val="null3"/>
            </w:pPr>
            <w:r>
              <w:rPr>
                <w:rFonts w:ascii="仿宋_GB2312" w:hAnsi="仿宋_GB2312" w:cs="仿宋_GB2312" w:eastAsia="仿宋_GB2312"/>
              </w:rPr>
              <w:t>3.发票要求：供应商申请每一笔款项支付前，须向采购人提供合法合规、信息完整、等额的增值税普通发票，否则采购人有权顺延付款，不承担逾期付款责任。</w:t>
            </w:r>
          </w:p>
          <w:p>
            <w:pPr>
              <w:pStyle w:val="null3"/>
            </w:pPr>
            <w:r>
              <w:rPr>
                <w:rFonts w:ascii="仿宋_GB2312" w:hAnsi="仿宋_GB2312" w:cs="仿宋_GB2312" w:eastAsia="仿宋_GB2312"/>
              </w:rPr>
              <w:t>4.付款进度可根据财政资金拨付进度适度调整，供应商须无条件配合，不得以此主张违约、索赔、工期顺延等权利。</w:t>
            </w:r>
          </w:p>
          <w:p>
            <w:pPr>
              <w:pStyle w:val="null3"/>
            </w:pPr>
            <w:r>
              <w:rPr>
                <w:rFonts w:ascii="仿宋_GB2312" w:hAnsi="仿宋_GB2312" w:cs="仿宋_GB2312" w:eastAsia="仿宋_GB2312"/>
              </w:rPr>
              <w:t>五、验收标准</w:t>
            </w:r>
          </w:p>
          <w:p>
            <w:pPr>
              <w:pStyle w:val="null3"/>
            </w:pPr>
            <w:r>
              <w:rPr>
                <w:rFonts w:ascii="仿宋_GB2312" w:hAnsi="仿宋_GB2312" w:cs="仿宋_GB2312" w:eastAsia="仿宋_GB2312"/>
              </w:rPr>
              <w:t>（一）验收依据</w:t>
            </w:r>
          </w:p>
          <w:p>
            <w:pPr>
              <w:pStyle w:val="null3"/>
            </w:pPr>
            <w:r>
              <w:rPr>
                <w:rFonts w:ascii="仿宋_GB2312" w:hAnsi="仿宋_GB2312" w:cs="仿宋_GB2312" w:eastAsia="仿宋_GB2312"/>
              </w:rPr>
              <w:t>本项目采购需求、正式签订的服务合同、国家及行业现行工程测量、工程设计、工程造价规范标准、图纸审查正式意见、财政衔接资金项目管理相关规定、白水县市政工程建设管理要求。</w:t>
            </w:r>
          </w:p>
          <w:p>
            <w:pPr>
              <w:pStyle w:val="null3"/>
            </w:pPr>
            <w:r>
              <w:rPr>
                <w:rFonts w:ascii="仿宋_GB2312" w:hAnsi="仿宋_GB2312" w:cs="仿宋_GB2312" w:eastAsia="仿宋_GB2312"/>
              </w:rPr>
              <w:t>（二）验收内容及合格标准</w:t>
            </w:r>
          </w:p>
          <w:p>
            <w:pPr>
              <w:pStyle w:val="null3"/>
            </w:pPr>
            <w:r>
              <w:rPr>
                <w:rFonts w:ascii="仿宋_GB2312" w:hAnsi="仿宋_GB2312" w:cs="仿宋_GB2312" w:eastAsia="仿宋_GB2312"/>
              </w:rPr>
              <w:t>1.全套测量成果、设计成果、造价成果完整、规范、精准，工作深度、精度完全满足现场施工、工程结算、财政审计、资料归档要求，无缺项、错项、漏项、数据偏差等问题。</w:t>
            </w:r>
          </w:p>
          <w:p>
            <w:pPr>
              <w:pStyle w:val="null3"/>
            </w:pPr>
            <w:r>
              <w:rPr>
                <w:rFonts w:ascii="仿宋_GB2312" w:hAnsi="仿宋_GB2312" w:cs="仿宋_GB2312" w:eastAsia="仿宋_GB2312"/>
              </w:rPr>
              <w:t>2.所有测量资料、设计图纸、造价文件顺利通过主管部门及第三方图审机构审查，取得合格审查意见，无整改遗留问题。</w:t>
            </w:r>
          </w:p>
          <w:p>
            <w:pPr>
              <w:pStyle w:val="null3"/>
            </w:pPr>
            <w:r>
              <w:rPr>
                <w:rFonts w:ascii="仿宋_GB2312" w:hAnsi="仿宋_GB2312" w:cs="仿宋_GB2312" w:eastAsia="仿宋_GB2312"/>
              </w:rPr>
              <w:t>3.供应商全面完成本合同约定的工程测量、设计及配套服务内容，施工及验收阶段技术配合到位、响应及时、问题处置闭环，全程保障项目顺利推进。</w:t>
            </w:r>
          </w:p>
          <w:p>
            <w:pPr>
              <w:pStyle w:val="null3"/>
            </w:pPr>
            <w:r>
              <w:rPr>
                <w:rFonts w:ascii="仿宋_GB2312" w:hAnsi="仿宋_GB2312" w:cs="仿宋_GB2312" w:eastAsia="仿宋_GB2312"/>
              </w:rPr>
              <w:t>4.项目全套测量、设计、报审、造价、验收、归档资料齐全完整，分类规范、装订规整，完全符合工程归档及财政资金资料管理要求。</w:t>
            </w:r>
          </w:p>
          <w:p>
            <w:pPr>
              <w:pStyle w:val="null3"/>
            </w:pPr>
            <w:r>
              <w:rPr>
                <w:rFonts w:ascii="仿宋_GB2312" w:hAnsi="仿宋_GB2312" w:cs="仿宋_GB2312" w:eastAsia="仿宋_GB2312"/>
              </w:rPr>
              <w:t>（三）验收方式</w:t>
            </w:r>
          </w:p>
          <w:p>
            <w:pPr>
              <w:pStyle w:val="null3"/>
            </w:pPr>
            <w:r>
              <w:rPr>
                <w:rFonts w:ascii="仿宋_GB2312" w:hAnsi="仿宋_GB2312" w:cs="仿宋_GB2312" w:eastAsia="仿宋_GB2312"/>
              </w:rPr>
              <w:t>由采购人组织相关部门、技术人员开展集中验收，出具正式验收意见书。若测量成果、设计成果、服务内容验收不合格，供应商须在采购人规定时限内无偿修改、优化、补正、重新编制，直至验收合格，期间产生的一切费用、工期延误损失及经济损失由供应商自行承担。</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见本章3.2.2服务要求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配备满足本项目工程测量、设计绘图、造价编制、成果输出及资料归档工作所需的全套专业设施设备，确保项目作业精准、高效、合规开展。所需设备主要包括高精度测量仪器、专业设计办公设备、正版工程设计及造价软件、图文输出及归档设备等。所有投入本项目的设备仪器须状态完好、精度达标、在校验有效期内，软件系统为合法正版授权，可满足现场外业测量、内业设计制图、造价核算、成果报审、资料整编等全流程工作需求，严禁使用盗版软件、精度失效设备开展项目作业，确保项目成果数据精准、格式规范、合法有效。</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见本章3.2.2服务要求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自合同签订之日起30日历天内，完成全部设计工作并提交符合审查要求的最终成果。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白水县仓颉路、居苑路、东风路东段。</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依据：本项目采购需求、正式签订的服务合同、国家及行业现行工程测量、工程设计、工程造价规范标准、图纸审查正式意见、财政衔接资金项目管理相关规定、白水县市政工程建设管理要求。（二）验收内容及合格标准：1.全套测量成果、设计成果、造价成果完整、规范、精准，工作深度、精度完全满足现场施工、工程结算、财政审计、资料归档要求，无缺项、错项、漏项、数据偏差等问题。2.所有测量资料、设计图纸、造价文件顺利通过主管部门及第三方图审机构审查，取得合格审查意见，无整改遗留问题。3.供应商全面完成本合同约定的工程测量、设计及配套服务内容，施工及验收阶段技术配合到位、响应及时、问题处置闭环，全程保障项目顺利推进。4.项目全套测量、设计、报审、造价、验收、归档资料齐全完整，分类规范、装订规整，完全符合工程归档及财政资金资料管理要求。（三）验收方式：由采购人组织相关部门、技术人员开展集中验收，出具正式验收意见书。若测量成果、设计成果、服务内容验收不合格，供应商须在采购人规定时限内无偿修改、优化、补正、重新编制，直至验收合格，期间产生的一切费用、工期延误损失及经济损失由供应商自行承担。</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进度款，合同签订生效后，采购人向供应商支付暂估合同价的40%作为项目预付款，达到付款条件起15个工作日内，支付合同总金额的40.0%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进度款，供应商完成本合同约定全部工程测量、设计及配套服务工作，提交完整合格的全套设计成果，且项目成果验收合格、所有服务履约完毕后，达到付款条件起15个工作日内，支付合同总金额的60.0%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磋商保证金缴纳规范：1.缴纳主体要求：磋商保证金必须由供应商本单位对公账户转出缴纳，个人账户、非本供应商账户缴纳的保证金一律无效，直接视为供应商自动放弃磋商资格，响应文件不予受理。2.缴纳时限要求：磋商保证金（含保函）须在响应文件递交截止时间前完成全部提交手续，逾期提交、金额不足、提交形式不符的，直接判定响应无效。3.保函提交细则：采用保函形式缴纳保证金的供应商，须在响应文件递交截止时间前，将合规保函完整上传至政府采购电子化交易平台；同时将清晰、完整、无遮挡的保函PDF扫描件发送至指定邮箱：2518945557@qq.com，邮件命名严格执行格式：项目名称+项目编号。供应商须在响应文件中附保函有效复印件，以备核查。4.保函合规要求：保函须由具备合法投标保函开具资质的金融机构/单位出具，保函条款合法有效、权责清晰。若供应商在磋商及履约阶段发生违约行为，保函开具单位须依法承担相应连带责任。5.否决条款：磋商保证金的缴纳金额、缴纳主体、提交时限、提交形式任意一项不满足本磋商文件要求的，供应商响应直接无效，不进入后续评审环节。（二）合同文本确认要求：供应商参与本次磋商，即表示已完整阅读、充分理解、完全认可本项目磋商文件第八章《拟签订采购合同文本》的全部条款内容，自愿接受合同所有约束，无任何异议，成交后不得以此为由拒绝签订合同、变更合同条款或拒不履约。（三）成交文件递交规范：1.成交供应商签订正式合同前，须按要求提交全套纸质及电子响应文件，具体份数：纸质文件正本壹份、副本贰份，电子版文件叁份（存储于U盘，U盘表面清晰标注供应商单位全称）。2.文件编制要求：所有纸质、电子文件须完整编制目录、标注连续页码，内容、版本、数据须与政府采购电子化交易平台线上提交的响应文件完全一致，不得存在删减、修改、替换内容等情形。3.文件装订要求：纸质文件正本、副本须分别独立胶装装订，采用不可拆卸装订方式，严禁活页装订、订书钉装订，建议采用双面打印，装订牢固、页面整洁、页码清晰，便于归档留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供应商需在项⽬电⼦化交易系统中按要求上传相应资格证明⽂件并进⾏电⼦签章；供应商需在项⽬电⼦化交易系统中按要求填写《响应函》完成承诺并进⾏电⼦签章。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供应商需在项⽬电⼦化交易系统中按要求上传相应资格证明⽂件并进⾏电⼦签章；供应商需在项⽬电⼦化交易系统中按要求填写《响应函》完成承诺并进⾏电⼦签章。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供应商需在项⽬电⼦化交易系统中按要求上传相应资格证明⽂件并进⾏电⼦签章；供应商需在项⽬电⼦化交易系统中按要求填写《响应函》完成承诺并进⾏电⼦签章。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提供了企业声明函原件，企业类型为中型企业或⼩型企业或微型企业或监狱企业或残疾⼈福利性企业。本合同包所属⾏业：其他未列明⾏业。从业⼈员300⼈以下的为中⼩微型企业。其中，从业⼈员100⼈及以上的为中型企业；从业⼈员10⼈及以上的为⼩型企业；从业⼈员10⼈以下的为微型企业。特别说明：从业⼈员、营业收⼊、资产总额填报上⼀年度数据，上⼀年度数据是指提供2025年度的数据。</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供应商代表身份</w:t>
            </w:r>
          </w:p>
        </w:tc>
        <w:tc>
          <w:tcPr>
            <w:tcW w:type="dxa" w:w="3322"/>
          </w:tcPr>
          <w:p>
            <w:pPr>
              <w:pStyle w:val="null3"/>
            </w:pPr>
            <w:r>
              <w:rPr>
                <w:rFonts w:ascii="仿宋_GB2312" w:hAnsi="仿宋_GB2312" w:cs="仿宋_GB2312" w:eastAsia="仿宋_GB2312"/>
              </w:rPr>
              <w:t>法定代表人参加磋商的，须提供本人身份证复印件（附在资格证明文件中）；法定代表人授权他人参加磋商的，须提供法定代表人授权委托书、授权代表身份证、授权代表本单位证明（在供应商单位近3个月内任意一个月缴纳的养老保险证明）。竞争性磋商文件中凡是需要法定代表人签字或盖章之处，非法人单位的负责人均参照执行。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供应商提供有效存续的企业营业执照（含2025年度报告）。</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w:t>
            </w:r>
          </w:p>
        </w:tc>
        <w:tc>
          <w:tcPr>
            <w:tcW w:type="dxa" w:w="3322"/>
          </w:tcPr>
          <w:p>
            <w:pPr>
              <w:pStyle w:val="null3"/>
            </w:pPr>
            <w:r>
              <w:rPr>
                <w:rFonts w:ascii="仿宋_GB2312" w:hAnsi="仿宋_GB2312" w:cs="仿宋_GB2312" w:eastAsia="仿宋_GB2312"/>
              </w:rPr>
              <w:t>供应商具备工程设计综合资质甲级或工程设计市政行业乙级及以上或工程设计市政行业(燃气工程、轨道交通工程除外)乙级及以上或工程设计市政行业道路工程乙级及以上资质，并同时具备工程勘察工程测量专业乙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拟派项目负责人具备注册土木工程师（道路工程）或一级注册结构工程师或二级注册结构师执业资格，并出具项目负责人在供应商单位近3个月内任意一个月缴纳的养老保险证明。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经审计的财务报告（包括“四表一注”，即资产负债表、利润表、现金流量表、所有者权益变动表及其附注，成立时间至提交响应文件截止时间不足一年的可提供成立后任意时段的资产负债表），或其提交响应文件截止时间前三个月内基本开户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供应商提供2026年1月1日至响应文件递交截止之日任意一个月的社会保障资金缴存单据或社保机构开具的社会保险参保缴费情况证明。依法不需要缴纳社会保障资金的供应商应提供相关证明文件。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1日至响应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提供《供应商信用记录书面声明函》（按格式填写，提供原件）。经查，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供应商提供直接控股和管理关系清单。若与其他供应商存在单位负责人为同一人或者存在直接控股、管理关系的，则响应无效。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本合同包不接受联合体磋商、不允许分包</w:t>
            </w:r>
          </w:p>
        </w:tc>
        <w:tc>
          <w:tcPr>
            <w:tcW w:type="dxa" w:w="3322"/>
          </w:tcPr>
          <w:p>
            <w:pPr>
              <w:pStyle w:val="null3"/>
            </w:pPr>
            <w:r>
              <w:rPr>
                <w:rFonts w:ascii="仿宋_GB2312" w:hAnsi="仿宋_GB2312" w:cs="仿宋_GB2312" w:eastAsia="仿宋_GB2312"/>
              </w:rPr>
              <w:t>供应商提供《非联合体磋商不分包声明》。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在磋商过程中，磋商⼩组认为供应商报价明显低于其他通过符合性审查供应商的报价，有可能影响产品质量或者不能诚信履约的，磋商⼩组应当要求其在合理的时间内通过项⽬电⼦化交易系统进⾏书⾯说明，必要时提交相关证明材料。供应商提交的书⾯说明和相关证明材料，应当加盖供应商公章，在磋商⼩组要求的时间内通过项⽬电⼦化交易系统进⾏提交，否则提交的相关材料⽆效，视为不能证明其响应报价合理性。供应商不能证明其响应报价合理性的，磋商⼩组应当将其响应⽂件作为⽆效处理。具体内容及要求以“第六章磋商办法6.4.2评分标准”为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供应商名称是否与营业执照、资质证书⼀致</w:t>
            </w:r>
          </w:p>
        </w:tc>
        <w:tc>
          <w:tcPr>
            <w:tcW w:type="dxa" w:w="1661"/>
          </w:tcPr>
          <w:p>
            <w:pPr>
              <w:pStyle w:val="null3"/>
            </w:pPr>
            <w:r>
              <w:rPr>
                <w:rFonts w:ascii="仿宋_GB2312" w:hAnsi="仿宋_GB2312" w:cs="仿宋_GB2312" w:eastAsia="仿宋_GB2312"/>
              </w:rPr>
              <w:t>响应文件封面 中小企业声明函 残疾人福利性单位声明函 保证金及信用信息.docx 标的清单 报价表 服务内容及服务邀请应答表.docx 商务应答表.docx 响应函 承诺函.docx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磋商⽂件签字盖章</w:t>
            </w:r>
          </w:p>
        </w:tc>
        <w:tc>
          <w:tcPr>
            <w:tcW w:type="dxa" w:w="3322"/>
          </w:tcPr>
          <w:p>
            <w:pPr>
              <w:pStyle w:val="null3"/>
            </w:pPr>
            <w:r>
              <w:rPr>
                <w:rFonts w:ascii="仿宋_GB2312" w:hAnsi="仿宋_GB2312" w:cs="仿宋_GB2312" w:eastAsia="仿宋_GB2312"/>
              </w:rPr>
              <w:t>响应⽂件签字盖章满⾜磋商⽂件的要求</w:t>
            </w:r>
          </w:p>
        </w:tc>
        <w:tc>
          <w:tcPr>
            <w:tcW w:type="dxa" w:w="1661"/>
          </w:tcPr>
          <w:p>
            <w:pPr>
              <w:pStyle w:val="null3"/>
            </w:pPr>
            <w:r>
              <w:rPr>
                <w:rFonts w:ascii="仿宋_GB2312" w:hAnsi="仿宋_GB2312" w:cs="仿宋_GB2312" w:eastAsia="仿宋_GB2312"/>
              </w:rPr>
              <w:t>响应文件封面 中小企业声明函 残疾人福利性单位声明函 保证金及信用信息.docx 标的清单 报价表 服务内容及服务邀请应答表.docx 商务应答表.docx 响应函 承诺函.docx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响应⽂件有效期满⾜磋商⽂件的要求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按磋商文件要求提交了磋商保证金</w:t>
            </w:r>
          </w:p>
        </w:tc>
        <w:tc>
          <w:tcPr>
            <w:tcW w:type="dxa" w:w="1661"/>
          </w:tcPr>
          <w:p>
            <w:pPr>
              <w:pStyle w:val="null3"/>
            </w:pPr>
            <w:r>
              <w:rPr>
                <w:rFonts w:ascii="仿宋_GB2312" w:hAnsi="仿宋_GB2312" w:cs="仿宋_GB2312" w:eastAsia="仿宋_GB2312"/>
              </w:rPr>
              <w:t>保证金及信用信息.docx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响应文件报价是否唯一</w:t>
            </w:r>
          </w:p>
        </w:tc>
        <w:tc>
          <w:tcPr>
            <w:tcW w:type="dxa" w:w="3322"/>
          </w:tcPr>
          <w:p>
            <w:pPr>
              <w:pStyle w:val="null3"/>
            </w:pPr>
            <w:r>
              <w:rPr>
                <w:rFonts w:ascii="仿宋_GB2312" w:hAnsi="仿宋_GB2312" w:cs="仿宋_GB2312" w:eastAsia="仿宋_GB2312"/>
              </w:rPr>
              <w:t>每次报价只能有一个有效报价，且未超出采购预算及采购最高限价；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完全响应第三章“磋商项目技术、服务、商务及其他要求求”，没有负偏离。</w:t>
            </w:r>
          </w:p>
        </w:tc>
        <w:tc>
          <w:tcPr>
            <w:tcW w:type="dxa" w:w="1661"/>
          </w:tcPr>
          <w:p>
            <w:pPr>
              <w:pStyle w:val="null3"/>
            </w:pPr>
            <w:r>
              <w:rPr>
                <w:rFonts w:ascii="仿宋_GB2312" w:hAnsi="仿宋_GB2312" w:cs="仿宋_GB2312" w:eastAsia="仿宋_GB2312"/>
              </w:rPr>
              <w:t>服务内容及服务邀请应答表.docx 商务应答表.docx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响应文件中对合同草案条款未附加采购人难以接受的条件</w:t>
            </w:r>
          </w:p>
        </w:tc>
        <w:tc>
          <w:tcPr>
            <w:tcW w:type="dxa" w:w="1661"/>
          </w:tcPr>
          <w:p>
            <w:pPr>
              <w:pStyle w:val="null3"/>
            </w:pPr>
            <w:r>
              <w:rPr>
                <w:rFonts w:ascii="仿宋_GB2312" w:hAnsi="仿宋_GB2312" w:cs="仿宋_GB2312" w:eastAsia="仿宋_GB2312"/>
              </w:rPr>
              <w:t>服务内容及服务邀请应答表.docx 商务应答表.docx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2023年1⽉1⽇⾄响应⽂件递交截⽌之⽇，承揽过类似项⽬设计业绩。每提供1项符合要求的业绩得2分，本项最⾼得10分。 评审依据：须提供加盖供应商公章的合同关键⻚（包含项⽬名称、合同⾦额、签订时间、双⽅签章）复印件。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近年类似项目业绩.docx</w:t>
            </w:r>
          </w:p>
        </w:tc>
      </w:tr>
      <w:tr>
        <w:tc>
          <w:tcPr>
            <w:tcW w:type="dxa" w:w="831"/>
            <w:vMerge/>
          </w:tcPr>
          <w:p/>
        </w:tc>
        <w:tc>
          <w:tcPr>
            <w:tcW w:type="dxa" w:w="1661"/>
          </w:tcPr>
          <w:p>
            <w:pPr>
              <w:pStyle w:val="null3"/>
            </w:pPr>
            <w:r>
              <w:rPr>
                <w:rFonts w:ascii="仿宋_GB2312" w:hAnsi="仿宋_GB2312" w:cs="仿宋_GB2312" w:eastAsia="仿宋_GB2312"/>
              </w:rPr>
              <w:t>项目负责人资历</w:t>
            </w:r>
          </w:p>
        </w:tc>
        <w:tc>
          <w:tcPr>
            <w:tcW w:type="dxa" w:w="2492"/>
          </w:tcPr>
          <w:p>
            <w:pPr>
              <w:pStyle w:val="null3"/>
            </w:pPr>
            <w:r>
              <w:rPr>
                <w:rFonts w:ascii="仿宋_GB2312" w:hAnsi="仿宋_GB2312" w:cs="仿宋_GB2312" w:eastAsia="仿宋_GB2312"/>
              </w:rPr>
              <w:t>1.职称：具备工程类高级及以上职称得4分，工程类中级职称得2分，其它不得分； 评审依据：须提供加盖供应商公章的项目负责人职称证书。 2.业绩：⾃2023年1⽉1⽇以来，作为项⽬负责⼈或设计负责人或技术负责⼈，完成过类似项⽬设计业绩。每提供1项符合要求的业绩得3分，本项最⾼得6分。 评审依据：须提供加盖供应商公章的合同复印件以及能证明其担任⻆⾊的相关证明材料（合同⼈员名单⻚或业主证明或项⽬成果署名⻚等），⽆法体现项⽬设计负责⼈姓名的，业绩不予认可。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项目负责人简历表.docx</w:t>
            </w:r>
          </w:p>
        </w:tc>
      </w:tr>
      <w:tr>
        <w:tc>
          <w:tcPr>
            <w:tcW w:type="dxa" w:w="831"/>
            <w:vMerge/>
          </w:tcPr>
          <w:p/>
        </w:tc>
        <w:tc>
          <w:tcPr>
            <w:tcW w:type="dxa" w:w="1661"/>
          </w:tcPr>
          <w:p>
            <w:pPr>
              <w:pStyle w:val="null3"/>
            </w:pPr>
            <w:r>
              <w:rPr>
                <w:rFonts w:ascii="仿宋_GB2312" w:hAnsi="仿宋_GB2312" w:cs="仿宋_GB2312" w:eastAsia="仿宋_GB2312"/>
              </w:rPr>
              <w:t>其它主要人员资历</w:t>
            </w:r>
          </w:p>
        </w:tc>
        <w:tc>
          <w:tcPr>
            <w:tcW w:type="dxa" w:w="2492"/>
          </w:tcPr>
          <w:p>
            <w:pPr>
              <w:pStyle w:val="null3"/>
            </w:pPr>
            <w:r>
              <w:rPr>
                <w:rFonts w:ascii="仿宋_GB2312" w:hAnsi="仿宋_GB2312" w:cs="仿宋_GB2312" w:eastAsia="仿宋_GB2312"/>
              </w:rPr>
              <w:t>项⽬团队（除负责⼈外）需配备相应专业设计⼈员。 ①每有⼀名成员具备⼯程类⾼级职称或相应国家注册执业资格（注册土木工程师（道路工程）或一级注册结构工程师或二级注册结构师或⼆级及以上注册建筑师），得4分； ②每有⼀名成员具备⼯程类中级职称得2分。 评审依据：须提供加盖供应商公章的⼈员职称证书或执业资格证书。 注：同⼀⼈员不重复计分，按最⾼分值计算。</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拟委任的主要人员汇总表.docx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评审内容：根据供应商针对本项⽬的质量保障措施，各部分内容全⾯详细、阐述条理清晰详尽、符合磋商⽂件要求。内容包含①质量问题分析；②保障措施；③达到⽬标。评审标准:上述每项内容⽆缺陷得3分，满分为9分。内容每存在1处缺陷扣0.5分，扣完为⽌；（评审内容中的缺陷是指:内容不完整或缺少关键点、内容描述过于简单、条理不清晰、⾮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1.质量保障措施.docx</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根据供应商针对本项⽬的进度计划及保障措施，各部分内容全⾯详细、阐述条理清晰详尽、符合磋商⽂件要求。内容包含①进度计划；②保障措施。评审标准:上述每项内容⽆缺陷得3分，满分为6分。内容每存在1处缺陷扣0.5分，扣完为⽌；（评审内容中的缺陷是指:内容不完整或缺少关键点、内容描述过于简单、条理不清晰、⾮专⻔针对本项⽬或不适⽤本项⽬特性、套⽤其他项⽬内容；对同⼀问题前后表述⽭盾；存在逻辑漏洞、科学原理或常识错误；不利于本项⽬⽬标的实现、现有技术条件下不可能出现的情形等任意⼀种情形 ）</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2.进度计划及保障措施.docx</w:t>
            </w:r>
          </w:p>
        </w:tc>
      </w:tr>
      <w:tr>
        <w:tc>
          <w:tcPr>
            <w:tcW w:type="dxa" w:w="831"/>
            <w:vMerge/>
          </w:tcPr>
          <w:p/>
        </w:tc>
        <w:tc>
          <w:tcPr>
            <w:tcW w:type="dxa" w:w="1661"/>
          </w:tcPr>
          <w:p>
            <w:pPr>
              <w:pStyle w:val="null3"/>
            </w:pPr>
            <w:r>
              <w:rPr>
                <w:rFonts w:ascii="仿宋_GB2312" w:hAnsi="仿宋_GB2312" w:cs="仿宋_GB2312" w:eastAsia="仿宋_GB2312"/>
              </w:rPr>
              <w:t>技术思路和应对措施</w:t>
            </w:r>
          </w:p>
        </w:tc>
        <w:tc>
          <w:tcPr>
            <w:tcW w:type="dxa" w:w="2492"/>
          </w:tcPr>
          <w:p>
            <w:pPr>
              <w:pStyle w:val="null3"/>
            </w:pPr>
            <w:r>
              <w:rPr>
                <w:rFonts w:ascii="仿宋_GB2312" w:hAnsi="仿宋_GB2312" w:cs="仿宋_GB2312" w:eastAsia="仿宋_GB2312"/>
              </w:rPr>
              <w:t>根据供应商针对本项⽬的技术思路和应对措施，各部分内容全⾯详细、阐述条理清晰详尽、符合磋商⽂件要求。内容包含①技术思路；②⼯作流程；③管理制度和协调⽅案；④设计⽅案；⑤应对措施。评审标准:上述每项内容⽆缺陷得2分，满分为10分。⽅案内容每存在1处缺陷：扣1分，扣完为⽌；（评审内容中的缺陷是指:内容不完整或缺少关键点、内容描述过于简单、条理不清晰、⾮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3.技术思路和应对措施.docx</w:t>
            </w:r>
          </w:p>
        </w:tc>
      </w:tr>
      <w:tr>
        <w:tc>
          <w:tcPr>
            <w:tcW w:type="dxa" w:w="831"/>
            <w:vMerge/>
          </w:tcPr>
          <w:p/>
        </w:tc>
        <w:tc>
          <w:tcPr>
            <w:tcW w:type="dxa" w:w="1661"/>
          </w:tcPr>
          <w:p>
            <w:pPr>
              <w:pStyle w:val="null3"/>
            </w:pPr>
            <w:r>
              <w:rPr>
                <w:rFonts w:ascii="仿宋_GB2312" w:hAnsi="仿宋_GB2312" w:cs="仿宋_GB2312" w:eastAsia="仿宋_GB2312"/>
              </w:rPr>
              <w:t>成果成交措施</w:t>
            </w:r>
          </w:p>
        </w:tc>
        <w:tc>
          <w:tcPr>
            <w:tcW w:type="dxa" w:w="2492"/>
          </w:tcPr>
          <w:p>
            <w:pPr>
              <w:pStyle w:val="null3"/>
            </w:pPr>
            <w:r>
              <w:rPr>
                <w:rFonts w:ascii="仿宋_GB2312" w:hAnsi="仿宋_GB2312" w:cs="仿宋_GB2312" w:eastAsia="仿宋_GB2312"/>
              </w:rPr>
              <w:t>根据供应商针对本项⽬的成果提交措施，各部分内容全⾯详细、阐述条理清晰详尽、符合磋商⽂件要求。内容包含①提交内容；②规范性；③⼯作流程。评审标准:上述每项内容⽆缺陷得2分，满分为6分。内容每存在1处缺陷扣0.4分，扣完为⽌；（评审内容中的缺陷是指:内容不完整或缺少关键点、内容描述过于简单、条理不清晰、⾮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4.成果提交措施.docx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根据供应商针对本项⽬的保密措施，各部分内容全⾯详细、阐述条理清晰详尽、符合磋商⽂件要求。内容包含①保密⼯作承诺；②保密制度；③保证措施。评审标准:上述每项内容⽆缺陷得2分，满分为6分。内容每存在1处缺陷：扣1分，扣完为⽌；（评审内容中的缺陷是指:内容不完整或缺少关键点、内容描述过于简单、条理不清晰、⾮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5.保密措施.docx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对成果交付以及后期服务相关内容做出承诺，后续服务安排及保障全⾯可⾏，满分3分；内容每存在1处缺陷：扣0.5分，扣完为⽌；（评审内容中的缺陷是指:内容不完整或缺少关键点、内容描述过于简单、条理不清晰、⾮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磋商⽂件要求且最终磋商报价最低的为基准价，其价格分为满分。其他磋商供应商的价格分统⼀按照下列公式计算：最终磋商报价得分=（基准价/最终磋商报价）×价格权值%×100（磋商⼩组认为供应商的最终报价明显低于其他通过符合性审查供应商的报价，有可能影响项⽬质量或者不能诚信履约的，应当在磋商现场提供书⾯说明及相关证明材料。供应商不能证明其报价合理性的，为⽆效磋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详见附件：保证金及信用信息.docx</w:t>
      </w:r>
    </w:p>
    <w:p>
      <w:pPr>
        <w:pStyle w:val="null3"/>
        <w:ind w:firstLine="960"/>
      </w:pPr>
      <w:r>
        <w:rPr>
          <w:rFonts w:ascii="仿宋_GB2312" w:hAnsi="仿宋_GB2312" w:cs="仿宋_GB2312" w:eastAsia="仿宋_GB2312"/>
        </w:rPr>
        <w:t>详见附件：近年类似项目业绩.docx</w:t>
      </w:r>
    </w:p>
    <w:p>
      <w:pPr>
        <w:pStyle w:val="null3"/>
        <w:ind w:firstLine="960"/>
      </w:pPr>
      <w:r>
        <w:rPr>
          <w:rFonts w:ascii="仿宋_GB2312" w:hAnsi="仿宋_GB2312" w:cs="仿宋_GB2312" w:eastAsia="仿宋_GB2312"/>
        </w:rPr>
        <w:t>详见附件：项目负责人简历表.docx</w:t>
      </w:r>
    </w:p>
    <w:p>
      <w:pPr>
        <w:pStyle w:val="null3"/>
        <w:ind w:firstLine="960"/>
      </w:pPr>
      <w:r>
        <w:rPr>
          <w:rFonts w:ascii="仿宋_GB2312" w:hAnsi="仿宋_GB2312" w:cs="仿宋_GB2312" w:eastAsia="仿宋_GB2312"/>
        </w:rPr>
        <w:t>详见附件：拟委任的主要人员汇总表.docx</w:t>
      </w:r>
    </w:p>
    <w:p>
      <w:pPr>
        <w:pStyle w:val="null3"/>
        <w:ind w:firstLine="960"/>
      </w:pPr>
      <w:r>
        <w:rPr>
          <w:rFonts w:ascii="仿宋_GB2312" w:hAnsi="仿宋_GB2312" w:cs="仿宋_GB2312" w:eastAsia="仿宋_GB2312"/>
        </w:rPr>
        <w:t>详见附件：1.质量保障措施.docx</w:t>
      </w:r>
    </w:p>
    <w:p>
      <w:pPr>
        <w:pStyle w:val="null3"/>
        <w:ind w:firstLine="960"/>
      </w:pPr>
      <w:r>
        <w:rPr>
          <w:rFonts w:ascii="仿宋_GB2312" w:hAnsi="仿宋_GB2312" w:cs="仿宋_GB2312" w:eastAsia="仿宋_GB2312"/>
        </w:rPr>
        <w:t>详见附件：2.进度计划及保障措施.docx</w:t>
      </w:r>
    </w:p>
    <w:p>
      <w:pPr>
        <w:pStyle w:val="null3"/>
        <w:ind w:firstLine="960"/>
      </w:pPr>
      <w:r>
        <w:rPr>
          <w:rFonts w:ascii="仿宋_GB2312" w:hAnsi="仿宋_GB2312" w:cs="仿宋_GB2312" w:eastAsia="仿宋_GB2312"/>
        </w:rPr>
        <w:t>详见附件：3.技术思路和应对措施.docx</w:t>
      </w:r>
    </w:p>
    <w:p>
      <w:pPr>
        <w:pStyle w:val="null3"/>
        <w:ind w:firstLine="960"/>
      </w:pPr>
      <w:r>
        <w:rPr>
          <w:rFonts w:ascii="仿宋_GB2312" w:hAnsi="仿宋_GB2312" w:cs="仿宋_GB2312" w:eastAsia="仿宋_GB2312"/>
        </w:rPr>
        <w:t>详见附件：4.成果提交措施.docx</w:t>
      </w:r>
    </w:p>
    <w:p>
      <w:pPr>
        <w:pStyle w:val="null3"/>
        <w:ind w:firstLine="960"/>
      </w:pPr>
      <w:r>
        <w:rPr>
          <w:rFonts w:ascii="仿宋_GB2312" w:hAnsi="仿宋_GB2312" w:cs="仿宋_GB2312" w:eastAsia="仿宋_GB2312"/>
        </w:rPr>
        <w:t>详见附件：5.保密措施.docx</w:t>
      </w:r>
    </w:p>
    <w:p>
      <w:pPr>
        <w:pStyle w:val="null3"/>
        <w:ind w:firstLine="960"/>
      </w:pPr>
      <w:r>
        <w:rPr>
          <w:rFonts w:ascii="仿宋_GB2312" w:hAnsi="仿宋_GB2312" w:cs="仿宋_GB2312" w:eastAsia="仿宋_GB2312"/>
        </w:rPr>
        <w:t>详见附件：6.服务承诺.docx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详见附件：建设工程设计合同.docx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