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版本号：JXRC-26032220260826002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血细胞分离机配套管路B</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JXRC-260322</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血细胞分离机配套管路B</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JXRC-260322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血细胞分离机配套管路B</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西安市中心血站为保证临床对血小板的需要，开展单采血小板工作，需要购买Trima Accel血细胞分离机的配套管路，该产品主要用于现有设备Trima Accel血细胞分离机采集血小板使用。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合法有效赋码的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5、具有履行合同所必需的设备和专业技术能力：具有履行合同所必需的设备和专业技术能力的书面声明。</w:t>
      </w:r>
    </w:p>
    <w:p>
      <w:pPr>
        <w:pStyle w:val="null3"/>
      </w:pPr>
      <w:r>
        <w:rPr>
          <w:rFonts w:ascii="仿宋_GB2312" w:hAnsi="仿宋_GB2312" w:cs="仿宋_GB2312" w:eastAsia="仿宋_GB2312"/>
        </w:rPr>
        <w:t>6、无重大违法记录：近3年内在经营活动中没有重大违法记录的书面声明。</w:t>
      </w:r>
    </w:p>
    <w:p>
      <w:pPr>
        <w:pStyle w:val="null3"/>
      </w:pPr>
      <w:r>
        <w:rPr>
          <w:rFonts w:ascii="仿宋_GB2312" w:hAnsi="仿宋_GB2312" w:cs="仿宋_GB2312" w:eastAsia="仿宋_GB2312"/>
        </w:rPr>
        <w:t>7、信用中国：供应商应在投标截止日前在信用中国网（www.creditchina.gov.cn）未被列入失信被执行人、重大税收违法案件当事人名单和在中国政府采购网（www.ccgp.gov.cn）未被列入政府采购严重违法失信行为记录名单（以代理机构在开标当日投标文件递交截止时间后的相关网站查询结果为准，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明。</w:t>
      </w:r>
    </w:p>
    <w:p>
      <w:pPr>
        <w:pStyle w:val="null3"/>
      </w:pPr>
      <w:r>
        <w:rPr>
          <w:rFonts w:ascii="仿宋_GB2312" w:hAnsi="仿宋_GB2312" w:cs="仿宋_GB2312" w:eastAsia="仿宋_GB2312"/>
        </w:rPr>
        <w:t>9、非联合体声明：本项目不接受联合体投标。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许可证：所投产品属于医疗器械的，生产厂商须提供《医疗器械生产许可证》或《医疗器械生产备案凭证》，代理商须提供《医疗器械经营许可证》或《医疗器械经营备案凭证》，纳入医疗器械注册管理的，提供医疗器械注册证；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曲慧、田颖琦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西安市中心血站为保证临床对血小板的需要，开展单采血小板工作，需要购买Trima Accel血细胞分离机的配套管路，该产品主要用于现有设备Trima Accel血细胞分离机采集血小板使用。</w:t>
      </w:r>
    </w:p>
    <w:tbl>
      <w:tblPr>
        <w:tblW w:w="0" w:type="auto"/>
        <w:tblBorders>
          <w:top w:val="none" w:color="000000" w:sz="4"/>
          <w:left w:val="none" w:color="000000" w:sz="4"/>
          <w:bottom w:val="none" w:color="000000" w:sz="4"/>
          <w:right w:val="none" w:color="000000" w:sz="4"/>
          <w:insideH w:val="none"/>
          <w:insideV w:val="none"/>
        </w:tblBorders>
      </w:tblPr>
      <w:tblGrid>
        <w:gridCol w:w="4782"/>
        <w:gridCol w:w="2014"/>
        <w:gridCol w:w="1510"/>
      </w:tblGrid>
      <w:tr>
        <w:tc>
          <w:tcPr>
            <w:tcW w:type="dxa" w:w="47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物品名称</w:t>
            </w:r>
          </w:p>
        </w:tc>
        <w:tc>
          <w:tcPr>
            <w:tcW w:type="dxa" w:w="20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数量</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单位</w:t>
            </w:r>
          </w:p>
        </w:tc>
      </w:tr>
      <w:tr>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Trima</w:t>
            </w:r>
            <w:r>
              <w:rPr>
                <w:rFonts w:ascii="仿宋_GB2312" w:hAnsi="仿宋_GB2312" w:cs="仿宋_GB2312" w:eastAsia="仿宋_GB2312"/>
                <w:sz w:val="21"/>
              </w:rPr>
              <w:t>血细胞分离机配套管路</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18"/>
              <w:jc w:val="center"/>
            </w:pPr>
            <w:r>
              <w:rPr>
                <w:rFonts w:ascii="仿宋_GB2312" w:hAnsi="仿宋_GB2312" w:cs="仿宋_GB2312" w:eastAsia="仿宋_GB2312"/>
                <w:sz w:val="21"/>
              </w:rPr>
              <w:t>18000</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16,020,000.00</w:t>
      </w:r>
    </w:p>
    <w:p>
      <w:pPr>
        <w:pStyle w:val="null3"/>
      </w:pPr>
      <w:r>
        <w:rPr>
          <w:rFonts w:ascii="仿宋_GB2312" w:hAnsi="仿宋_GB2312" w:cs="仿宋_GB2312" w:eastAsia="仿宋_GB2312"/>
        </w:rPr>
        <w:t>采购包最高限价（元）: 16,020,000.00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血细胞分离机配套管路B</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jc w:val="right"/>
            </w:pPr>
            <w:r>
              <w:rPr>
                <w:rFonts w:ascii="仿宋_GB2312" w:hAnsi="仿宋_GB2312" w:cs="仿宋_GB2312" w:eastAsia="仿宋_GB2312"/>
              </w:rPr>
              <w:t>16,020,000.00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标的名称：血细胞分离机配套管路B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适用于Trima Accel血细胞分离机，采用连续式离心分离方式。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所有产品外挂；血小板无需二次处理，可直接保存≥5天。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单针采集双份血小板且无需盐水预充，可直接采集血液。</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配备17G穿刺针，针头部分有防止职业暴露和误刺伤的保护套；具有独立的全血留样袋和血小板留样袋，并且全血留样袋上有取样器。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集成卡匣，中文版本。</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6.</w:t>
            </w:r>
            <w:r>
              <w:rPr>
                <w:rFonts w:ascii="仿宋_GB2312" w:hAnsi="仿宋_GB2312" w:cs="仿宋_GB2312" w:eastAsia="仿宋_GB2312"/>
                <w:sz w:val="24"/>
              </w:rPr>
              <w:t>分离带式分离器，体外循环血量≤200毫升，体外循环的红细胞量≤100毫升。</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7.</w:t>
            </w:r>
            <w:r>
              <w:rPr>
                <w:rFonts w:ascii="仿宋_GB2312" w:hAnsi="仿宋_GB2312" w:cs="仿宋_GB2312" w:eastAsia="仿宋_GB2312"/>
                <w:sz w:val="24"/>
              </w:rPr>
              <w:t>采集过程中血容量波动范围：55±10ml。</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8.</w:t>
            </w:r>
            <w:r>
              <w:rPr>
                <w:rFonts w:ascii="仿宋_GB2312" w:hAnsi="仿宋_GB2312" w:cs="仿宋_GB2312" w:eastAsia="仿宋_GB2312"/>
                <w:sz w:val="24"/>
              </w:rPr>
              <w:t>具有抗凝、血浆、血小板、采血、回血五个泵，分别控制各部分流速。</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9.</w:t>
            </w:r>
            <w:r>
              <w:rPr>
                <w:rFonts w:ascii="仿宋_GB2312" w:hAnsi="仿宋_GB2312" w:cs="仿宋_GB2312" w:eastAsia="仿宋_GB2312"/>
                <w:sz w:val="24"/>
              </w:rPr>
              <w:t>具有红细胞监测器，确保采集过程中无血小板充红现象发生。</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10.</w:t>
            </w:r>
            <w:r>
              <w:rPr>
                <w:rFonts w:ascii="仿宋_GB2312" w:hAnsi="仿宋_GB2312" w:cs="仿宋_GB2312" w:eastAsia="仿宋_GB2312"/>
                <w:sz w:val="24"/>
              </w:rPr>
              <w:t>具有安全盒装置，包括采后血小板计数、红细胞压积、采集时间和采集最大体积。</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11.</w:t>
            </w:r>
            <w:r>
              <w:rPr>
                <w:rFonts w:ascii="仿宋_GB2312" w:hAnsi="仿宋_GB2312" w:cs="仿宋_GB2312" w:eastAsia="仿宋_GB2312"/>
                <w:sz w:val="24"/>
              </w:rPr>
              <w:t>具有抗凝剂管理系统：每次采集抗凝剂最大灌注率≤1.3ml/min/LTBV，抗凝剂可自动控制及计算，可调比率范围： 1:6-1:13。</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12.</w:t>
            </w:r>
            <w:r>
              <w:rPr>
                <w:rFonts w:ascii="仿宋_GB2312" w:hAnsi="仿宋_GB2312" w:cs="仿宋_GB2312" w:eastAsia="仿宋_GB2312"/>
                <w:sz w:val="24"/>
              </w:rPr>
              <w:t>血小板采集成品中的白细胞含量≤1.0×10</w:t>
            </w:r>
            <w:r>
              <w:rPr>
                <w:rFonts w:ascii="仿宋_GB2312" w:hAnsi="仿宋_GB2312" w:cs="仿宋_GB2312" w:eastAsia="仿宋_GB2312"/>
                <w:sz w:val="24"/>
                <w:vertAlign w:val="superscript"/>
              </w:rPr>
              <w:t>6</w:t>
            </w:r>
            <w:r>
              <w:rPr>
                <w:rFonts w:ascii="仿宋_GB2312" w:hAnsi="仿宋_GB2312" w:cs="仿宋_GB2312" w:eastAsia="仿宋_GB2312"/>
                <w:sz w:val="24"/>
              </w:rPr>
              <w:t>/每个治疗量 , 且为非过滤法去除白细胞，无血小板激化。</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13.</w:t>
            </w:r>
            <w:r>
              <w:rPr>
                <w:rFonts w:ascii="仿宋_GB2312" w:hAnsi="仿宋_GB2312" w:cs="仿宋_GB2312" w:eastAsia="仿宋_GB2312"/>
                <w:sz w:val="24"/>
              </w:rPr>
              <w:t>终产品体积恒定与工作人员预设值完全一致，可根据临床需求采集各种浓度的血小板产品。</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14.</w:t>
            </w:r>
            <w:r>
              <w:rPr>
                <w:rFonts w:ascii="仿宋_GB2312" w:hAnsi="仿宋_GB2312" w:cs="仿宋_GB2312" w:eastAsia="仿宋_GB2312"/>
                <w:sz w:val="24"/>
              </w:rPr>
              <w:t>具有血浆回输功能，回输后管路内残留红细胞量≤12ml。</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rPr>
              <w:t>15.99%</w:t>
            </w:r>
            <w:r>
              <w:rPr>
                <w:rFonts w:ascii="仿宋_GB2312" w:hAnsi="仿宋_GB2312" w:cs="仿宋_GB2312" w:eastAsia="仿宋_GB2312"/>
                <w:sz w:val="24"/>
              </w:rPr>
              <w:t>的血小板产品中红细胞含量≤0.03×10</w:t>
            </w:r>
            <w:r>
              <w:rPr>
                <w:rFonts w:ascii="仿宋_GB2312" w:hAnsi="仿宋_GB2312" w:cs="仿宋_GB2312" w:eastAsia="仿宋_GB2312"/>
                <w:sz w:val="24"/>
                <w:vertAlign w:val="superscript"/>
              </w:rPr>
              <w:t>9</w:t>
            </w:r>
            <w:r>
              <w:rPr>
                <w:rFonts w:ascii="仿宋_GB2312" w:hAnsi="仿宋_GB2312" w:cs="仿宋_GB2312" w:eastAsia="仿宋_GB2312"/>
                <w:sz w:val="24"/>
              </w:rPr>
              <w:t>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自合同签订之日起一年内，按需配送。接到采购人订单之日起7日内交货。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1、技术服务承诺：乙方免费提供必要的技术支持，包括现场指导、集中授课、专项操作等。 2、提供与其耗材相配套的血细胞分离机与采血椅供甲方使用。 3、仪器的保养、维护由厂家提供。 4、售后服务承诺：甲方发现产品有质量或可能影响质量的问题时，乙方接到通知后4小时内到达现场或通过视频对话解决问题。因产品质量问题造成的耗材报废、血液报废和献血者血液的丢失，乙方应给甲方1-3倍的赔偿，赔偿应在发生之日起2个月内完成赔偿。 5、支付约定：具体以合同签订为准。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合法有效赋码的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以代理机构在开标当日投标文件递交截止时间后的相关网站查询结果为准，处罚期限届满的除外，如相关失信记录已失效，供应商需提供相关证明资料）。</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投标方案 分项报价表 技术响应偏离表 《本国产品说明》 中小企业声明函 投标人承诺书 中国境内生产的组件成本核算基本规则 投标函 投标人资格 其他材料 残疾人福利性单位声明函 标的清单 关于符合本国产品标准的声明函 投标人业绩 投标文件封面 企业关联关系说明书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投标人必须满足招标文件的3.4商务要求和3.5其他要求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投标人必须满足招标文件的实质性要求。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投标产品的技术指标满足或高于采购文件要求的，得满分42分。技术指标（共15项，满分42分），每有一项负偏离扣2.8分。 注：所有技术参数投标人在响应文件中必须提供技术支持资料予以证明其技术指标响应性（包括但不限于彩色样本或产品说明书或技术白皮书或检验报告等），并在技术响应偏离表中标注对应页码及位置。</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产品选型方案</w:t>
            </w:r>
          </w:p>
        </w:tc>
        <w:tc>
          <w:tcPr>
            <w:tcW w:type="dxa" w:w="2492"/>
          </w:tcPr>
          <w:p>
            <w:pPr>
              <w:pStyle w:val="null3"/>
            </w:pPr>
            <w:r>
              <w:rPr>
                <w:rFonts w:ascii="仿宋_GB2312" w:hAnsi="仿宋_GB2312" w:cs="仿宋_GB2312" w:eastAsia="仿宋_GB2312"/>
              </w:rPr>
              <w:t>一、评审内容 投标人针对本项目提供具体可行的产品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③确保设备供应渠道正常、检验手续合法有效、无产权纠纷（投标人须提供证明材料，包括但不限于授权函、销售协议、代理协议等）。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保供方案（须细化到接到采购人通知后具体的供货计划表）；②团队人员配置计划及车辆配送安排计划；③具有健全的故障耗材退换、产品测试、验收交付方案。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供应商针对本项目提供质量保证承诺方案。内容包含：①符合国家相关质量标准、具有第三方检测报告，产品性能稳定；②在产品使用、技术保障方面的承诺和保证措施。 二、评审标准 1、完整性：方案须全面，对评审内容中的各项要求有详细描述； 2、针对性：方案能够紧扣本项目实际情况，内容科学合理。 三、赋分依据（满分4分） 上述2项评审内容全部满足评审标准得4分；每有一个评审内容缺项扣2分；每有一项评审内容存在缺陷，扣（0-2）分。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完整的售后服务方案。内容包含：①售后服务保障体系,包括但不限于人员配备、设备（产品）发生故障后的补救措施等方面；②提供售后服务承诺且符合实际需求；③负责为使用单位培训操作维护人员，提供培训及现场服务方案。④应急预案（不限于紧急配送保障方案、产品质量异常应急处置、应急库存保障方案等环节的紧急处理措施）。 二、评审标准 1、完整性：方案须全面，对评审内容中的各项要求有详细描述； 2、可实施性：切合本项目实际情况，实施步骤清晰、合理； 3、针对性：方案能够紧扣项目实际情况，内容科学合理。 三、赋分依据（满分4分） 上述4项评审内容全部满足评审标准得4分；每有一个评审内容缺项扣1分；每有一项评审内容存在缺陷，扣（0-1）分。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提供投标人自2023年7月1日至投标文件递交截止时间前（以合同签订时间为准）所投产品业绩，每提供一份得2分，最多得8分。 注：投标文件中须提供完整有效的合同复印件；复印件加盖投标人电子章，原件备查。</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详见附件：企业关联关系说明书</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