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版本号：SDZC2026-03320260506001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安康市公铁水联运（汉江复航）项目咨询论证及技术审查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SDZC2026-033</w:t>
      </w:r>
      <w:r>
        <w:br/>
      </w:r>
      <w:r>
        <w:br/>
      </w:r>
      <w:r>
        <w:br/>
      </w:r>
    </w:p>
    <w:p>
      <w:pPr>
        <w:pStyle w:val="null3"/>
        <w:jc w:val="center"/>
        <w:outlineLvl w:val="2"/>
      </w:pPr>
      <w:r>
        <w:rPr>
          <w:rFonts w:ascii="仿宋_GB2312" w:hAnsi="仿宋_GB2312" w:cs="仿宋_GB2312" w:eastAsia="仿宋_GB2312"/>
          <w:sz w:val="28"/>
          <w:b/>
        </w:rPr>
        <w:t>陕西省水路交通事业发展中心</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陕西省水路交通事业发展中心</w:t>
      </w:r>
      <w:r>
        <w:rPr>
          <w:rFonts w:ascii="仿宋_GB2312" w:hAnsi="仿宋_GB2312" w:cs="仿宋_GB2312" w:eastAsia="仿宋_GB2312"/>
        </w:rPr>
        <w:t>委托，拟对</w:t>
      </w:r>
      <w:r>
        <w:rPr>
          <w:rFonts w:ascii="仿宋_GB2312" w:hAnsi="仿宋_GB2312" w:cs="仿宋_GB2312" w:eastAsia="仿宋_GB2312"/>
        </w:rPr>
        <w:t>安康市公铁水联运（汉江复航）项目咨询论证及技术审查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安康市公铁水联运（汉江复航）项目咨询论证及技术审查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安康市公铁水联运（汉江复航）项目咨询论证及技术审查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或2025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文件）</w:t>
      </w:r>
    </w:p>
    <w:p>
      <w:pPr>
        <w:pStyle w:val="null3"/>
      </w:pPr>
      <w:r>
        <w:rPr>
          <w:rFonts w:ascii="仿宋_GB2312" w:hAnsi="仿宋_GB2312" w:cs="仿宋_GB2312" w:eastAsia="仿宋_GB2312"/>
        </w:rPr>
        <w:t>5、履行合同承诺：提供具有履行本合同所必需的设备和专业技术能力的说明及承诺（提供书面说明及承诺，加盖供应商公章）；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6、无违法声明：提供参加政府采购活动前三年内在经营活动中没有重大违法记录的书面声明（提供书面声明，加盖供应商公章）；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供应商须在“全国投资项目在线审核监管平台”工程咨询单位名录有登记备案，且平台中登记备案的咨询专业包含水运（含港口河海工程）：供应商须在“全国投资项目在线审核监管平台”工程咨询单位名录有登记备案，且平台中登记备案的咨询专业包含水运（含港口河海工程）；</w:t>
      </w:r>
    </w:p>
    <w:p>
      <w:pPr>
        <w:pStyle w:val="null3"/>
      </w:pPr>
      <w:r>
        <w:rPr>
          <w:rFonts w:ascii="仿宋_GB2312" w:hAnsi="仿宋_GB2312" w:cs="仿宋_GB2312" w:eastAsia="仿宋_GB2312"/>
        </w:rPr>
        <w:t>9、供应商具有有效的由建设行政主管部门颁发的工程设计综合甲级资质或具有水运行业工程设计甲级资质证书：供应商具有有效的由建设行政主管部门颁发的工程设计综合甲级资质或具有水运行业工程设计甲级资质证书；</w:t>
      </w:r>
    </w:p>
    <w:p>
      <w:pPr>
        <w:pStyle w:val="null3"/>
      </w:pPr>
      <w:r>
        <w:rPr>
          <w:rFonts w:ascii="仿宋_GB2312" w:hAnsi="仿宋_GB2312" w:cs="仿宋_GB2312" w:eastAsia="仿宋_GB2312"/>
        </w:rPr>
        <w:t>10、磋商保证金或担保函：磋商保证金交纳凭证或担保函；（磋商保证金交纳凭证为银行凭证及基本账户证明资料，担保函为财政部门认可的政府采购信用担保机构出具）</w:t>
      </w:r>
    </w:p>
    <w:p>
      <w:pPr>
        <w:pStyle w:val="null3"/>
      </w:pPr>
      <w:r>
        <w:rPr>
          <w:rFonts w:ascii="仿宋_GB2312" w:hAnsi="仿宋_GB2312" w:cs="仿宋_GB2312" w:eastAsia="仿宋_GB2312"/>
        </w:rPr>
        <w:t>11、信用查询：不得为“信用中国”网站(http://www.creditchina.gov.cn)列入“重大税收违法失信主体、政府采购严重违法失信行为记录名单”的供应商；不得为“中国执行信息公开网”（http://zxgk.court.gov.cn/shixin/）列入“失信被执行人”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12、控股关系：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陕西省水路交通事业发展中心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西安市莲湖区药王洞18号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029-87320478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西安市经开区凤城八路正尚国际金融广场A座7层703（张家堡十字东南角）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郅龙（08号工位）、姚文霄、魏蕾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 1151 0000 0135 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说明：财政预算执行时限内乙方按要求向甲方提供合同金额5%的履约保函，验收合格后，无异议，乙方提交申请，甲方一次性退还。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在领取成交通知书时，向陕西上德招标有限公司交纳招标代理服务费。服务费收费标准参照原《国家计委关于印发&lt;招标代理服务收费管理暂行办法&gt;的通知》(计价格〔2002〕1980号)规定执行（按中标金额的1.5%收取），招标代理服务费不足陆仟元时按陆仟元收取。汇款账户： 1.开户行名称：陕西上德招标有限公司 2.开户行：西安银行股份有限公司文景路支行 3.帐号：707011510000013522 财务部联系方式：029-86673953、029-86518381、029-89299829、029-89293231 转813 备注：供应商在汇款（成交服务费）时须注明项目编号+项目简称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陕西省水路交通事业发展中心</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陕西省水路交通事业发展中心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陕西省水路交通事业发展中心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水运行业相关技术规范要求，符合竞争性磋商文件、成交供应商的磋商文件、澄清文件和成交通知书的要求等,乙方应严格按照上述及采购人要求实施项目服务，甲方有权对服务质量进行评估，若服务评估结果不合格，乙方应负责无偿予以重制或采取补救措施，以达到质量要求。若返工后还无法通过验收，甲方有权单方解除合同，并追回所付项目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联系人：郅龙（08号工位）、姚文霄、魏蕾</w:t>
      </w:r>
    </w:p>
    <w:p>
      <w:pPr>
        <w:pStyle w:val="null3"/>
      </w:pPr>
      <w:r>
        <w:rPr>
          <w:rFonts w:ascii="仿宋_GB2312" w:hAnsi="仿宋_GB2312" w:cs="仿宋_GB2312" w:eastAsia="仿宋_GB2312"/>
        </w:rPr>
        <w:t>联系电话：029-86673953、86518381、89299829、89293231转808</w:t>
      </w:r>
    </w:p>
    <w:p>
      <w:pPr>
        <w:pStyle w:val="null3"/>
      </w:pPr>
      <w:r>
        <w:rPr>
          <w:rFonts w:ascii="仿宋_GB2312" w:hAnsi="仿宋_GB2312" w:cs="仿宋_GB2312" w:eastAsia="仿宋_GB2312"/>
        </w:rPr>
        <w:t>地址：西安市经开区凤城八路正尚国际金融广场A座7层703（张家堡十字东南角）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安康市公铁水联运（汉江复航）项目咨询论证及技术审查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项目咨询相关服务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标的名称：项目咨询相关服务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承揽年度安康市公铁水联运（汉江复航）项目可行性研究、特许经营方案咨询评估工作，包含工可成果年度专家咨询审查、项目关键工程旬阳和蜀河两个水电枢纽通航建筑物工程专项技术咨询等。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根据服务要求自行配备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根据服务要求自行配备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安康市公铁水联运（汉江复航）项目服务地点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水运行业相关技术规范要求，符合竞争性磋商文件、成交供应商的磋商文件、澄清文件和成交通知书的要求等,乙方应严格按照上述及采购人要求实施项目服务，甲方有权对服务质量进行评估，若服务评估结果不合格，乙方应负责无偿予以重制或采取补救措施，以达到质量要求。若返工后还无法通过验收，甲方有权单方解除合同，并追回所付项目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合同签订后，乙方向甲方开具等额发票，甲方在收到发票后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财政预算执行时限内乙方提供履约保函（合同总金额的5%）及组织完成工可年度成果技术咨询审查，形成咨询审查意见，同时形成项目关键工程旬阳和蜀河两个水电枢纽通航建筑物工程专项技术咨询意见后，乙方向甲方开具等额发票，甲方在收到保函及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1、成交人在领取成交通知书时提供一正两副纸质竞争性磋商响应文件。 装订：纸质竞争性磋商响应文件采用书籍（胶装）方式装订成册，与电子版文件一致的签字、盖章的完整版本，编制书脊（注明项目名称、项目编号）。 2.退还磋商保证金2.1在磋商截止时间前撤回已提交磋商响应文件的供应商的磋商保证金，将在采购代理机构收到供应商书面撤回通知之日起5个工作日内退还；2.2所有未成交供应商的磋商保证金，将在成交通知书发出后5个工作日内退还；2.3成交的供应商的磋商保证金在签订合同后，执合同予以5个工作日内退还。3.如磋商发生下列情况之一时，磋商保证金将不予退还，提供担保函的供应商将由专业担保机构先行偿付采购人损失：3.1供应商提供虚假资质谋取成交的；3.2供应商有围标、串标现象，经查证属实的；3.3供应商在竞争性磋商文件规定的磋商响应有效期内撤回磋商响应文件的；3.4供应商自行放弃成交资格的；3.5成交供应商不在规定的时效内领取《成交通知书》的；3.6成交供应商不按规定支付招标代理服务费的；3.7成交供应商因自身原因未能在规定期限内与采购人签订合同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供应商需在项目电子化交易系统中按要求上传相应证明文件并进行电子签章。此项审查内容与特定资格条件中的第二项“财务状况报告”为同一审查内容。</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供应商需在项目电子化交易系统中按要求填写《投标函》完成承诺并进行电子签章。此项审查内容与特定资格条件中的第十二项“控股关系查询”为同一审查内容。</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或2025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供应商须在“全国投资项目在线审核监管平台”工程咨询单位名录有登记备案，且平台中登记备案的咨询专业包含水运（含港口河海工程）</w:t>
            </w:r>
          </w:p>
        </w:tc>
        <w:tc>
          <w:tcPr>
            <w:tcW w:type="dxa" w:w="3322"/>
          </w:tcPr>
          <w:p>
            <w:pPr>
              <w:pStyle w:val="null3"/>
            </w:pPr>
            <w:r>
              <w:rPr>
                <w:rFonts w:ascii="仿宋_GB2312" w:hAnsi="仿宋_GB2312" w:cs="仿宋_GB2312" w:eastAsia="仿宋_GB2312"/>
              </w:rPr>
              <w:t>供应商须在“全国投资项目在线审核监管平台”工程咨询单位名录有登记备案，且平台中登记备案的咨询专业包含水运（含港口河海工程）；</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供应商具有有效的由建设行政主管部门颁发的工程设计综合甲级资质或具有水运行业工程设计甲级资质证书</w:t>
            </w:r>
          </w:p>
        </w:tc>
        <w:tc>
          <w:tcPr>
            <w:tcW w:type="dxa" w:w="3322"/>
          </w:tcPr>
          <w:p>
            <w:pPr>
              <w:pStyle w:val="null3"/>
            </w:pPr>
            <w:r>
              <w:rPr>
                <w:rFonts w:ascii="仿宋_GB2312" w:hAnsi="仿宋_GB2312" w:cs="仿宋_GB2312" w:eastAsia="仿宋_GB2312"/>
              </w:rPr>
              <w:t>供应商具有有效的由建设行政主管部门颁发的工程设计综合甲级资质或具有水运行业工程设计甲级资质证书；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磋商保证金或担保函</w:t>
            </w:r>
          </w:p>
        </w:tc>
        <w:tc>
          <w:tcPr>
            <w:tcW w:type="dxa" w:w="3322"/>
          </w:tcPr>
          <w:p>
            <w:pPr>
              <w:pStyle w:val="null3"/>
            </w:pPr>
            <w:r>
              <w:rPr>
                <w:rFonts w:ascii="仿宋_GB2312" w:hAnsi="仿宋_GB2312" w:cs="仿宋_GB2312" w:eastAsia="仿宋_GB2312"/>
              </w:rPr>
              <w:t>磋商保证金交纳凭证或担保函；（磋商保证金交纳凭证为银行凭证及基本账户证明资料，担保函为财政部门认可的政府采购信用担保机构出具）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重大税收违法失信主体、政府采购严重违法失信行为记录名单”的供应商；不得为“中国执行信息公开网”（http://zxgk.court.gov.cn/shixin/）列入“失信被执行人”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根据《关于推动解决政府采购异常低价问题的通知》（财库〔2026〕2号）规定，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3.3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除明确允许供应商可以自行编写的外，磋商响应文件按照磋商文件给定的格式编制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项目重点、难点分析.docx 业绩.docx 投入人员配备.docx 后续服务的安排及保证措施.docx 中小企业声明函 授权委托书.docx 承诺书.docx 质量保证措施.docx 响应文件封面 分项报价表.docx 供应商资格要求.docx 残疾人福利性单位声明函 拒绝政府采购领域商业贿赂承诺书.docx 项目实施进度计划.docx 总体服务方案.docx 标的清单 安全保证措施.docx 供应商认为有必要说明的事宜.docx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磋商响应文件按照磋商文件的要求盖章签字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项目重点、难点分析.docx 业绩.docx 投入人员配备.docx 后续服务的安排及保证措施.docx 中小企业声明函 授权委托书.docx 承诺书.docx 质量保证措施.docx 响应文件封面 分项报价表.docx 供应商资格要求.docx 残疾人福利性单位声明函 拒绝政府采购领域商业贿赂承诺书.docx 项目实施进度计划.docx 总体服务方案.docx 标的清单 安全保证措施.docx 供应商认为有必要说明的事宜.docx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磋商报价不得超过采购预算</w:t>
            </w:r>
          </w:p>
        </w:tc>
        <w:tc>
          <w:tcPr>
            <w:tcW w:type="dxa" w:w="3322"/>
          </w:tcPr>
          <w:p>
            <w:pPr>
              <w:pStyle w:val="null3"/>
            </w:pPr>
            <w:r>
              <w:rPr>
                <w:rFonts w:ascii="仿宋_GB2312" w:hAnsi="仿宋_GB2312" w:cs="仿宋_GB2312" w:eastAsia="仿宋_GB2312"/>
              </w:rPr>
              <w:t>磋商报价是否超过采购预算</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磋商有效期符合磋商文件的要求</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对磋商文件商务要求作出明确且实质性响应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对磋商文件服务内容及服务要求作出明确响应，对不得偏离的要求作出实质性响应</w:t>
            </w:r>
          </w:p>
        </w:tc>
        <w:tc>
          <w:tcPr>
            <w:tcW w:type="dxa" w:w="3322"/>
          </w:tcPr>
          <w:p>
            <w:pPr>
              <w:pStyle w:val="null3"/>
            </w:pPr>
            <w:r>
              <w:rPr>
                <w:rFonts w:ascii="仿宋_GB2312" w:hAnsi="仿宋_GB2312" w:cs="仿宋_GB2312" w:eastAsia="仿宋_GB2312"/>
              </w:rPr>
              <w:t>对磋商文件服务内容及服务要求是否作出明确响应，对不得偏离的要求是否作出了实质性响应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是否有法律、法规和磋商文件规定的其他无效响应情形</w:t>
            </w:r>
          </w:p>
        </w:tc>
        <w:tc>
          <w:tcPr>
            <w:tcW w:type="dxa" w:w="1661"/>
          </w:tcPr>
          <w:p>
            <w:pPr>
              <w:pStyle w:val="null3"/>
            </w:pPr>
            <w:r>
              <w:rPr>
                <w:rFonts w:ascii="仿宋_GB2312" w:hAnsi="仿宋_GB2312" w:cs="仿宋_GB2312" w:eastAsia="仿宋_GB2312"/>
              </w:rPr>
              <w:t>项目重点、难点分析.docx 业绩.docx 投入人员配备.docx 后续服务的安排及保证措施.docx 中小企业声明函 授权委托书.docx 承诺书.docx 质量保证措施.docx 响应文件封面 分项报价表.docx 供应商资格要求.docx 残疾人福利性单位声明函 拒绝政府采购领域商业贿赂承诺书.docx 项目实施进度计划.docx 总体服务方案.docx 标的清单 安全保证措施.docx 供应商认为有必要说明的事宜.docx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磋商响应文件含有采购人不能接受的附加条件</w:t>
            </w:r>
          </w:p>
        </w:tc>
        <w:tc>
          <w:tcPr>
            <w:tcW w:type="dxa" w:w="3322"/>
          </w:tcPr>
          <w:p>
            <w:pPr>
              <w:pStyle w:val="null3"/>
            </w:pPr>
            <w:r>
              <w:rPr>
                <w:rFonts w:ascii="仿宋_GB2312" w:hAnsi="仿宋_GB2312" w:cs="仿宋_GB2312" w:eastAsia="仿宋_GB2312"/>
              </w:rPr>
              <w:t>磋商响应文件是否含有采购人不能接受的附加条件</w:t>
            </w:r>
          </w:p>
        </w:tc>
        <w:tc>
          <w:tcPr>
            <w:tcW w:type="dxa" w:w="1661"/>
          </w:tcPr>
          <w:p>
            <w:pPr>
              <w:pStyle w:val="null3"/>
            </w:pPr>
            <w:r>
              <w:rPr>
                <w:rFonts w:ascii="仿宋_GB2312" w:hAnsi="仿宋_GB2312" w:cs="仿宋_GB2312" w:eastAsia="仿宋_GB2312"/>
              </w:rPr>
              <w:t>项目重点、难点分析.docx 业绩.docx 投入人员配备.docx 后续服务的安排及保证措施.docx 中小企业声明函 授权委托书.docx 承诺书.docx 质量保证措施.docx 响应文件封面 分项报价表.docx 供应商资格要求.docx 残疾人福利性单位声明函 拒绝政府采购领域商业贿赂承诺书.docx 项目实施进度计划.docx 总体服务方案.docx 标的清单 安全保证措施.docx 供应商认为有必要说明的事宜.docx 响应函 监狱企业的证明文件 技术、服务、商务及其他要求响应偏离表.docx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提供总体服务方案，方案内容符合本项目要求，详细具体，内容深入全面，专业性强；方案有关论述条理清晰。包括但不限于①对本项目工作内容的理解②总体咨询思路③工程造价控制④服务工作目标⑤目标实施计划⑥风险规避措施⑦工作部署的合理保证措施⑧人员培训措施⑨保证服务工作的规范性措施。 以上内容专门针对本项目且阐述明晰、全面、合理得18分，每缺一项内容扣2分，若上述内容存在瑕疵，每出现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供应商针对本项目提供项目重点、难点分析，内容包括但不限于 ①重点、难点分析②重难点范围的把握③ 关于重难点的应对措施。 以上内容专门针对本项目且阐述明晰、全面、合理得9分，每缺一项内容扣3分，若上述内容存在瑕疵，每出现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项目重点、难点分析.docx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供应商针对本项目提供质量保证措施，内容包括但不限于①项目服务期限内质量控制管理②人员到位情况把控③服务承诺等。 以上内容专门针对本项目且阐述明晰、全面、合理得9分，每缺一项内容扣3分， 若上述内容存在瑕疵，每出现一处 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供应商针对本项目提供实施进度计划，内容包括但不限于①项目服务期间的需求确认②方案制定③服务周期④控制管理⑤协调管理等。 以上内容专门针对本项目且阐述明晰、全面、合理得5分，每缺一项内容扣1分，若上述内容存在瑕疵，每出现一处瑕疵扣0.5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项目实施进度计划.docx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供应商针对本项目提供安全保证措施，内容包括但不限于①应急处置方案②消防预案③安保工作方案等。 以上内容专门针对本项目且阐述明晰、全面、合理得9分，每缺一项内容扣3分， 若上述内容存在瑕疵，每出现一处 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安全保证措施.docx</w:t>
            </w:r>
          </w:p>
        </w:tc>
      </w:tr>
      <w:tr>
        <w:tc>
          <w:tcPr>
            <w:tcW w:type="dxa" w:w="831"/>
            <w:vMerge/>
          </w:tcPr>
          <w:p/>
        </w:tc>
        <w:tc>
          <w:tcPr>
            <w:tcW w:type="dxa" w:w="1661"/>
          </w:tcPr>
          <w:p>
            <w:pPr>
              <w:pStyle w:val="null3"/>
            </w:pPr>
            <w:r>
              <w:rPr>
                <w:rFonts w:ascii="仿宋_GB2312" w:hAnsi="仿宋_GB2312" w:cs="仿宋_GB2312" w:eastAsia="仿宋_GB2312"/>
              </w:rPr>
              <w:t>后续服务的安排及保证措施</w:t>
            </w:r>
          </w:p>
        </w:tc>
        <w:tc>
          <w:tcPr>
            <w:tcW w:type="dxa" w:w="2492"/>
          </w:tcPr>
          <w:p>
            <w:pPr>
              <w:pStyle w:val="null3"/>
            </w:pPr>
            <w:r>
              <w:rPr>
                <w:rFonts w:ascii="仿宋_GB2312" w:hAnsi="仿宋_GB2312" w:cs="仿宋_GB2312" w:eastAsia="仿宋_GB2312"/>
              </w:rPr>
              <w:t>投标人需提供后续服务安排及保证措施，包括但不限于①后续服务的承诺②后续服务的安排③后续服务的保证措施。 以上内容专门针对本项目且阐述明晰、全面、合理得9分，每缺一项内容扣3分， 若上述内容存在瑕疵，每出现一处 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后续服务的安排及保证措施.docx</w:t>
            </w:r>
          </w:p>
        </w:tc>
      </w:tr>
      <w:tr>
        <w:tc>
          <w:tcPr>
            <w:tcW w:type="dxa" w:w="831"/>
            <w:vMerge/>
          </w:tcPr>
          <w:p/>
        </w:tc>
        <w:tc>
          <w:tcPr>
            <w:tcW w:type="dxa" w:w="1661"/>
          </w:tcPr>
          <w:p>
            <w:pPr>
              <w:pStyle w:val="null3"/>
            </w:pPr>
            <w:r>
              <w:rPr>
                <w:rFonts w:ascii="仿宋_GB2312" w:hAnsi="仿宋_GB2312" w:cs="仿宋_GB2312" w:eastAsia="仿宋_GB2312"/>
              </w:rPr>
              <w:t>投入人员配备1</w:t>
            </w:r>
          </w:p>
        </w:tc>
        <w:tc>
          <w:tcPr>
            <w:tcW w:type="dxa" w:w="2492"/>
          </w:tcPr>
          <w:p>
            <w:pPr>
              <w:pStyle w:val="null3"/>
            </w:pPr>
            <w:r>
              <w:rPr>
                <w:rFonts w:ascii="仿宋_GB2312" w:hAnsi="仿宋_GB2312" w:cs="仿宋_GB2312" w:eastAsia="仿宋_GB2312"/>
              </w:rPr>
              <w:t>1.项目负责人（ 5分） （1）项目负责人具有水运工程相关专业高级工程师技术职称或具有注册土木工程师（港口与航道工程）执业资格证书得1分，具有正高级（或研究员级）工程师技术职称得2分；其余不得分。 （2）项目负责人业绩要求：2023年1月1日至今，担任过内河码头工程可行性研究咨询项目负责人得1分，担任过航道工程（不含养护、疏浚、维修）的工程可行性研究咨询项目负责人得1分，担任过船闸工程（不含养护、维修）的工程可行性研究咨询项目负责人得1分。 2.技术负责人（ 5分） （1）技术负责人具有水运工程相关专业高级工程师技术职称或具有注册土木工程师（港口与航道工程）执业资格证书得1分，具有正高级（或研究员级）工程师技术职称的得2分；其余不得分。 （2）技术负责人业绩要求：2023年1月1日至今，担任过内河码头工程可行性研究咨询项目技术负责人或项目负责人得1分，担任过航道工程（不含养护、疏浚、维修）的工程可行性研究咨询项目技术负责人或项目负责人得1分，担任过船闸工程（不含养护、维修）的工程可行性研究咨询项目技术负责人或项目负责人得1分。 注：1、业绩的相关证明材料：①合同协议书复印件；②港口岸线批复文件（或港口岸线交通运输行政许可决定书）或航道工程可行性研究报告批复文件或船闸工程可行性研究报告批复文件的复印件，上述①、②两项缺一不可，否则业绩不予认可。 2、业绩时间认定：以港口岸线批复文件或航道工程可行性研究报告批复文件或船闸工程可行性研究报告批复文件的取得时间为准。工程规模的解释顺序为：港口岸线批复文件或航道工程可行性研究报告批复文件或船闸工程可行性研究报告批复文件、合同协议书。若投标人提供的上述证明材料均无法体现投标人单位名称、人员任职信息等，则投标人还需提供相应阶段设计批复单位或项目发包人出具的证明材料复印件，否则业绩不予认可。 3、合同协议书中设计单位名称与投标人名称必须一致，如发生合法变更或重组或法人名称变更时，应提供相关部门的合法批件或其他相关证明材料来证明其所附业绩的继承性，否则业绩不予认可。 4、若同一业绩同时包含航道、船闸、港口，不重复计算，同一合同仅计算一次。 5、人员业绩与企业业绩可以兼得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投入人员配备.docx</w:t>
            </w:r>
          </w:p>
        </w:tc>
      </w:tr>
      <w:tr>
        <w:tc>
          <w:tcPr>
            <w:tcW w:type="dxa" w:w="831"/>
            <w:vMerge/>
          </w:tcPr>
          <w:p/>
        </w:tc>
        <w:tc>
          <w:tcPr>
            <w:tcW w:type="dxa" w:w="1661"/>
          </w:tcPr>
          <w:p>
            <w:pPr>
              <w:pStyle w:val="null3"/>
            </w:pPr>
            <w:r>
              <w:rPr>
                <w:rFonts w:ascii="仿宋_GB2312" w:hAnsi="仿宋_GB2312" w:cs="仿宋_GB2312" w:eastAsia="仿宋_GB2312"/>
              </w:rPr>
              <w:t>投入人员配备2</w:t>
            </w:r>
          </w:p>
        </w:tc>
        <w:tc>
          <w:tcPr>
            <w:tcW w:type="dxa" w:w="2492"/>
          </w:tcPr>
          <w:p>
            <w:pPr>
              <w:pStyle w:val="null3"/>
            </w:pPr>
            <w:r>
              <w:rPr>
                <w:rFonts w:ascii="仿宋_GB2312" w:hAnsi="仿宋_GB2312" w:cs="仿宋_GB2312" w:eastAsia="仿宋_GB2312"/>
              </w:rPr>
              <w:t>除项目负责人和技术负责人之外，团队其他成员应不少于6人。具备高级工程师技术职称的，每人计0.5分，具备正高级工程师技术职称的，每人计1分，共计6分；荣获全国工程勘察设计大师称号的，每人另加1.5分。满分9分。 须提供人员职称、荣誉证明资料，未提供的不计分。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投入人员配备.docx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（1）投标人2023年1月1日（以港口岸线批复取得时间为准）以来，每完成过1项内河码头工程可行性研究咨询业绩得1分，本项最多得4分。 （2）投标人2023年1月1日（以航道工程可行性研究报告批复取得时间为准）以来，每完成过1项航道工程（不含养护、疏浚、维修）的工程可行性研究咨询业绩得1分，本项最多得4分。 （3）投标人2023年1月1日（以船闸工程可行性研究报告批复取得时间为准）以来，每完成过1项船闸工程（不含养护、维修）的工程可行性研究咨询业绩得1分，本项最多得4分。 注：1、业绩的相关证明材料：①合同协议书复印件；②港口岸线批复文件（或港口岸线交通运输行政许可决定书）或航道工程可行性研究报告批复文件或船闸工程可行性研究报告批复文件的复印件，上述①、②两项缺一不可，否则业绩不予认可。 2、业绩时间认定：以港口岸线批复文件或航道工程可行性研究报告批复文件或船闸工程可行性研究报告批复文件的取得时间为准。工程规模的解释顺序为：港口岸线批复文件或航道工程可行性研究报告批复文件或船闸工程可行性研究报告批复文件、合同协议书。若投标人提供的上述证明材料均无法体现投标人单位名称、人员任职信息等，则投标人还需提供相应阶段设计批复单位或项目发包人出具的证明材料复印件，否则业绩不予认可。 3、合同协议书中设计单位名称与投标人名称必须一致，如发生合法变更或重组或法人名称变更时，应提供相关部门的合法批件或其他相关证明材料来证明其所附业绩的继承性，否则业绩不予认可。 4、若同一业绩同时包含航道、船闸、港口，不重复计算，同一合同仅计算一次。 5、人员业绩与企业业绩可以兼得</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竞争性磋商文件要求且最后报价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详见附件：项目重点、难点分析.docx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详见附件：项目实施进度计划.docx</w:t>
      </w:r>
    </w:p>
    <w:p>
      <w:pPr>
        <w:pStyle w:val="null3"/>
        <w:ind w:firstLine="960"/>
      </w:pPr>
      <w:r>
        <w:rPr>
          <w:rFonts w:ascii="仿宋_GB2312" w:hAnsi="仿宋_GB2312" w:cs="仿宋_GB2312" w:eastAsia="仿宋_GB2312"/>
        </w:rPr>
        <w:t>详见附件：安全保证措施.docx</w:t>
      </w:r>
    </w:p>
    <w:p>
      <w:pPr>
        <w:pStyle w:val="null3"/>
        <w:ind w:firstLine="960"/>
      </w:pPr>
      <w:r>
        <w:rPr>
          <w:rFonts w:ascii="仿宋_GB2312" w:hAnsi="仿宋_GB2312" w:cs="仿宋_GB2312" w:eastAsia="仿宋_GB2312"/>
        </w:rPr>
        <w:t>详见附件：后续服务的安排及保证措施.docx</w:t>
      </w:r>
    </w:p>
    <w:p>
      <w:pPr>
        <w:pStyle w:val="null3"/>
        <w:ind w:firstLine="960"/>
      </w:pPr>
      <w:r>
        <w:rPr>
          <w:rFonts w:ascii="仿宋_GB2312" w:hAnsi="仿宋_GB2312" w:cs="仿宋_GB2312" w:eastAsia="仿宋_GB2312"/>
        </w:rPr>
        <w:t>详见附件：投入人员配备.docx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