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版本号：SXBPRHZ-2026070820260708001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南郑乡村旅游东环线绿化提升项目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SXBPRHZ-20260708</w:t>
      </w:r>
      <w:r>
        <w:br/>
      </w:r>
      <w:r>
        <w:br/>
      </w:r>
      <w:r>
        <w:br/>
      </w:r>
    </w:p>
    <w:p>
      <w:pPr>
        <w:pStyle w:val="null3"/>
        <w:jc w:val="center"/>
        <w:outlineLvl w:val="2"/>
      </w:pPr>
      <w:r>
        <w:rPr>
          <w:rFonts w:ascii="仿宋_GB2312" w:hAnsi="仿宋_GB2312" w:cs="仿宋_GB2312" w:eastAsia="仿宋_GB2312"/>
          <w:sz w:val="28"/>
          <w:b/>
        </w:rPr>
        <w:t>汉中市南郑区林业局</w:t>
      </w:r>
    </w:p>
    <w:p>
      <w:pPr>
        <w:pStyle w:val="null3"/>
        <w:jc w:val="center"/>
        <w:outlineLvl w:val="2"/>
      </w:pPr>
      <w:r>
        <w:rPr>
          <w:rFonts w:ascii="仿宋_GB2312" w:hAnsi="仿宋_GB2312" w:cs="仿宋_GB2312" w:eastAsia="仿宋_GB2312"/>
          <w:sz w:val="28"/>
          <w:b/>
        </w:rPr>
        <w:t>陕西博鹏瑞项目管理有限公司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陕西博鹏瑞项目管理有限公司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汉中市南郑区林业局</w:t>
      </w:r>
      <w:r>
        <w:rPr>
          <w:rFonts w:ascii="仿宋_GB2312" w:hAnsi="仿宋_GB2312" w:cs="仿宋_GB2312" w:eastAsia="仿宋_GB2312"/>
        </w:rPr>
        <w:t>委托，拟对</w:t>
      </w:r>
      <w:r>
        <w:rPr>
          <w:rFonts w:ascii="仿宋_GB2312" w:hAnsi="仿宋_GB2312" w:cs="仿宋_GB2312" w:eastAsia="仿宋_GB2312"/>
        </w:rPr>
        <w:t>南郑乡村旅游东环线绿化提升项目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SXBPRHZ-20260708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南郑乡村旅游东环线绿化提升项目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东环线沿线树木补植。胡家营镇沿红军路至牟家坝镇，环线总长度约 16 公里，道路沿线节点的绿化，包括六个绿化节点，总绿化面积约为 4500 ㎡。</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采购包1（南郑乡村旅游东环线绿化提升项目）：属于专门面向中小企业采购。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响应文件签署人身份证明：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p>
      <w:pPr>
        <w:pStyle w:val="null3"/>
      </w:pPr>
      <w:r>
        <w:rPr>
          <w:rFonts w:ascii="仿宋_GB2312" w:hAnsi="仿宋_GB2312" w:cs="仿宋_GB2312" w:eastAsia="仿宋_GB2312"/>
        </w:rPr>
        <w:t>3、项目经理要求：拟派项目经理须具备园林绿化或林业相关专业中级及以上职称，且无在建工程项目（提供承诺）；</w:t>
      </w:r>
    </w:p>
    <w:p>
      <w:pPr>
        <w:pStyle w:val="null3"/>
      </w:pPr>
      <w:r>
        <w:rPr>
          <w:rFonts w:ascii="仿宋_GB2312" w:hAnsi="仿宋_GB2312" w:cs="仿宋_GB2312" w:eastAsia="仿宋_GB2312"/>
        </w:rPr>
        <w:t>4、供应商资格承诺函：供应商须按照汉财办采管[2024]20号文件通知要求，提供《汉中市政府采购供应商资格承诺函》；</w:t>
      </w:r>
    </w:p>
    <w:p>
      <w:pPr>
        <w:pStyle w:val="null3"/>
      </w:pPr>
      <w:r>
        <w:rPr>
          <w:rFonts w:ascii="仿宋_GB2312" w:hAnsi="仿宋_GB2312" w:cs="仿宋_GB2312" w:eastAsia="仿宋_GB2312"/>
        </w:rPr>
        <w:t>5、非联合体声明：本项目不接受联合体投标，供应商需提供非联合体书面声明。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南郑区汉山街道办事处南环路2号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13992625058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陕西博鹏瑞项目管理有限公司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 汉台区兴汉路南缙颐·久玺台售楼部 2 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0916-8889891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采购包1：1,051,480.62元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开户名称：陕西博鹏瑞项目管理有限公司</w:t>
            </w:r>
          </w:p>
          <w:p>
            <w:pPr>
              <w:pStyle w:val="null3"/>
            </w:pPr>
            <w:r>
              <w:rPr>
                <w:rFonts w:ascii="仿宋_GB2312" w:hAnsi="仿宋_GB2312" w:cs="仿宋_GB2312" w:eastAsia="仿宋_GB2312"/>
              </w:rPr>
              <w:t>开户银行：工商银行汉中人民路支行</w:t>
            </w:r>
          </w:p>
          <w:p>
            <w:pPr>
              <w:pStyle w:val="null3"/>
            </w:pPr>
            <w:r>
              <w:rPr>
                <w:rFonts w:ascii="仿宋_GB2312" w:hAnsi="仿宋_GB2312" w:cs="仿宋_GB2312" w:eastAsia="仿宋_GB2312"/>
              </w:rPr>
              <w:t>银行账号：2606053619200259834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额为基数，参照《招标代理服务收费管理暂⾏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汉中市南郑区林业局</w:t>
      </w:r>
      <w:r>
        <w:rPr>
          <w:rFonts w:ascii="仿宋_GB2312" w:hAnsi="仿宋_GB2312" w:cs="仿宋_GB2312" w:eastAsia="仿宋_GB2312"/>
        </w:rPr>
        <w:t>和</w:t>
      </w:r>
      <w:r>
        <w:rPr>
          <w:rFonts w:ascii="仿宋_GB2312" w:hAnsi="仿宋_GB2312" w:cs="仿宋_GB2312" w:eastAsia="仿宋_GB2312"/>
        </w:rPr>
        <w:t>陕西博鹏瑞项目管理有限公司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陕西博鹏瑞项目管理有限公司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陕西博鹏瑞项目管理有限公司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符合国家行业标准及文件要求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联系电话：18109163581</w:t>
      </w:r>
    </w:p>
    <w:p>
      <w:pPr>
        <w:pStyle w:val="null3"/>
      </w:pPr>
      <w:r>
        <w:rPr>
          <w:rFonts w:ascii="仿宋_GB2312" w:hAnsi="仿宋_GB2312" w:cs="仿宋_GB2312" w:eastAsia="仿宋_GB2312"/>
        </w:rPr>
        <w:t>地址： 汉台区兴汉路南缙颐·久玺台售楼部 2 楼</w:t>
      </w:r>
    </w:p>
    <w:p>
      <w:pPr>
        <w:pStyle w:val="null3"/>
      </w:pPr>
      <w:r>
        <w:rPr>
          <w:rFonts w:ascii="仿宋_GB2312" w:hAnsi="仿宋_GB2312" w:cs="仿宋_GB2312" w:eastAsia="仿宋_GB2312"/>
        </w:rPr>
        <w:t>邮编：723200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东环线沿线树木补植。胡家营镇沿红军路至牟家坝镇，环线总长度约 16 公里，道路沿线节点的绿化，包括六个绿化节点，总绿化面积约为 4500 ㎡。</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1,051,480.62</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南郑乡村旅游东环线绿化提升项目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1,051,480.62</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标的名称：南郑乡村旅游东环线绿化提升项目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一、服务范围：</w:t>
            </w:r>
          </w:p>
          <w:p>
            <w:pPr>
              <w:pStyle w:val="null3"/>
            </w:pPr>
            <w:r>
              <w:rPr>
                <w:rFonts w:ascii="仿宋_GB2312" w:hAnsi="仿宋_GB2312" w:cs="仿宋_GB2312" w:eastAsia="仿宋_GB2312"/>
                <w:sz w:val="24"/>
                <w:color w:val="000000"/>
              </w:rPr>
              <w:t>服务内容包括绿化种植、疏伐、修枝、割灌、补植（含苗木采购）。</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1）东环线沿线树木补植。胡家营镇沿红军路至牟家坝镇，环线总长度约 16 公里。</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2）道路沿线节点的绿化，包括六个绿化节点，总绿化面积约为 4500 ㎡。节点 1－云峰寺道路入口绿化节点，绿化设计范围长度约 116 米。节点 2－叶家坝观景点绿化节点，绿化设计范围长度约 52 米。节点 3－红军路沿线崖壁裸漏治理节点，绿化设计范围长度约 42 米。节点 4－红军路竹林段绿化节点，绿化设计范围长度约 224 米。节点 5－红军路沿线上湾方向崖壁治理绿化节点，绿化设计范围长度约 86 米。节点 6－红军路与冷水河沿岸绿化节点，绿化设计范围长度约 101 米。</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二、绿化技术要求</w:t>
            </w:r>
          </w:p>
          <w:p>
            <w:pPr>
              <w:pStyle w:val="null3"/>
            </w:pPr>
            <w:r>
              <w:rPr>
                <w:rFonts w:ascii="仿宋_GB2312" w:hAnsi="仿宋_GB2312" w:cs="仿宋_GB2312" w:eastAsia="仿宋_GB2312"/>
                <w:sz w:val="24"/>
                <w:color w:val="000000"/>
              </w:rPr>
              <w:t>1.清灌</w:t>
            </w:r>
          </w:p>
          <w:p>
            <w:pPr>
              <w:pStyle w:val="null3"/>
            </w:pPr>
            <w:r>
              <w:rPr>
                <w:rFonts w:ascii="仿宋_GB2312" w:hAnsi="仿宋_GB2312" w:cs="仿宋_GB2312" w:eastAsia="仿宋_GB2312"/>
                <w:sz w:val="24"/>
                <w:color w:val="000000"/>
              </w:rPr>
              <w:t>清灌范围：覆盖道路全线</w:t>
            </w:r>
            <w:r>
              <w:rPr>
                <w:rFonts w:ascii="仿宋_GB2312" w:hAnsi="仿宋_GB2312" w:cs="仿宋_GB2312" w:eastAsia="仿宋_GB2312"/>
                <w:sz w:val="24"/>
                <w:color w:val="000000"/>
              </w:rPr>
              <w:t>16公里补植段，6个绿化节点全部绿化区域，含路肩、边坡、节点空地、围墙周边、崖壁周边等。</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清灌标准：彻底清除杂草、杂灌、枯死植株、建筑垃圾、石块，保留原生健康乡土植被与原有成型乔木；弯道、交叉口、视线通视区全量清灌，无遮挡残留。</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清灌方式：人工为主、机械为辅，禁止深挖破坏边坡与原有植被根系；清灌杂物集中清运至指定地点，严禁就地焚烧、随意堆放。</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验收要求：清灌后地表整洁，无杂灌残留、无垃圾堆积，不影响后续整地与栽植。</w:t>
            </w:r>
          </w:p>
          <w:p>
            <w:pPr>
              <w:pStyle w:val="null3"/>
            </w:pPr>
            <w:r>
              <w:rPr>
                <w:rFonts w:ascii="仿宋_GB2312" w:hAnsi="仿宋_GB2312" w:cs="仿宋_GB2312" w:eastAsia="仿宋_GB2312"/>
                <w:sz w:val="24"/>
                <w:color w:val="000000"/>
              </w:rPr>
              <w:t>2.整理绿化用地</w:t>
            </w:r>
          </w:p>
          <w:p>
            <w:pPr>
              <w:pStyle w:val="null3"/>
            </w:pPr>
            <w:r>
              <w:rPr>
                <w:rFonts w:ascii="仿宋_GB2312" w:hAnsi="仿宋_GB2312" w:cs="仿宋_GB2312" w:eastAsia="仿宋_GB2312"/>
                <w:sz w:val="24"/>
                <w:color w:val="000000"/>
              </w:rPr>
              <w:t>场地平整：对高低不平地块人工</w:t>
            </w:r>
            <w:r>
              <w:rPr>
                <w:rFonts w:ascii="仿宋_GB2312" w:hAnsi="仿宋_GB2312" w:cs="仿宋_GB2312" w:eastAsia="仿宋_GB2312"/>
                <w:sz w:val="24"/>
                <w:color w:val="000000"/>
              </w:rPr>
              <w:t>+机械精细整平，坡度顺接自然，无坑洼积水；边坡按原有坡度修整，不改变道路排水走向。</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杂物清理：全面清除绿化区内石块、玻璃、塑料、渣土等，集中堆放外运。</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边界梳理：明确绿化区与道路、农田、建筑、管线的边界，做好隔离处理，避免侵占道路与破坏设施。</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验收要求：场地平整达标、杂物清零、边界清晰，符合栽植条件。</w:t>
            </w:r>
          </w:p>
          <w:p>
            <w:pPr>
              <w:pStyle w:val="null3"/>
            </w:pPr>
            <w:r>
              <w:rPr>
                <w:rFonts w:ascii="仿宋_GB2312" w:hAnsi="仿宋_GB2312" w:cs="仿宋_GB2312" w:eastAsia="仿宋_GB2312"/>
                <w:sz w:val="24"/>
                <w:color w:val="000000"/>
              </w:rPr>
              <w:t>3.土方回填</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回填土要求：必须使用地表熟土、耕作土，有机质含量</w:t>
            </w:r>
            <w:r>
              <w:rPr>
                <w:rFonts w:ascii="仿宋_GB2312" w:hAnsi="仿宋_GB2312" w:cs="仿宋_GB2312" w:eastAsia="仿宋_GB2312"/>
                <w:sz w:val="24"/>
                <w:color w:val="000000"/>
              </w:rPr>
              <w:t>≥15G/KG，无石块、无盐碱、无污染。</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回填厚度：普通苗木种植区回填</w:t>
            </w:r>
            <w:r>
              <w:rPr>
                <w:rFonts w:ascii="仿宋_GB2312" w:hAnsi="仿宋_GB2312" w:cs="仿宋_GB2312" w:eastAsia="仿宋_GB2312"/>
                <w:sz w:val="24"/>
                <w:color w:val="000000"/>
              </w:rPr>
              <w:t>≥40CM；大规格乔木、边坡区域回填≥50CM；土壤贫瘠、石砾多地段全部换填种植土。</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回填工艺：分层回填、分层夯实，每层厚度</w:t>
            </w:r>
            <w:r>
              <w:rPr>
                <w:rFonts w:ascii="仿宋_GB2312" w:hAnsi="仿宋_GB2312" w:cs="仿宋_GB2312" w:eastAsia="仿宋_GB2312"/>
                <w:sz w:val="24"/>
                <w:color w:val="000000"/>
              </w:rPr>
              <w:t>≤20CM，避免后期沉降导致苗木倒伏、土面塌陷。</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地形塑造：按设计要求微地形整理，排水坡度</w:t>
            </w:r>
            <w:r>
              <w:rPr>
                <w:rFonts w:ascii="仿宋_GB2312" w:hAnsi="仿宋_GB2312" w:cs="仿宋_GB2312" w:eastAsia="仿宋_GB2312"/>
                <w:sz w:val="24"/>
                <w:color w:val="000000"/>
              </w:rPr>
              <w:t>≥2%，坡向道路排水沟，杜绝积水。</w:t>
            </w:r>
          </w:p>
          <w:p>
            <w:pPr>
              <w:pStyle w:val="null3"/>
            </w:pPr>
            <w:r>
              <w:rPr>
                <w:rFonts w:ascii="仿宋_GB2312" w:hAnsi="仿宋_GB2312" w:cs="仿宋_GB2312" w:eastAsia="仿宋_GB2312"/>
                <w:sz w:val="24"/>
                <w:color w:val="000000"/>
              </w:rPr>
              <w:t>4.土质改良</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改良对象：全线绿化用地，重点针对板结、贫瘠、石砾多、酸性</w:t>
            </w:r>
            <w:r>
              <w:rPr>
                <w:rFonts w:ascii="仿宋_GB2312" w:hAnsi="仿宋_GB2312" w:cs="仿宋_GB2312" w:eastAsia="仿宋_GB2312"/>
                <w:sz w:val="24"/>
                <w:color w:val="000000"/>
              </w:rPr>
              <w:t>/碱性超标土壤。</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改良方案：板结土：掺入河沙</w:t>
            </w:r>
            <w:r>
              <w:rPr>
                <w:rFonts w:ascii="仿宋_GB2312" w:hAnsi="仿宋_GB2312" w:cs="仿宋_GB2312" w:eastAsia="仿宋_GB2312"/>
                <w:sz w:val="24"/>
                <w:color w:val="000000"/>
              </w:rPr>
              <w:t>+ 腐殖土，比例 3:1，破除板结、提升透气性。贫瘠土：施加腐熟有机肥（≥2KG/㎡）、缓释肥，提升土壤肥力。石砾土：换填种植土 + 保水剂，提高保水保肥能力。</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改良流程：整地</w:t>
            </w:r>
            <w:r>
              <w:rPr>
                <w:rFonts w:ascii="仿宋_GB2312" w:hAnsi="仿宋_GB2312" w:cs="仿宋_GB2312" w:eastAsia="仿宋_GB2312"/>
                <w:sz w:val="24"/>
                <w:color w:val="000000"/>
              </w:rPr>
              <w:t>→撒施改良物料→均匀翻耕（深度≥30CM）→耙平压实→检测土壤指标。</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验收标准：改良后土壤疏松、无板结、肥力达标，适合苗木生长。</w:t>
            </w:r>
          </w:p>
          <w:p>
            <w:pPr>
              <w:pStyle w:val="null3"/>
            </w:pPr>
            <w:r>
              <w:rPr>
                <w:rFonts w:ascii="仿宋_GB2312" w:hAnsi="仿宋_GB2312" w:cs="仿宋_GB2312" w:eastAsia="仿宋_GB2312"/>
                <w:sz w:val="24"/>
                <w:color w:val="000000"/>
              </w:rPr>
              <w:t>5.整地挖坑</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整地方式：乔木采用穴状整地，灌木采用穴状</w:t>
            </w:r>
            <w:r>
              <w:rPr>
                <w:rFonts w:ascii="仿宋_GB2312" w:hAnsi="仿宋_GB2312" w:cs="仿宋_GB2312" w:eastAsia="仿宋_GB2312"/>
                <w:sz w:val="24"/>
                <w:color w:val="000000"/>
              </w:rPr>
              <w:t>/槽状整地，地被采用全面整地。</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挖坑标准：</w:t>
            </w:r>
            <w:r>
              <w:rPr>
                <w:rFonts w:ascii="仿宋_GB2312" w:hAnsi="仿宋_GB2312" w:cs="仿宋_GB2312" w:eastAsia="仿宋_GB2312"/>
                <w:sz w:val="24"/>
                <w:color w:val="000000"/>
              </w:rPr>
              <w:t>①乔木：土球直径的 1.3~1.5 倍，深度为土球高度 + 10CM；裸根苗坑径为根幅 2 倍，深度≥根系长度。②灌木：坑径≥40CM，深度≥30CM；丛生灌木适当扩大坑径。③石砾、岩石地段：机械整地，彻底清渣，全坑换填种植土。</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坑穴要求：坑壁垂直、坑底平整，挖出的表土与底土分开堆放，回填时优先用表土。</w:t>
            </w:r>
          </w:p>
          <w:p>
            <w:pPr>
              <w:pStyle w:val="null3"/>
            </w:pPr>
            <w:r>
              <w:rPr>
                <w:rFonts w:ascii="仿宋_GB2312" w:hAnsi="仿宋_GB2312" w:cs="仿宋_GB2312" w:eastAsia="仿宋_GB2312"/>
                <w:sz w:val="24"/>
                <w:color w:val="000000"/>
              </w:rPr>
              <w:t>6.起苗</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号苗标准：选用本地乡土壮苗，无病虫害、无机械损伤、主干通直、冠形饱满、根系发达；乔木胸径、高度、冠幅符合设计规格，灌木分枝</w:t>
            </w:r>
            <w:r>
              <w:rPr>
                <w:rFonts w:ascii="仿宋_GB2312" w:hAnsi="仿宋_GB2312" w:cs="仿宋_GB2312" w:eastAsia="仿宋_GB2312"/>
                <w:sz w:val="24"/>
                <w:color w:val="000000"/>
              </w:rPr>
              <w:t>≥3 个。</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起苗时间：阴天或早晚进行，避开高温、大风、严寒天气。</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土球标准：常绿树、落叶大乔木必须带土球，土球直径为苗木地径</w:t>
            </w:r>
            <w:r>
              <w:rPr>
                <w:rFonts w:ascii="仿宋_GB2312" w:hAnsi="仿宋_GB2312" w:cs="仿宋_GB2312" w:eastAsia="仿宋_GB2312"/>
                <w:sz w:val="24"/>
                <w:color w:val="000000"/>
              </w:rPr>
              <w:t>/胸径的 8~10 倍，土球高度为直径的 2/3。土球完整无裂、无散坨，用蒲包+草绳紧密包裹，腰绳、竖绳间距≤10CM。</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裸根苗：保留护心土，根系修剪平滑，当天起苗当天栽植，暴露时间</w:t>
            </w:r>
            <w:r>
              <w:rPr>
                <w:rFonts w:ascii="仿宋_GB2312" w:hAnsi="仿宋_GB2312" w:cs="仿宋_GB2312" w:eastAsia="仿宋_GB2312"/>
                <w:sz w:val="24"/>
                <w:color w:val="000000"/>
              </w:rPr>
              <w:t>≤8 小时。</w:t>
            </w:r>
          </w:p>
          <w:p>
            <w:pPr>
              <w:pStyle w:val="null3"/>
            </w:pPr>
            <w:r>
              <w:rPr>
                <w:rFonts w:ascii="仿宋_GB2312" w:hAnsi="仿宋_GB2312" w:cs="仿宋_GB2312" w:eastAsia="仿宋_GB2312"/>
                <w:sz w:val="24"/>
                <w:color w:val="000000"/>
              </w:rPr>
              <w:t>运、卸苗：</w:t>
            </w:r>
            <w:r>
              <w:rPr>
                <w:rFonts w:ascii="仿宋_GB2312" w:hAnsi="仿宋_GB2312" w:cs="仿宋_GB2312" w:eastAsia="仿宋_GB2312"/>
                <w:sz w:val="24"/>
                <w:color w:val="000000"/>
              </w:rPr>
              <w:t>A.装、运、卸和假植苗木各个环节均应保护好苗木，轻拿轻放，必须保证根系和土球完好。B.长途运输应特别注意保持根部湿润，一般可采取沾泥浆、喷保湿剂用毡布遮盖等方法。C.装土球苗木，应放稳、固定好，不使其在车厢滚动，土球应朝车树冠拢好。D.运输过程中应保护好苗木，要配备押运人员。</w:t>
            </w:r>
          </w:p>
          <w:p>
            <w:pPr>
              <w:pStyle w:val="null3"/>
            </w:pPr>
            <w:r>
              <w:rPr>
                <w:rFonts w:ascii="仿宋_GB2312" w:hAnsi="仿宋_GB2312" w:cs="仿宋_GB2312" w:eastAsia="仿宋_GB2312"/>
                <w:sz w:val="24"/>
                <w:color w:val="000000"/>
              </w:rPr>
              <w:t>E.卸车时按顺序进行，按品种规格码放整齐，及时假植，缩短根部暴露时间。 F.裸根苗木必须当天种植。裸树苗木自起苗开始暴露时间不宜超过8H。当天不能种植的苗木应进行假植。</w:t>
            </w:r>
          </w:p>
          <w:p>
            <w:pPr>
              <w:pStyle w:val="null3"/>
            </w:pPr>
            <w:r>
              <w:rPr>
                <w:rFonts w:ascii="仿宋_GB2312" w:hAnsi="仿宋_GB2312" w:cs="仿宋_GB2312" w:eastAsia="仿宋_GB2312"/>
                <w:sz w:val="24"/>
                <w:color w:val="000000"/>
              </w:rPr>
              <w:t>7.栽植</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栽植流程：验坑</w:t>
            </w:r>
            <w:r>
              <w:rPr>
                <w:rFonts w:ascii="仿宋_GB2312" w:hAnsi="仿宋_GB2312" w:cs="仿宋_GB2312" w:eastAsia="仿宋_GB2312"/>
                <w:sz w:val="24"/>
                <w:color w:val="000000"/>
              </w:rPr>
              <w:t>→放苗→扶正→拆包装物→回填土→分层夯实→做围堰→浇定根水。</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栽植深度：土球顶面与地面平齐或略高</w:t>
            </w:r>
            <w:r>
              <w:rPr>
                <w:rFonts w:ascii="仿宋_GB2312" w:hAnsi="仿宋_GB2312" w:cs="仿宋_GB2312" w:eastAsia="仿宋_GB2312"/>
                <w:sz w:val="24"/>
                <w:color w:val="000000"/>
              </w:rPr>
              <w:t>2~3CM，禁止深栽闷根、浅栽倒伏。</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回填要求：先填表土、再填底土，分层夯实，根土密接，无空洞。</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围堰标准：乔木围堰直径</w:t>
            </w:r>
            <w:r>
              <w:rPr>
                <w:rFonts w:ascii="仿宋_GB2312" w:hAnsi="仿宋_GB2312" w:cs="仿宋_GB2312" w:eastAsia="仿宋_GB2312"/>
                <w:sz w:val="24"/>
                <w:color w:val="000000"/>
              </w:rPr>
              <w:t>≥100CM，高≥15CM；灌木围堰直径≥60CM，高≥10CM，不漏水。</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定根水：栽植后</w:t>
            </w:r>
            <w:r>
              <w:rPr>
                <w:rFonts w:ascii="仿宋_GB2312" w:hAnsi="仿宋_GB2312" w:cs="仿宋_GB2312" w:eastAsia="仿宋_GB2312"/>
                <w:sz w:val="24"/>
                <w:color w:val="000000"/>
              </w:rPr>
              <w:t>24 小时内浇透定根水，分 2 次浇灌，浇足浇透，确保根系与土壤结合。</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扶正支撑：胸径</w:t>
            </w:r>
            <w:r>
              <w:rPr>
                <w:rFonts w:ascii="仿宋_GB2312" w:hAnsi="仿宋_GB2312" w:cs="仿宋_GB2312" w:eastAsia="仿宋_GB2312"/>
                <w:sz w:val="24"/>
                <w:color w:val="000000"/>
              </w:rPr>
              <w:t>≥5CM 乔木必须立支撑，三角支撑/四柱支撑固定，支撑点垫软物，不损伤树皮，支撑牢固、整齐美观。</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修剪：栽植后适度修剪病弱枝、交叉枝、损伤枝，剪口平滑，大剪口涂防腐剂。</w:t>
            </w:r>
          </w:p>
          <w:p>
            <w:pPr>
              <w:pStyle w:val="null3"/>
            </w:pPr>
            <w:r>
              <w:rPr>
                <w:rFonts w:ascii="仿宋_GB2312" w:hAnsi="仿宋_GB2312" w:cs="仿宋_GB2312" w:eastAsia="仿宋_GB2312"/>
                <w:sz w:val="24"/>
                <w:color w:val="000000"/>
              </w:rPr>
              <w:t>8.绿化排水</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排水坡度：种植带横向坡度</w:t>
            </w:r>
            <w:r>
              <w:rPr>
                <w:rFonts w:ascii="仿宋_GB2312" w:hAnsi="仿宋_GB2312" w:cs="仿宋_GB2312" w:eastAsia="仿宋_GB2312"/>
                <w:sz w:val="24"/>
                <w:color w:val="000000"/>
              </w:rPr>
              <w:t>≥2%，纵向顺接道路坡度，雨水汇入道路排水沟。</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排水设施：节点低洼处设渗水管、排水沟，与道路排水系统衔接；边坡设截水沟、排水沟，防止冲刷。</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防积水：树穴底部铺</w:t>
            </w:r>
            <w:r>
              <w:rPr>
                <w:rFonts w:ascii="仿宋_GB2312" w:hAnsi="仿宋_GB2312" w:cs="仿宋_GB2312" w:eastAsia="仿宋_GB2312"/>
                <w:sz w:val="24"/>
                <w:color w:val="000000"/>
              </w:rPr>
              <w:t>10CM 粗砂 / 碎石滤水层，避免烂根。</w:t>
            </w:r>
          </w:p>
          <w:p>
            <w:pPr>
              <w:pStyle w:val="null3"/>
            </w:pPr>
            <w:r>
              <w:rPr>
                <w:rFonts w:ascii="仿宋_GB2312" w:hAnsi="仿宋_GB2312" w:cs="仿宋_GB2312" w:eastAsia="仿宋_GB2312"/>
                <w:sz w:val="24"/>
                <w:color w:val="000000"/>
              </w:rPr>
              <w:t>9.养护阶段病虫害防治</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预防为主：栽植前苗木消毒，土壤杀菌杀虫；定期巡查，早发现早处置。</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防治方案：</w:t>
            </w:r>
            <w:r>
              <w:rPr>
                <w:rFonts w:ascii="仿宋_GB2312" w:hAnsi="仿宋_GB2312" w:cs="仿宋_GB2312" w:eastAsia="仿宋_GB2312"/>
                <w:sz w:val="24"/>
                <w:color w:val="000000"/>
              </w:rPr>
              <w:t>①物理防治：人工摘除虫苞、虫叶，设置诱虫灯、黄板。② 生物防治：选用生物农药、天敌防治，减少化学污染。③化学防治：按规范使用低毒、低残留农药，严格控制浓度与频次，避开高温、雨天。</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重点防治：蚜虫、红蜘蛛、介壳虫、叶斑病、根腐病，建立防治台账。</w:t>
            </w:r>
          </w:p>
          <w:p>
            <w:pPr>
              <w:pStyle w:val="null3"/>
            </w:pPr>
            <w:r>
              <w:rPr>
                <w:rFonts w:ascii="仿宋_GB2312" w:hAnsi="仿宋_GB2312" w:cs="仿宋_GB2312" w:eastAsia="仿宋_GB2312"/>
                <w:sz w:val="24"/>
                <w:color w:val="000000"/>
              </w:rPr>
              <w:t>10.后期管理</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管护责任：落实专职管护人员，签订管护合同，明确责任、考核与奖惩。</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灌溉：</w:t>
            </w:r>
            <w:r>
              <w:rPr>
                <w:rFonts w:ascii="仿宋_GB2312" w:hAnsi="仿宋_GB2312" w:cs="仿宋_GB2312" w:eastAsia="仿宋_GB2312"/>
                <w:sz w:val="24"/>
                <w:color w:val="000000"/>
              </w:rPr>
              <w:t>①栽植后 1 个月：每 3~5 天浇水 1 次，保持土壤湿润。②生长季：干旱每周浇水 1 次，雨季及时排涝。③冬季：浇封冻水，春季浇返青水。</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施肥：栽植</w:t>
            </w:r>
            <w:r>
              <w:rPr>
                <w:rFonts w:ascii="仿宋_GB2312" w:hAnsi="仿宋_GB2312" w:cs="仿宋_GB2312" w:eastAsia="仿宋_GB2312"/>
                <w:sz w:val="24"/>
                <w:color w:val="000000"/>
              </w:rPr>
              <w:t>1 个月后施缓释肥，每年春、秋各施肥 1 次，乔木穴施，灌木撒施，薄肥勤施。</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修剪：乔木保持主干通直、冠形完整；灌木修剪成型，地被定期修剪平整，及时清除枯花、枯叶。</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补植：死亡、缺株苗木</w:t>
            </w:r>
            <w:r>
              <w:rPr>
                <w:rFonts w:ascii="仿宋_GB2312" w:hAnsi="仿宋_GB2312" w:cs="仿宋_GB2312" w:eastAsia="仿宋_GB2312"/>
                <w:sz w:val="24"/>
                <w:color w:val="000000"/>
              </w:rPr>
              <w:t>15天内完成补植，确保品种、规格一致，成活率达标。</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除草：定期人工除草，禁止使用除草剂，不伤苗木根系。</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color w:val="000000"/>
              </w:rPr>
              <w:t>三、施工与养护要求</w:t>
            </w:r>
          </w:p>
          <w:p>
            <w:pPr>
              <w:pStyle w:val="null3"/>
              <w:ind w:firstLine="480"/>
              <w:jc w:val="left"/>
            </w:pPr>
            <w:r>
              <w:rPr>
                <w:rFonts w:ascii="仿宋_GB2312" w:hAnsi="仿宋_GB2312" w:cs="仿宋_GB2312" w:eastAsia="仿宋_GB2312"/>
                <w:sz w:val="24"/>
                <w:color w:val="000000"/>
              </w:rPr>
              <w:t>1.施工要求：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1）交通与现场组织</w:t>
            </w:r>
          </w:p>
          <w:p>
            <w:pPr>
              <w:pStyle w:val="null3"/>
              <w:ind w:firstLine="480"/>
              <w:jc w:val="left"/>
            </w:pPr>
            <w:r>
              <w:rPr>
                <w:rFonts w:ascii="仿宋_GB2312" w:hAnsi="仿宋_GB2312" w:cs="仿宋_GB2312" w:eastAsia="仿宋_GB2312"/>
                <w:sz w:val="24"/>
                <w:color w:val="000000"/>
              </w:rPr>
              <w:t>1)全线施工设置警示标志、导向牌、防撞桶，弯道、交叉口专人指挥交通，不中断旅游环线通行。2)分段施工、分段封闭，完工一段开放一段，减少对群众出行与旅游影响。3)施工材料、苗木、机械有序堆放，不占车道、不污染环境。</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2）季节施工控制</w:t>
            </w:r>
          </w:p>
          <w:p>
            <w:pPr>
              <w:pStyle w:val="null3"/>
              <w:ind w:firstLine="480"/>
              <w:jc w:val="left"/>
            </w:pPr>
            <w:r>
              <w:rPr>
                <w:rFonts w:ascii="仿宋_GB2312" w:hAnsi="仿宋_GB2312" w:cs="仿宋_GB2312" w:eastAsia="仿宋_GB2312"/>
                <w:sz w:val="24"/>
                <w:color w:val="000000"/>
              </w:rPr>
              <w:t>1)春季（最佳栽植期）：3~5 月全面施工，土壤墒情好，成活率最高。2)秋冬季施工：① 选用耐寒乡土壮苗，无冻害、无失水。② 土球加厚防冻包裹，苗木主干缠草绳、裹保温棉，搭建防风障。③ 土壤封冻前、解冻后施工，严禁冻土栽植。④ 栽植后及时浇封冻水，根部培土防寒。</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3）质量标准</w:t>
            </w:r>
          </w:p>
          <w:p>
            <w:pPr>
              <w:pStyle w:val="null3"/>
              <w:ind w:firstLine="480"/>
              <w:jc w:val="left"/>
            </w:pPr>
            <w:r>
              <w:rPr>
                <w:rFonts w:ascii="仿宋_GB2312" w:hAnsi="仿宋_GB2312" w:cs="仿宋_GB2312" w:eastAsia="仿宋_GB2312"/>
                <w:sz w:val="24"/>
                <w:color w:val="000000"/>
              </w:rPr>
              <w:t>1)苗木成活率：普通乔木、灌木≥95%，名贵树种、特色乔木 100%。2)草坪覆盖度：满铺草坪 1 个月≥95%，籽播 / 块植草坪 3 个月≥95%，无 0.1 ㎡以上空秃。3)栽植整齐：乔木横平竖直、株行距均匀，灌木、地被成片种植，无疏密不均。4)设施安全：① 380V 以下电线：树木与电线水平 / 垂直距离≥1.0M。 ② 3300V~10000V 电线：树木与电线水平 / 垂直距离≥3.0M。③ 与地下管线、建筑物距离符合规范，不损坏设施。</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4）苗木与材料管控</w:t>
            </w:r>
          </w:p>
          <w:p>
            <w:pPr>
              <w:pStyle w:val="null3"/>
              <w:ind w:firstLine="480"/>
              <w:jc w:val="left"/>
            </w:pPr>
            <w:r>
              <w:rPr>
                <w:rFonts w:ascii="仿宋_GB2312" w:hAnsi="仿宋_GB2312" w:cs="仿宋_GB2312" w:eastAsia="仿宋_GB2312"/>
                <w:sz w:val="24"/>
                <w:color w:val="000000"/>
              </w:rPr>
              <w:t>1)所有苗木具备检疫证、合格证，严禁使用带病带虫苗、外来入侵品种。 2)种植土、肥料、农药等材料符合环保与质量标准，检测合格后方可使用。</w:t>
            </w:r>
          </w:p>
          <w:p>
            <w:pPr>
              <w:pStyle w:val="null3"/>
              <w:ind w:firstLine="480"/>
              <w:jc w:val="left"/>
            </w:pPr>
            <w:r>
              <w:rPr>
                <w:rFonts w:ascii="仿宋_GB2312" w:hAnsi="仿宋_GB2312" w:cs="仿宋_GB2312" w:eastAsia="仿宋_GB2312"/>
                <w:sz w:val="24"/>
                <w:color w:val="000000"/>
              </w:rPr>
              <w:t>2.养护管理：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1）养护周期</w:t>
            </w:r>
          </w:p>
          <w:p>
            <w:pPr>
              <w:pStyle w:val="null3"/>
              <w:ind w:firstLine="480"/>
              <w:jc w:val="left"/>
            </w:pPr>
            <w:r>
              <w:rPr>
                <w:rFonts w:ascii="仿宋_GB2312" w:hAnsi="仿宋_GB2312" w:cs="仿宋_GB2312" w:eastAsia="仿宋_GB2312"/>
                <w:sz w:val="24"/>
                <w:color w:val="000000"/>
              </w:rPr>
              <w:t>本项目养护期为</w:t>
            </w:r>
            <w:r>
              <w:rPr>
                <w:rFonts w:ascii="仿宋_GB2312" w:hAnsi="仿宋_GB2312" w:cs="仿宋_GB2312" w:eastAsia="仿宋_GB2312"/>
                <w:sz w:val="24"/>
                <w:color w:val="000000"/>
              </w:rPr>
              <w:t>1 年，自竣工验收合格之日起计算。</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2）日常养护</w:t>
            </w:r>
          </w:p>
          <w:p>
            <w:pPr>
              <w:pStyle w:val="null3"/>
              <w:ind w:firstLine="480"/>
              <w:jc w:val="left"/>
            </w:pPr>
            <w:r>
              <w:rPr>
                <w:rFonts w:ascii="仿宋_GB2312" w:hAnsi="仿宋_GB2312" w:cs="仿宋_GB2312" w:eastAsia="仿宋_GB2312"/>
                <w:sz w:val="24"/>
                <w:color w:val="000000"/>
              </w:rPr>
              <w:t>1)灌溉：根据天气、土壤、苗木生长情况精准灌溉，保持土壤湿润不积水。2)施肥：每年不少于 2 次，以有机肥 + 缓释肥为主，提升苗木长势。3)修剪：乔木每年修剪 1~2 次，灌木按造型修剪，地被定期修剪，保持景观效果。4)除草松土：每月除草 1 次，松土保墒，不伤根系。5)防风防寒：秋冬季做好支撑加固、主干包裹、根部培土，防止倒伏、冻害。</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3）巡查与整改</w:t>
            </w:r>
          </w:p>
          <w:p>
            <w:pPr>
              <w:pStyle w:val="null3"/>
              <w:ind w:firstLine="480"/>
              <w:jc w:val="left"/>
            </w:pPr>
            <w:r>
              <w:rPr>
                <w:rFonts w:ascii="仿宋_GB2312" w:hAnsi="仿宋_GB2312" w:cs="仿宋_GB2312" w:eastAsia="仿宋_GB2312"/>
                <w:sz w:val="24"/>
                <w:color w:val="000000"/>
              </w:rPr>
              <w:t>1)每日巡查苗木长势、病虫害、倒伏、缺水、破损情况，做好记录。2)发现问题 24 小时内处置，死亡苗木及时补植，确保景观完整。</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4）验收标准</w:t>
            </w:r>
          </w:p>
          <w:p>
            <w:pPr>
              <w:pStyle w:val="null3"/>
              <w:ind w:firstLine="480"/>
              <w:jc w:val="left"/>
            </w:pPr>
            <w:r>
              <w:rPr>
                <w:rFonts w:ascii="仿宋_GB2312" w:hAnsi="仿宋_GB2312" w:cs="仿宋_GB2312" w:eastAsia="仿宋_GB2312"/>
                <w:sz w:val="24"/>
                <w:color w:val="000000"/>
              </w:rPr>
              <w:t>养护期满，苗木长势健壮、无病虫害、无缺株倒伏，景观效果达标，成活率、保存率</w:t>
            </w:r>
            <w:r>
              <w:rPr>
                <w:rFonts w:ascii="仿宋_GB2312" w:hAnsi="仿宋_GB2312" w:cs="仿宋_GB2312" w:eastAsia="仿宋_GB2312"/>
                <w:sz w:val="24"/>
                <w:color w:val="000000"/>
              </w:rPr>
              <w:t>≥95%，通过林业局竣工验收。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技术要求</w:t>
            </w:r>
          </w:p>
          <w:tbl>
            <w:tblPr>
              <w:tblInd w:type="dxa" w:w="120"/>
              <w:tblBorders>
                <w:top w:val="none" w:color="000000" w:sz="4"/>
                <w:left w:val="none" w:color="000000" w:sz="4"/>
                <w:bottom w:val="none" w:color="000000" w:sz="4"/>
                <w:right w:val="none" w:color="000000" w:sz="4"/>
                <w:insideH w:val="none"/>
                <w:insideV w:val="none"/>
              </w:tblBorders>
            </w:tblPr>
            <w:tblGrid>
              <w:gridCol w:w="157"/>
              <w:gridCol w:w="365"/>
              <w:gridCol w:w="628"/>
              <w:gridCol w:w="171"/>
              <w:gridCol w:w="269"/>
              <w:gridCol w:w="963"/>
            </w:tblGrid>
            <w:tr>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项目特征</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桂花</w:t>
                  </w:r>
                  <w:r>
                    <w:rPr>
                      <w:rFonts w:ascii="仿宋_GB2312" w:hAnsi="仿宋_GB2312" w:cs="仿宋_GB2312" w:eastAsia="仿宋_GB2312"/>
                      <w:sz w:val="21"/>
                      <w:color w:val="000000"/>
                    </w:rPr>
                    <w:t>(丹桂)</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胸径</w:t>
                  </w:r>
                  <w:r>
                    <w:rPr>
                      <w:rFonts w:ascii="仿宋_GB2312" w:hAnsi="仿宋_GB2312" w:cs="仿宋_GB2312" w:eastAsia="仿宋_GB2312"/>
                      <w:sz w:val="21"/>
                      <w:color w:val="000000"/>
                    </w:rPr>
                    <w:t>10cm,高度250-</w:t>
                  </w:r>
                  <w:r>
                    <w:br/>
                  </w:r>
                  <w:r>
                    <w:rPr>
                      <w:rFonts w:ascii="仿宋_GB2312" w:hAnsi="仿宋_GB2312" w:cs="仿宋_GB2312" w:eastAsia="仿宋_GB2312"/>
                      <w:sz w:val="21"/>
                      <w:color w:val="000000"/>
                    </w:rPr>
                    <w:t>300cm,冠幅200-250cm</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604050"/>
                    </w:rPr>
                    <w:t>211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全冠一年生假植苗，长势良好</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402010"/>
                    </w:rPr>
                    <w:t>早</w:t>
                  </w:r>
                  <w:r>
                    <w:rPr>
                      <w:rFonts w:ascii="仿宋_GB2312" w:hAnsi="仿宋_GB2312" w:cs="仿宋_GB2312" w:eastAsia="仿宋_GB2312"/>
                      <w:sz w:val="21"/>
                      <w:color w:val="000000"/>
                    </w:rPr>
                    <w:t>樱</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胸径</w:t>
                  </w:r>
                  <w:r>
                    <w:rPr>
                      <w:rFonts w:ascii="仿宋_GB2312" w:hAnsi="仿宋_GB2312" w:cs="仿宋_GB2312" w:eastAsia="仿宋_GB2312"/>
                      <w:sz w:val="21"/>
                      <w:color w:val="000000"/>
                    </w:rPr>
                    <w:t>10cm,高度300-</w:t>
                  </w:r>
                  <w:r>
                    <w:br/>
                  </w:r>
                  <w:r>
                    <w:rPr>
                      <w:rFonts w:ascii="仿宋_GB2312" w:hAnsi="仿宋_GB2312" w:cs="仿宋_GB2312" w:eastAsia="仿宋_GB2312"/>
                      <w:sz w:val="21"/>
                      <w:color w:val="000000"/>
                    </w:rPr>
                    <w:t>350cm,冠幅250-300cm</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全冠一年生假植苗，长势良好</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红叶</w:t>
                  </w:r>
                  <w:r>
                    <w:rPr>
                      <w:rFonts w:ascii="仿宋_GB2312" w:hAnsi="仿宋_GB2312" w:cs="仿宋_GB2312" w:eastAsia="仿宋_GB2312"/>
                      <w:sz w:val="21"/>
                      <w:color w:val="101040"/>
                    </w:rPr>
                    <w:t>石</w:t>
                  </w:r>
                  <w:r>
                    <w:rPr>
                      <w:rFonts w:ascii="仿宋_GB2312" w:hAnsi="仿宋_GB2312" w:cs="仿宋_GB2312" w:eastAsia="仿宋_GB2312"/>
                      <w:sz w:val="21"/>
                      <w:color w:val="000000"/>
                    </w:rPr>
                    <w:t>楠球</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高度</w:t>
                  </w:r>
                  <w:r>
                    <w:rPr>
                      <w:rFonts w:ascii="仿宋_GB2312" w:hAnsi="仿宋_GB2312" w:cs="仿宋_GB2312" w:eastAsia="仿宋_GB2312"/>
                      <w:sz w:val="21"/>
                      <w:color w:val="000000"/>
                    </w:rPr>
                    <w:t>120-150cm,冠幅</w:t>
                  </w:r>
                  <w:r>
                    <w:br/>
                  </w:r>
                  <w:r>
                    <w:rPr>
                      <w:rFonts w:ascii="仿宋_GB2312" w:hAnsi="仿宋_GB2312" w:cs="仿宋_GB2312" w:eastAsia="仿宋_GB2312"/>
                      <w:sz w:val="21"/>
                      <w:color w:val="000000"/>
                    </w:rPr>
                    <w:t>100-120</w:t>
                  </w:r>
                  <w:r>
                    <w:rPr>
                      <w:rFonts w:ascii="仿宋_GB2312" w:hAnsi="仿宋_GB2312" w:cs="仿宋_GB2312" w:eastAsia="仿宋_GB2312"/>
                      <w:sz w:val="21"/>
                      <w:color w:val="706030"/>
                    </w:rPr>
                    <w:t>cm</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冠幅饱满，不露脚，修剪圆整</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04030"/>
                    </w:rPr>
                    <w:t>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常春藤</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枝长</w:t>
                  </w:r>
                  <w:r>
                    <w:rPr>
                      <w:rFonts w:ascii="仿宋_GB2312" w:hAnsi="仿宋_GB2312" w:cs="仿宋_GB2312" w:eastAsia="仿宋_GB2312"/>
                      <w:sz w:val="21"/>
                      <w:color w:val="000000"/>
                    </w:rPr>
                    <w:t>80cm,5株/m</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102060"/>
                    </w:rPr>
                    <w:t>84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根系发达，枝条粗壮、健康</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地锦</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枝长</w:t>
                  </w:r>
                  <w:r>
                    <w:rPr>
                      <w:rFonts w:ascii="仿宋_GB2312" w:hAnsi="仿宋_GB2312" w:cs="仿宋_GB2312" w:eastAsia="仿宋_GB2312"/>
                      <w:sz w:val="21"/>
                      <w:color w:val="000000"/>
                    </w:rPr>
                    <w:t>80cm,5株/m</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根系发达，枝条粗壮、健康</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木春菊</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高度</w:t>
                  </w:r>
                  <w:r>
                    <w:rPr>
                      <w:rFonts w:ascii="仿宋_GB2312" w:hAnsi="仿宋_GB2312" w:cs="仿宋_GB2312" w:eastAsia="仿宋_GB2312"/>
                      <w:sz w:val="21"/>
                      <w:color w:val="000000"/>
                    </w:rPr>
                    <w:t>30-45cm,冠幅10-</w:t>
                  </w:r>
                  <w:r>
                    <w:br/>
                  </w:r>
                  <w:r>
                    <w:rPr>
                      <w:rFonts w:ascii="仿宋_GB2312" w:hAnsi="仿宋_GB2312" w:cs="仿宋_GB2312" w:eastAsia="仿宋_GB2312"/>
                      <w:sz w:val="21"/>
                      <w:color w:val="000000"/>
                    </w:rPr>
                    <w:t>20cm,密度36株/m²</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405080"/>
                    </w:rPr>
                    <w:t>m²</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103060"/>
                    </w:rPr>
                    <w:t>542.01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自然成型，栽植密不露土</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茶叶苗</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高度</w:t>
                  </w:r>
                  <w:r>
                    <w:rPr>
                      <w:rFonts w:ascii="仿宋_GB2312" w:hAnsi="仿宋_GB2312" w:cs="仿宋_GB2312" w:eastAsia="仿宋_GB2312"/>
                      <w:sz w:val="21"/>
                      <w:color w:val="000000"/>
                    </w:rPr>
                    <w:t>30-40cm,冠幅15-</w:t>
                  </w:r>
                  <w:r>
                    <w:br/>
                  </w:r>
                  <w:r>
                    <w:rPr>
                      <w:rFonts w:ascii="仿宋_GB2312" w:hAnsi="仿宋_GB2312" w:cs="仿宋_GB2312" w:eastAsia="仿宋_GB2312"/>
                      <w:sz w:val="21"/>
                      <w:color w:val="000000"/>
                    </w:rPr>
                    <w:t>20cm,密度36株/m²</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405070"/>
                    </w:rPr>
                    <w:t>m²</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163.72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自然成型，栽植密不露土</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鸢尾</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高度</w:t>
                  </w:r>
                  <w:r>
                    <w:rPr>
                      <w:rFonts w:ascii="仿宋_GB2312" w:hAnsi="仿宋_GB2312" w:cs="仿宋_GB2312" w:eastAsia="仿宋_GB2312"/>
                      <w:sz w:val="21"/>
                      <w:color w:val="000000"/>
                    </w:rPr>
                    <w:t>30-40cm,冠幅20-</w:t>
                  </w:r>
                  <w:r>
                    <w:br/>
                  </w:r>
                  <w:r>
                    <w:rPr>
                      <w:rFonts w:ascii="仿宋_GB2312" w:hAnsi="仿宋_GB2312" w:cs="仿宋_GB2312" w:eastAsia="仿宋_GB2312"/>
                      <w:sz w:val="21"/>
                      <w:color w:val="000000"/>
                    </w:rPr>
                    <w:t>30</w:t>
                  </w:r>
                  <w:r>
                    <w:rPr>
                      <w:rFonts w:ascii="仿宋_GB2312" w:hAnsi="仿宋_GB2312" w:cs="仿宋_GB2312" w:eastAsia="仿宋_GB2312"/>
                      <w:sz w:val="21"/>
                      <w:color w:val="304030"/>
                    </w:rPr>
                    <w:t>cm</w:t>
                  </w:r>
                  <w:r>
                    <w:rPr>
                      <w:rFonts w:ascii="仿宋_GB2312" w:hAnsi="仿宋_GB2312" w:cs="仿宋_GB2312" w:eastAsia="仿宋_GB2312"/>
                      <w:sz w:val="21"/>
                      <w:color w:val="000000"/>
                    </w:rPr>
                    <w:t>,36株/m²</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405070"/>
                    </w:rPr>
                    <w:t>m²</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3679.28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自然成型，栽植密不露土</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马尼拉</w:t>
                  </w:r>
                  <w:r>
                    <w:rPr>
                      <w:rFonts w:ascii="仿宋_GB2312" w:hAnsi="仿宋_GB2312" w:cs="仿宋_GB2312" w:eastAsia="仿宋_GB2312"/>
                      <w:sz w:val="21"/>
                      <w:color w:val="000000"/>
                    </w:rPr>
                    <w:t>+黑麦草撒籽</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w:t>
                  </w:r>
                  <w:r>
                    <w:rPr>
                      <w:rFonts w:ascii="仿宋_GB2312" w:hAnsi="仿宋_GB2312" w:cs="仿宋_GB2312" w:eastAsia="仿宋_GB2312"/>
                      <w:sz w:val="21"/>
                      <w:color w:val="204040"/>
                    </w:rPr>
                    <w:t>铺</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405080"/>
                    </w:rPr>
                    <w:t>m²</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192.97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撒籽</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02060"/>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整理绿化用地</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w:t>
                  </w:r>
                  <w:r>
                    <w:rPr>
                      <w:rFonts w:ascii="仿宋_GB2312" w:hAnsi="仿宋_GB2312" w:cs="仿宋_GB2312" w:eastAsia="仿宋_GB2312"/>
                      <w:sz w:val="21"/>
                      <w:color w:val="000000"/>
                    </w:rPr>
                    <w:t>80%,人工20%</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405080"/>
                    </w:rPr>
                    <w:t>m²</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机械初平，人工精细平整，塑微地形</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101050"/>
                    </w:rPr>
                    <w:t>土</w:t>
                  </w:r>
                  <w:r>
                    <w:rPr>
                      <w:rFonts w:ascii="仿宋_GB2312" w:hAnsi="仿宋_GB2312" w:cs="仿宋_GB2312" w:eastAsia="仿宋_GB2312"/>
                      <w:sz w:val="21"/>
                      <w:color w:val="000000"/>
                    </w:rPr>
                    <w:t>方</w:t>
                  </w:r>
                  <w:r>
                    <w:rPr>
                      <w:rFonts w:ascii="仿宋_GB2312" w:hAnsi="仿宋_GB2312" w:cs="仿宋_GB2312" w:eastAsia="仿宋_GB2312"/>
                      <w:sz w:val="21"/>
                      <w:color w:val="402020"/>
                    </w:rPr>
                    <w:t>回</w:t>
                  </w:r>
                  <w:r>
                    <w:rPr>
                      <w:rFonts w:ascii="仿宋_GB2312" w:hAnsi="仿宋_GB2312" w:cs="仿宋_GB2312" w:eastAsia="仿宋_GB2312"/>
                      <w:sz w:val="21"/>
                      <w:color w:val="000000"/>
                    </w:rPr>
                    <w:t>填</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外购种植</w:t>
                  </w:r>
                  <w:r>
                    <w:rPr>
                      <w:rFonts w:ascii="仿宋_GB2312" w:hAnsi="仿宋_GB2312" w:cs="仿宋_GB2312" w:eastAsia="仿宋_GB2312"/>
                      <w:sz w:val="21"/>
                      <w:color w:val="101060"/>
                    </w:rPr>
                    <w:t>土</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104070"/>
                    </w:rPr>
                    <w:t>257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地表熟土，均厚</w:t>
                  </w:r>
                  <w:r>
                    <w:rPr>
                      <w:rFonts w:ascii="仿宋_GB2312" w:hAnsi="仿宋_GB2312" w:cs="仿宋_GB2312" w:eastAsia="仿宋_GB2312"/>
                      <w:sz w:val="21"/>
                      <w:color w:val="000000"/>
                    </w:rPr>
                    <w:t>10cm</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rPr>
              <w:t>苗木种植点位</w:t>
            </w:r>
          </w:p>
          <w:tbl>
            <w:tblPr>
              <w:tblInd w:type="dxa" w:w="120"/>
              <w:tblBorders>
                <w:top w:val="none" w:color="000000" w:sz="4"/>
                <w:left w:val="none" w:color="000000" w:sz="4"/>
                <w:bottom w:val="none" w:color="000000" w:sz="4"/>
                <w:right w:val="none" w:color="000000" w:sz="4"/>
                <w:insideH w:val="none"/>
                <w:insideV w:val="none"/>
              </w:tblBorders>
            </w:tblPr>
            <w:tblGrid>
              <w:gridCol w:w="172"/>
              <w:gridCol w:w="435"/>
              <w:gridCol w:w="376"/>
              <w:gridCol w:w="308"/>
              <w:gridCol w:w="273"/>
              <w:gridCol w:w="989"/>
            </w:tblGrid>
            <w:tr>
              <w:tc>
                <w:tcPr>
                  <w:tcW w:type="dxa" w:w="255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南郑乡村旅游东环线绿化提升项目沿线补种苗木表</w:t>
                  </w:r>
                </w:p>
              </w:tc>
            </w:tr>
            <w:tr>
              <w:tc>
                <w:tcPr>
                  <w:tcW w:type="dxa" w:w="1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3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点位</w:t>
                  </w:r>
                </w:p>
              </w:tc>
              <w:tc>
                <w:tcPr>
                  <w:tcW w:type="dxa" w:w="3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植物名称</w:t>
                  </w:r>
                </w:p>
              </w:tc>
              <w:tc>
                <w:tcPr>
                  <w:tcW w:type="dxa" w:w="30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工程量</w:t>
                  </w:r>
                </w:p>
              </w:tc>
              <w:tc>
                <w:tcPr>
                  <w:tcW w:type="dxa" w:w="2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计算单位</w:t>
                  </w:r>
                </w:p>
              </w:tc>
              <w:tc>
                <w:tcPr>
                  <w:tcW w:type="dxa" w:w="9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172"/>
                  <w:vMerge/>
                  <w:tcBorders>
                    <w:top w:val="none" w:color="000000" w:sz="4"/>
                    <w:left w:val="single" w:color="000000" w:sz="4"/>
                    <w:bottom w:val="single" w:color="000000" w:sz="4"/>
                    <w:right w:val="single" w:color="000000" w:sz="4"/>
                  </w:tcBorders>
                </w:tcPr>
                <w:p/>
              </w:tc>
              <w:tc>
                <w:tcPr>
                  <w:tcW w:type="dxa" w:w="435"/>
                  <w:vMerge/>
                  <w:tcBorders>
                    <w:top w:val="single" w:color="000000" w:sz="4"/>
                    <w:left w:val="none" w:color="000000" w:sz="4"/>
                    <w:bottom w:val="single" w:color="000000" w:sz="4"/>
                    <w:right w:val="single" w:color="000000" w:sz="4"/>
                  </w:tcBorders>
                </w:tcPr>
                <w:p/>
              </w:tc>
              <w:tc>
                <w:tcPr>
                  <w:tcW w:type="dxa" w:w="376"/>
                  <w:vMerge/>
                  <w:tcBorders>
                    <w:top w:val="single" w:color="000000" w:sz="4"/>
                    <w:left w:val="none" w:color="000000" w:sz="4"/>
                    <w:bottom w:val="single" w:color="000000" w:sz="4"/>
                    <w:right w:val="single" w:color="000000" w:sz="4"/>
                  </w:tcBorders>
                </w:tcPr>
                <w:p/>
              </w:tc>
              <w:tc>
                <w:tcPr>
                  <w:tcW w:type="dxa" w:w="308"/>
                  <w:vMerge/>
                  <w:tcBorders>
                    <w:top w:val="single" w:color="000000" w:sz="4"/>
                    <w:left w:val="none" w:color="000000" w:sz="4"/>
                    <w:bottom w:val="single" w:color="000000" w:sz="4"/>
                    <w:right w:val="single" w:color="000000" w:sz="4"/>
                  </w:tcBorders>
                </w:tcPr>
                <w:p/>
              </w:tc>
              <w:tc>
                <w:tcPr>
                  <w:tcW w:type="dxa" w:w="273"/>
                  <w:vMerge/>
                  <w:tcBorders>
                    <w:top w:val="single" w:color="000000" w:sz="4"/>
                    <w:left w:val="none" w:color="000000" w:sz="4"/>
                    <w:bottom w:val="single" w:color="000000" w:sz="4"/>
                    <w:right w:val="single" w:color="000000" w:sz="4"/>
                  </w:tcBorders>
                </w:tcPr>
                <w:p/>
              </w:tc>
              <w:tc>
                <w:tcPr>
                  <w:tcW w:type="dxa" w:w="989"/>
                  <w:vMerge/>
                  <w:tcBorders>
                    <w:top w:val="single" w:color="000000" w:sz="4"/>
                    <w:left w:val="none" w:color="000000" w:sz="4"/>
                    <w:bottom w:val="single" w:color="000000" w:sz="4"/>
                    <w:right w:val="single" w:color="000000" w:sz="4"/>
                  </w:tcBorders>
                </w:tcPr>
                <w:p/>
              </w:tc>
            </w:tr>
            <w:tr>
              <w:tc>
                <w:tcPr>
                  <w:tcW w:type="dxa" w:w="1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芦家沟桥至胡家</w:t>
                  </w:r>
                  <w:r>
                    <w:br/>
                  </w:r>
                  <w:r>
                    <w:rPr>
                      <w:rFonts w:ascii="仿宋_GB2312" w:hAnsi="仿宋_GB2312" w:cs="仿宋_GB2312" w:eastAsia="仿宋_GB2312"/>
                      <w:sz w:val="21"/>
                      <w:color w:val="000000"/>
                    </w:rPr>
                    <w:t>营镇与牟家坝镇</w:t>
                  </w:r>
                  <w:r>
                    <w:br/>
                  </w:r>
                  <w:r>
                    <w:rPr>
                      <w:rFonts w:ascii="仿宋_GB2312" w:hAnsi="仿宋_GB2312" w:cs="仿宋_GB2312" w:eastAsia="仿宋_GB2312"/>
                      <w:sz w:val="21"/>
                      <w:color w:val="000000"/>
                    </w:rPr>
                    <w:t>边界</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桂花</w:t>
                  </w:r>
                  <w:r>
                    <w:rPr>
                      <w:rFonts w:ascii="仿宋_GB2312" w:hAnsi="仿宋_GB2312" w:cs="仿宋_GB2312" w:eastAsia="仿宋_GB2312"/>
                      <w:sz w:val="21"/>
                      <w:color w:val="000000"/>
                    </w:rPr>
                    <w:t>(丹桂)</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冠幅饱满，不露脚，修剪圆整</w:t>
                  </w:r>
                </w:p>
              </w:tc>
            </w:tr>
            <w:tr>
              <w:tc>
                <w:tcPr>
                  <w:tcW w:type="dxa" w:w="172"/>
                  <w:vMerge/>
                  <w:tcBorders>
                    <w:top w:val="none" w:color="000000" w:sz="4"/>
                    <w:left w:val="single" w:color="000000" w:sz="4"/>
                    <w:bottom w:val="single" w:color="000000" w:sz="4"/>
                    <w:right w:val="single" w:color="000000" w:sz="4"/>
                  </w:tcBorders>
                </w:tcPr>
                <w:p/>
              </w:tc>
              <w:tc>
                <w:tcPr>
                  <w:tcW w:type="dxa" w:w="435"/>
                  <w:vMerge/>
                  <w:tcBorders>
                    <w:top w:val="none" w:color="000000" w:sz="4"/>
                    <w:left w:val="none" w:color="000000" w:sz="4"/>
                    <w:bottom w:val="single" w:color="000000" w:sz="4"/>
                    <w:right w:val="single" w:color="000000" w:sz="4"/>
                  </w:tcBorders>
                </w:tcP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鸢尾</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自然成型，栽植密不露土</w:t>
                  </w:r>
                </w:p>
              </w:tc>
            </w:tr>
            <w:tr>
              <w:tc>
                <w:tcPr>
                  <w:tcW w:type="dxa" w:w="1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胡家营镇与牟家</w:t>
                  </w:r>
                  <w:r>
                    <w:br/>
                  </w:r>
                  <w:r>
                    <w:rPr>
                      <w:rFonts w:ascii="仿宋_GB2312" w:hAnsi="仿宋_GB2312" w:cs="仿宋_GB2312" w:eastAsia="仿宋_GB2312"/>
                      <w:sz w:val="21"/>
                      <w:color w:val="000000"/>
                    </w:rPr>
                    <w:t>坝镇边界至红军</w:t>
                  </w:r>
                  <w:r>
                    <w:br/>
                  </w:r>
                  <w:r>
                    <w:rPr>
                      <w:rFonts w:ascii="仿宋_GB2312" w:hAnsi="仿宋_GB2312" w:cs="仿宋_GB2312" w:eastAsia="仿宋_GB2312"/>
                      <w:sz w:val="21"/>
                      <w:color w:val="000000"/>
                    </w:rPr>
                    <w:t>路与汉通路交叉</w:t>
                  </w:r>
                  <w:r>
                    <w:br/>
                  </w:r>
                  <w:r>
                    <w:rPr>
                      <w:rFonts w:ascii="仿宋_GB2312" w:hAnsi="仿宋_GB2312" w:cs="仿宋_GB2312" w:eastAsia="仿宋_GB2312"/>
                      <w:sz w:val="21"/>
                      <w:color w:val="000000"/>
                    </w:rPr>
                    <w:t>路口路段</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桂花</w:t>
                  </w:r>
                  <w:r>
                    <w:rPr>
                      <w:rFonts w:ascii="仿宋_GB2312" w:hAnsi="仿宋_GB2312" w:cs="仿宋_GB2312" w:eastAsia="仿宋_GB2312"/>
                      <w:sz w:val="21"/>
                      <w:color w:val="000000"/>
                    </w:rPr>
                    <w:t>(丹桂)</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冠幅饱满，不露脚，修剪圆整</w:t>
                  </w:r>
                </w:p>
              </w:tc>
            </w:tr>
            <w:tr>
              <w:tc>
                <w:tcPr>
                  <w:tcW w:type="dxa" w:w="172"/>
                  <w:vMerge/>
                  <w:tcBorders>
                    <w:top w:val="none" w:color="000000" w:sz="4"/>
                    <w:left w:val="single" w:color="000000" w:sz="4"/>
                    <w:bottom w:val="single" w:color="000000" w:sz="4"/>
                    <w:right w:val="single" w:color="000000" w:sz="4"/>
                  </w:tcBorders>
                </w:tcPr>
                <w:p/>
              </w:tc>
              <w:tc>
                <w:tcPr>
                  <w:tcW w:type="dxa" w:w="435"/>
                  <w:vMerge/>
                  <w:tcBorders>
                    <w:top w:val="none" w:color="000000" w:sz="4"/>
                    <w:left w:val="none" w:color="000000" w:sz="4"/>
                    <w:bottom w:val="single" w:color="000000" w:sz="4"/>
                    <w:right w:val="single" w:color="000000" w:sz="4"/>
                  </w:tcBorders>
                </w:tcP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木春菊</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自然成型，栽植密不露土</w:t>
                  </w:r>
                </w:p>
              </w:tc>
            </w:tr>
            <w:tr>
              <w:tc>
                <w:tcPr>
                  <w:tcW w:type="dxa" w:w="172"/>
                  <w:vMerge/>
                  <w:tcBorders>
                    <w:top w:val="none" w:color="000000" w:sz="4"/>
                    <w:left w:val="single" w:color="000000" w:sz="4"/>
                    <w:bottom w:val="single" w:color="000000" w:sz="4"/>
                    <w:right w:val="single" w:color="000000" w:sz="4"/>
                  </w:tcBorders>
                </w:tcPr>
                <w:p/>
              </w:tc>
              <w:tc>
                <w:tcPr>
                  <w:tcW w:type="dxa" w:w="435"/>
                  <w:vMerge/>
                  <w:tcBorders>
                    <w:top w:val="none" w:color="000000" w:sz="4"/>
                    <w:left w:val="none" w:color="000000" w:sz="4"/>
                    <w:bottom w:val="single" w:color="000000" w:sz="4"/>
                    <w:right w:val="single" w:color="000000" w:sz="4"/>
                  </w:tcBorders>
                </w:tcP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鸢尾</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自然成型，栽植密不露土</w:t>
                  </w:r>
                </w:p>
              </w:tc>
            </w:tr>
            <w:tr>
              <w:tc>
                <w:tcPr>
                  <w:tcW w:type="dxa" w:w="1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红军路与汉通路</w:t>
                  </w:r>
                  <w:r>
                    <w:br/>
                  </w:r>
                  <w:r>
                    <w:rPr>
                      <w:rFonts w:ascii="仿宋_GB2312" w:hAnsi="仿宋_GB2312" w:cs="仿宋_GB2312" w:eastAsia="仿宋_GB2312"/>
                      <w:sz w:val="21"/>
                      <w:color w:val="000000"/>
                    </w:rPr>
                    <w:t>交叉路口路段至</w:t>
                  </w:r>
                  <w:r>
                    <w:br/>
                  </w:r>
                  <w:r>
                    <w:rPr>
                      <w:rFonts w:ascii="仿宋_GB2312" w:hAnsi="仿宋_GB2312" w:cs="仿宋_GB2312" w:eastAsia="仿宋_GB2312"/>
                      <w:sz w:val="21"/>
                      <w:color w:val="000000"/>
                    </w:rPr>
                    <w:t>牟家坝镇</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早樱</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58</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全冠一年生假植苗，长势良好</w:t>
                  </w:r>
                </w:p>
              </w:tc>
            </w:tr>
            <w:tr>
              <w:tc>
                <w:tcPr>
                  <w:tcW w:type="dxa" w:w="172"/>
                  <w:vMerge/>
                  <w:tcBorders>
                    <w:top w:val="none" w:color="000000" w:sz="4"/>
                    <w:left w:val="single" w:color="000000" w:sz="4"/>
                    <w:bottom w:val="single" w:color="000000" w:sz="4"/>
                    <w:right w:val="single" w:color="000000" w:sz="4"/>
                  </w:tcBorders>
                </w:tcPr>
                <w:p/>
              </w:tc>
              <w:tc>
                <w:tcPr>
                  <w:tcW w:type="dxa" w:w="435"/>
                  <w:vMerge/>
                  <w:tcBorders>
                    <w:top w:val="none" w:color="000000" w:sz="4"/>
                    <w:left w:val="none" w:color="000000" w:sz="4"/>
                    <w:bottom w:val="single" w:color="000000" w:sz="4"/>
                    <w:right w:val="single" w:color="000000" w:sz="4"/>
                  </w:tcBorders>
                </w:tcP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红叶石楠球</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61</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冠幅饱满，不露脚，修剪圆整</w:t>
                  </w:r>
                </w:p>
              </w:tc>
            </w:tr>
            <w:tr>
              <w:tc>
                <w:tcPr>
                  <w:tcW w:type="dxa" w:w="172"/>
                  <w:vMerge/>
                  <w:tcBorders>
                    <w:top w:val="none" w:color="000000" w:sz="4"/>
                    <w:left w:val="single" w:color="000000" w:sz="4"/>
                    <w:bottom w:val="single" w:color="000000" w:sz="4"/>
                    <w:right w:val="single" w:color="000000" w:sz="4"/>
                  </w:tcBorders>
                </w:tcPr>
                <w:p/>
              </w:tc>
              <w:tc>
                <w:tcPr>
                  <w:tcW w:type="dxa" w:w="435"/>
                  <w:vMerge/>
                  <w:tcBorders>
                    <w:top w:val="none" w:color="000000" w:sz="4"/>
                    <w:left w:val="none" w:color="000000" w:sz="4"/>
                    <w:bottom w:val="single" w:color="000000" w:sz="4"/>
                    <w:right w:val="single" w:color="000000" w:sz="4"/>
                  </w:tcBorders>
                </w:tcP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鸢尾</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1260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自然成型，栽植密不露土</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备注：由于现场苗木情况复杂，此补种清单为估算，实际工程量以最终施工为准</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按采购⼈要求进⾏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符合国家行业标准及文件要求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进度款，按要求完成全部道路绿化工作，符合设计要求，经初步验收合格后，达到付款条件起30个工作日内，支付合同总金额的50.0%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进度款，养护期满，完成最终验收且无任何未解决的质量问题后，达到付款条件起30个工作日内，支付合同总金额的20.0%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拟派项目经理须具备园林绿化或林业相关专业中级及以上职称，且无在建工程项目（提供承诺）；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供应商须按照汉财办采管[2024]20号文件通知要求，提供《汉中市政府采购供应商资格承诺函》；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⽂件有效期符合采购⽂件要求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响应⽂件内容⻬全、⽆遗漏、均按采购⽂件要求签字盖章、无采购人不能接受的附加条件</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供应商应提交的相关资格证明材料.docx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不得提交选择性报价且投标报价未超过最高限价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包括:①立地条件分析；②苗木选型与整地方案；③种苗运输及现场保管措施；④水肥配套实施方案。评审标准:满分 16 分。每有一项缺项扣4 分，每项内容存在1项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包括：①种苗质量保证措施；②施工过程质量保证措施；③苗木成活率保障措施；④后期补植保障措施。评审标准:满分12 分。每有一项缺项扣3分，每项内容存在1项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包括：①项目进度计划；②进度保障措施。评审标准:满分 6 分。每有一项缺项扣3 分，每项内容存在1项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包括：①安全生产管理体系及岗位职责；②施工现场安全防护措施；评审标准:满分 6 分。每有一项缺项扣3 分，每项内容存在1项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养护期</w:t>
            </w:r>
          </w:p>
        </w:tc>
        <w:tc>
          <w:tcPr>
            <w:tcW w:type="dxa" w:w="2492"/>
          </w:tcPr>
          <w:p>
            <w:pPr>
              <w:pStyle w:val="null3"/>
            </w:pPr>
            <w:r>
              <w:rPr>
                <w:rFonts w:ascii="仿宋_GB2312" w:hAnsi="仿宋_GB2312" w:cs="仿宋_GB2312" w:eastAsia="仿宋_GB2312"/>
              </w:rPr>
              <w:t>在满足磋商文件的基础上，每增加1年养护期得2分，最高得4分。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后期管护</w:t>
            </w:r>
          </w:p>
        </w:tc>
        <w:tc>
          <w:tcPr>
            <w:tcW w:type="dxa" w:w="2492"/>
          </w:tcPr>
          <w:p>
            <w:pPr>
              <w:pStyle w:val="null3"/>
            </w:pPr>
            <w:r>
              <w:rPr>
                <w:rFonts w:ascii="仿宋_GB2312" w:hAnsi="仿宋_GB2312" w:cs="仿宋_GB2312" w:eastAsia="仿宋_GB2312"/>
              </w:rPr>
              <w:t>包括:①对落实后期管护责任做出承诺②对后期管护内容、频次做出承诺③管护保障措施。评审标准:每提供一项得3分，不提供的不得分。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包括:①应急保障体系②各类突发情况应对措施③备用资源配置及应急响应流程。评审标准:每提供一项得2分，不提供的不得分。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包括:①提供拟投入设备及时进场承诺；②提供拟投入设备状况良好，满足项目需求的承诺；③应对突发事件具有足够的可调度设备储备确保工作任务正常进行的承诺。评审标准:每提供一项得2分，不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项目组成员需提供园林或林业相关专业初级及以上职称或岗位技能证书。 评审标准:除项目负责人外，项目组每1名符合要求人员得3分，最高9分（提供人员身份证、职称或技能证书）。</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供应商具有2023年7月1日至今（以合同签订时间为准）同类项目业绩。评审标准:响应文件中提供合同复印件加盖公章，每提供一个得3分，最高得6分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满足磋商文件要求且最后报价最低的报价为评标基准价，其价格分为满分。报价得分=（评标基准价／最后报价）×价格权值×100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详见附件：项目拟派人员情况表.docx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