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版本号：RH采字【20260409】号20260518001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微波真空烧结系统及铁电材料综合测试系统</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RH采字【20260409】号</w:t>
      </w:r>
      <w:r>
        <w:br/>
      </w:r>
      <w:r>
        <w:br/>
      </w:r>
      <w:r>
        <w:br/>
      </w:r>
    </w:p>
    <w:p>
      <w:pPr>
        <w:pStyle w:val="null3"/>
        <w:jc w:val="center"/>
        <w:outlineLvl w:val="2"/>
      </w:pPr>
      <w:r>
        <w:rPr>
          <w:rFonts w:ascii="仿宋_GB2312" w:hAnsi="仿宋_GB2312" w:cs="仿宋_GB2312" w:eastAsia="仿宋_GB2312"/>
          <w:sz w:val="28"/>
          <w:b/>
        </w:rPr>
        <w:t>西安理工大学</w:t>
      </w:r>
    </w:p>
    <w:p>
      <w:pPr>
        <w:pStyle w:val="null3"/>
        <w:jc w:val="center"/>
        <w:outlineLvl w:val="2"/>
      </w:pPr>
      <w:r>
        <w:rPr>
          <w:rFonts w:ascii="仿宋_GB2312" w:hAnsi="仿宋_GB2312" w:cs="仿宋_GB2312" w:eastAsia="仿宋_GB2312"/>
          <w:sz w:val="28"/>
          <w:b/>
        </w:rPr>
        <w:t>瑞恒项目管理有限公司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瑞恒项目管理有限公司</w:t>
      </w:r>
      <w:r>
        <w:rPr>
          <w:rFonts w:ascii="仿宋_GB2312" w:hAnsi="仿宋_GB2312" w:cs="仿宋_GB2312" w:eastAsia="仿宋_GB2312"/>
        </w:rPr>
        <w:t>（以下简称“代理机构”）受</w:t>
      </w:r>
      <w:r>
        <w:rPr>
          <w:rFonts w:ascii="仿宋_GB2312" w:hAnsi="仿宋_GB2312" w:cs="仿宋_GB2312" w:eastAsia="仿宋_GB2312"/>
        </w:rPr>
        <w:t>西安理工大学</w:t>
      </w:r>
      <w:r>
        <w:rPr>
          <w:rFonts w:ascii="仿宋_GB2312" w:hAnsi="仿宋_GB2312" w:cs="仿宋_GB2312" w:eastAsia="仿宋_GB2312"/>
        </w:rPr>
        <w:t>委托，拟对</w:t>
      </w:r>
      <w:r>
        <w:rPr>
          <w:rFonts w:ascii="仿宋_GB2312" w:hAnsi="仿宋_GB2312" w:cs="仿宋_GB2312" w:eastAsia="仿宋_GB2312"/>
        </w:rPr>
        <w:t>微波真空烧结系统及铁电材料综合测试系统</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RH采字【20260409】号</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微波真空烧结系统及铁电材料综合测试系统</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采购包1：西安理工大学拟购置“微波真空烧结系统”1套/台，微波真空烧结系统包含真空烧结炉和微波真空烧结炉各1套。预算金额111万元。 采购包2：西安理工大学拟购置“铁电材料综合测试系统”1套/台，预算金额157万元。</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采购包1（微波真空烧结系统）：属于专门面向中小企业采购。</w:t>
      </w:r>
    </w:p>
    <w:p>
      <w:pPr>
        <w:pStyle w:val="null3"/>
      </w:pPr>
      <w:r>
        <w:rPr>
          <w:rFonts w:ascii="仿宋_GB2312" w:hAnsi="仿宋_GB2312" w:cs="仿宋_GB2312" w:eastAsia="仿宋_GB2312"/>
        </w:rPr>
        <w:t>采购包2（铁电材料综合测试系统）：属于专门面向中小企业采购。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1、具有独立承担民事责任的能力：具有独立承担民事责任能力的法人、其他组织或自然人，提供合法有效的统一社会信用代码营业执照（事业单位提供法人证书，自然人提供身份证）。</w:t>
      </w:r>
    </w:p>
    <w:p>
      <w:pPr>
        <w:pStyle w:val="null3"/>
      </w:pPr>
      <w:r>
        <w:rPr>
          <w:rFonts w:ascii="仿宋_GB2312" w:hAnsi="仿宋_GB2312" w:cs="仿宋_GB2312" w:eastAsia="仿宋_GB2312"/>
        </w:rPr>
        <w:t>2、具有良好的商业信誉和健全的财务会计制度：法人提供经审计的2024或2025年度的财务报告（成立时间至投标文件递交截止时间不足一年的可提供成立后任意时段的资产负债表）或投标文件递交截止时间前六个月内银行出具的资信证明；其他组织和自然人提供银行出具的资信证明或财务报表。</w:t>
      </w:r>
    </w:p>
    <w:p>
      <w:pPr>
        <w:pStyle w:val="null3"/>
      </w:pPr>
      <w:r>
        <w:rPr>
          <w:rFonts w:ascii="仿宋_GB2312" w:hAnsi="仿宋_GB2312" w:cs="仿宋_GB2312" w:eastAsia="仿宋_GB2312"/>
        </w:rPr>
        <w:t>3、有依法缴纳税收的良好记录：法人提供投标文件递交截止时间前一年内至少一个月依法缴纳税收的相关凭据（时间以税款所属日期为准，凭据应有税务机关或代收机关的公章或业务专用章）；其他组织和自然人提供缴纳税收的凭据；依法免税的投标人应提供相关文件证明。</w:t>
      </w:r>
    </w:p>
    <w:p>
      <w:pPr>
        <w:pStyle w:val="null3"/>
      </w:pPr>
      <w:r>
        <w:rPr>
          <w:rFonts w:ascii="仿宋_GB2312" w:hAnsi="仿宋_GB2312" w:cs="仿宋_GB2312" w:eastAsia="仿宋_GB2312"/>
        </w:rPr>
        <w:t>4、有依法缴纳社会保障资金的良好记录：提供投标文件递交截止时间前一年内至少一个月已缴纳的社会保障资金的凭据（社会保障资金缴存单据或社保机构开具的社会保险参保缴费情况证明）；依法不需要缴纳社会保障资金的投标人应提供相关文件证明。</w:t>
      </w:r>
    </w:p>
    <w:p>
      <w:pPr>
        <w:pStyle w:val="null3"/>
      </w:pPr>
      <w:r>
        <w:rPr>
          <w:rFonts w:ascii="仿宋_GB2312" w:hAnsi="仿宋_GB2312" w:cs="仿宋_GB2312" w:eastAsia="仿宋_GB2312"/>
        </w:rPr>
        <w:t>5、具有履行合同所必需的设备和专业技术能力：提供具有履行合同所必需的设备和专业技术能力的承诺。</w:t>
      </w:r>
    </w:p>
    <w:p>
      <w:pPr>
        <w:pStyle w:val="null3"/>
      </w:pPr>
      <w:r>
        <w:rPr>
          <w:rFonts w:ascii="仿宋_GB2312" w:hAnsi="仿宋_GB2312" w:cs="仿宋_GB2312" w:eastAsia="仿宋_GB2312"/>
        </w:rPr>
        <w:t>6、参加政府采购活动前三年内，在经营活动中没有重大违法记录：提供参加政府采购活动前三年内，在经营活动中没有重大违法记录的书面声明。</w:t>
      </w:r>
    </w:p>
    <w:p>
      <w:pPr>
        <w:pStyle w:val="null3"/>
      </w:pPr>
      <w:r>
        <w:rPr>
          <w:rFonts w:ascii="仿宋_GB2312" w:hAnsi="仿宋_GB2312" w:cs="仿宋_GB2312" w:eastAsia="仿宋_GB2312"/>
        </w:rPr>
        <w:t>7、法定代表人授权书、法定代表人身份证明合格：提供合格的法定代表人授权书（附法定代表人、被授权人身份证复印件）或法定代表人身份证明（法定代表人直接参加投标的）。</w:t>
      </w:r>
    </w:p>
    <w:p>
      <w:pPr>
        <w:pStyle w:val="null3"/>
      </w:pPr>
      <w:r>
        <w:rPr>
          <w:rFonts w:ascii="仿宋_GB2312" w:hAnsi="仿宋_GB2312" w:cs="仿宋_GB2312" w:eastAsia="仿宋_GB2312"/>
        </w:rPr>
        <w:t>8、信用承诺：提供未被“信用中国”网站（www.creditchina.gov.cn）列入重大税收违法失信主体名单，未被“中国执行信息公开网”网站（zxgk.court.gov.cn）列入失信被执行人，未被“中国政府采购网”网站（www.ccgp.gov.cn）列入政府采购严重违法失信行为记录名单的承诺。</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1、具有独立承担民事责任的能力：具有独立承担民事责任能力的法人、其他组织或自然人，提供合法有效的统一社会信用代码营业执照（事业单位提供法人证书，自然人提供身份证）。</w:t>
      </w:r>
    </w:p>
    <w:p>
      <w:pPr>
        <w:pStyle w:val="null3"/>
      </w:pPr>
      <w:r>
        <w:rPr>
          <w:rFonts w:ascii="仿宋_GB2312" w:hAnsi="仿宋_GB2312" w:cs="仿宋_GB2312" w:eastAsia="仿宋_GB2312"/>
        </w:rPr>
        <w:t>2、具有良好的商业信誉和健全的财务会计制度：法人提供经审计的2024或2025年度的财务报告（成立时间至投标文件递交截止时间不足一年的可提供成立后任意时段的资产负债表）或投标文件递交截止时间前六个月内银行出具的资信证明；其他组织和自然人提供银行出具的资信证明或财务报表。</w:t>
      </w:r>
    </w:p>
    <w:p>
      <w:pPr>
        <w:pStyle w:val="null3"/>
      </w:pPr>
      <w:r>
        <w:rPr>
          <w:rFonts w:ascii="仿宋_GB2312" w:hAnsi="仿宋_GB2312" w:cs="仿宋_GB2312" w:eastAsia="仿宋_GB2312"/>
        </w:rPr>
        <w:t>3、有依法缴纳税收的良好记录：法人提供投标文件递交截止时间前一年内至少一个月依法缴纳税收的相关凭据（时间以税款所属日期为准，凭据应有税务机关或代收机关的公章或业务专用章）；其他组织和自然人提供缴纳税收的凭据；依法免税的投标人应提供相关文件证明。</w:t>
      </w:r>
    </w:p>
    <w:p>
      <w:pPr>
        <w:pStyle w:val="null3"/>
      </w:pPr>
      <w:r>
        <w:rPr>
          <w:rFonts w:ascii="仿宋_GB2312" w:hAnsi="仿宋_GB2312" w:cs="仿宋_GB2312" w:eastAsia="仿宋_GB2312"/>
        </w:rPr>
        <w:t>4、有依法缴纳社会保障资金的良好记录：提供投标文件递交截止时间前一年内至少一个月已缴纳的社会保障资金的凭据（社会保障资金缴存单据或社保机构开具的社会保险参保缴费情况证明）；依法不需要缴纳社会保障资金的投标人应提供相关文件证明。</w:t>
      </w:r>
    </w:p>
    <w:p>
      <w:pPr>
        <w:pStyle w:val="null3"/>
      </w:pPr>
      <w:r>
        <w:rPr>
          <w:rFonts w:ascii="仿宋_GB2312" w:hAnsi="仿宋_GB2312" w:cs="仿宋_GB2312" w:eastAsia="仿宋_GB2312"/>
        </w:rPr>
        <w:t>5、具有履行合同所必需的设备和专业技术能力：提供具有履行合同所必需的设备和专业技术能力的承诺。</w:t>
      </w:r>
    </w:p>
    <w:p>
      <w:pPr>
        <w:pStyle w:val="null3"/>
      </w:pPr>
      <w:r>
        <w:rPr>
          <w:rFonts w:ascii="仿宋_GB2312" w:hAnsi="仿宋_GB2312" w:cs="仿宋_GB2312" w:eastAsia="仿宋_GB2312"/>
        </w:rPr>
        <w:t>6、参加政府采购活动前三年内，在经营活动中没有重大违法记录：提供参加政府采购活动前三年内，在经营活动中没有重大违法记录的书面声明。</w:t>
      </w:r>
    </w:p>
    <w:p>
      <w:pPr>
        <w:pStyle w:val="null3"/>
      </w:pPr>
      <w:r>
        <w:rPr>
          <w:rFonts w:ascii="仿宋_GB2312" w:hAnsi="仿宋_GB2312" w:cs="仿宋_GB2312" w:eastAsia="仿宋_GB2312"/>
        </w:rPr>
        <w:t>7、法定代表人授权书、法定代表人身份证明合格：提供合格的法定代表人授权书（附法定代表人、被授权人身份证复印件）或法定代表人身份证明（法定代表人直接参加投标的）。</w:t>
      </w:r>
    </w:p>
    <w:p>
      <w:pPr>
        <w:pStyle w:val="null3"/>
      </w:pPr>
      <w:r>
        <w:rPr>
          <w:rFonts w:ascii="仿宋_GB2312" w:hAnsi="仿宋_GB2312" w:cs="仿宋_GB2312" w:eastAsia="仿宋_GB2312"/>
        </w:rPr>
        <w:t>8、信用承诺：提供未被“信用中国”网站（www.creditchina.gov.cn）列入重大税收违法失信主体名单，未被“中国执行信息公开网”网站（zxgk.court.gov.cn）列入失信被执行人，未被“中国政府采购网”网站（www.ccgp.gov.cn）列入政府采购严重违法失信行为记录名单的承诺。</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西安理工大学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西安市金花南路5号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710048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李行</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82312850</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瑞恒项目管理有限公司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陕西省西安市曲江新区雁翔路3269号旺座曲江D座30层3001号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石雨鑫、张丰利、刘菲、王倩倩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15091632950</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采购包1：1,110,000.00元</w:t>
            </w:r>
          </w:p>
          <w:p>
            <w:pPr>
              <w:pStyle w:val="null3"/>
            </w:pPr>
            <w:r>
              <w:rPr>
                <w:rFonts w:ascii="仿宋_GB2312" w:hAnsi="仿宋_GB2312" w:cs="仿宋_GB2312" w:eastAsia="仿宋_GB2312"/>
              </w:rPr>
              <w:t>采购包2：1,570,000.00元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采购包2保证金金额：12,000.00元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开户名称：瑞恒项目管理有限公司</w:t>
            </w:r>
          </w:p>
          <w:p>
            <w:pPr>
              <w:pStyle w:val="null3"/>
            </w:pPr>
            <w:r>
              <w:rPr>
                <w:rFonts w:ascii="仿宋_GB2312" w:hAnsi="仿宋_GB2312" w:cs="仿宋_GB2312" w:eastAsia="仿宋_GB2312"/>
              </w:rPr>
              <w:t>开户银行：工行西安城南科技支行(注明“项目编号（采购包）+保证金”)</w:t>
            </w:r>
          </w:p>
          <w:p>
            <w:pPr>
              <w:pStyle w:val="null3"/>
            </w:pPr>
            <w:r>
              <w:rPr>
                <w:rFonts w:ascii="仿宋_GB2312" w:hAnsi="仿宋_GB2312" w:cs="仿宋_GB2312" w:eastAsia="仿宋_GB2312"/>
              </w:rPr>
              <w:t>银行账号：3700024819200044620</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说明：合同签订后5个工作日内，供应商向采购人缴纳履约保证金，履约保证金金额为合同金额的5%。 缴纳方式：银行转账、支票/汇票/本票、保函/保险； 退还方式：合同标的物经采购人验收合格后5个工作日内，采购人将上述保证金无息全额退还供应商。若供应商存在违约、给采购人造成损失或应承担违约金/赔偿金，采购人有权直接从履约保证金中抵扣对应金额，且供应商应在采购人通知后的合同约定时间内补足履约保证金；履约保证金不足以覆盖的部分，供应商仍应在采购人通知后的合同约定时间内补足差额。</w:t>
            </w:r>
          </w:p>
          <w:p>
            <w:pPr>
              <w:pStyle w:val="null3"/>
            </w:pPr>
            <w:r>
              <w:rPr>
                <w:rFonts w:ascii="仿宋_GB2312" w:hAnsi="仿宋_GB2312" w:cs="仿宋_GB2312" w:eastAsia="仿宋_GB2312"/>
              </w:rPr>
              <w:t>采购包2：缴纳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说明：合同签订后5个工作日内，供应商向采购人缴纳履约保证金，履约保证金金额为合同金额的5%。 缴纳方式：银行转账、支票/汇票/本票、保函/保险； 退还方式：合同标的物经采购人验收合格后5个工作日内，采购人将上述保证金无息全额退还供应商。若供应商存在违约、给采购人造成损失或应承担违约金/赔偿金，采购人有权直接从履约保证金中抵扣对应金额，且供应商应在采购人通知后的合同约定时间内补足履约保证金；履约保证金不足以覆盖的部分，供应商仍应在采购人通知后的合同约定时间内补足差额。</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关于招标代理服务收费有关问题的通知》（发改办价格[2003]857号）的有关规定，80万以下项目招标代理服务费，5000.00元/项计费收取，80～400万项目招标代理服务费调整比例按照报价依据的60%计费收取。（以采购包为单位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西安理工大学</w:t>
      </w:r>
      <w:r>
        <w:rPr>
          <w:rFonts w:ascii="仿宋_GB2312" w:hAnsi="仿宋_GB2312" w:cs="仿宋_GB2312" w:eastAsia="仿宋_GB2312"/>
        </w:rPr>
        <w:t>和</w:t>
      </w:r>
      <w:r>
        <w:rPr>
          <w:rFonts w:ascii="仿宋_GB2312" w:hAnsi="仿宋_GB2312" w:cs="仿宋_GB2312" w:eastAsia="仿宋_GB2312"/>
        </w:rPr>
        <w:t>瑞恒项目管理有限公司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西安理工大学</w:t>
      </w:r>
      <w:r>
        <w:rPr>
          <w:rFonts w:ascii="仿宋_GB2312" w:hAnsi="仿宋_GB2312" w:cs="仿宋_GB2312" w:eastAsia="仿宋_GB2312"/>
        </w:rPr>
        <w:t>负责解释。除上述招标文件内容，其他内容由</w:t>
      </w:r>
      <w:r>
        <w:rPr>
          <w:rFonts w:ascii="仿宋_GB2312" w:hAnsi="仿宋_GB2312" w:cs="仿宋_GB2312" w:eastAsia="仿宋_GB2312"/>
        </w:rPr>
        <w:t>瑞恒项目管理有限公司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西安理工大学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瑞恒项目管理有限公司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详见招标文件及合同条款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详见招标文件及合同条款</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瑞恒项目管理有限公司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瑞恒项目管理有限公司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瑞恒项目管理有限公司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联系人：王倩倩</w:t>
      </w:r>
    </w:p>
    <w:p>
      <w:pPr>
        <w:pStyle w:val="null3"/>
      </w:pPr>
      <w:r>
        <w:rPr>
          <w:rFonts w:ascii="仿宋_GB2312" w:hAnsi="仿宋_GB2312" w:cs="仿宋_GB2312" w:eastAsia="仿宋_GB2312"/>
        </w:rPr>
        <w:t>联系电话：15091632950</w:t>
      </w:r>
    </w:p>
    <w:p>
      <w:pPr>
        <w:pStyle w:val="null3"/>
      </w:pPr>
      <w:r>
        <w:rPr>
          <w:rFonts w:ascii="仿宋_GB2312" w:hAnsi="仿宋_GB2312" w:cs="仿宋_GB2312" w:eastAsia="仿宋_GB2312"/>
        </w:rPr>
        <w:t>地址：陕西省西安市曲江新区雁翔路3269号旺座曲江D座30层3001号</w:t>
      </w:r>
    </w:p>
    <w:p>
      <w:pPr>
        <w:pStyle w:val="null3"/>
      </w:pPr>
      <w:r>
        <w:rPr>
          <w:rFonts w:ascii="仿宋_GB2312" w:hAnsi="仿宋_GB2312" w:cs="仿宋_GB2312" w:eastAsia="仿宋_GB2312"/>
        </w:rPr>
        <w:t>邮编：710062</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采购包1：西安理工大学拟购置“微波真空烧结系统”1套/台，微波真空烧结系统包含真空烧结炉和微波真空烧结炉各1套。预算金额111万元。 采购包2：西安理工大学拟购置“铁电材料综合测试系统”1套/台，预算金额157万元。</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1,110,000.00</w:t>
      </w:r>
    </w:p>
    <w:p>
      <w:pPr>
        <w:pStyle w:val="null3"/>
      </w:pPr>
      <w:r>
        <w:rPr>
          <w:rFonts w:ascii="仿宋_GB2312" w:hAnsi="仿宋_GB2312" w:cs="仿宋_GB2312" w:eastAsia="仿宋_GB2312"/>
        </w:rPr>
        <w:t>采购包最高限价（元）: 1,110,000.00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微波真空烧结系统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1,110,000.00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1,570,000.00</w:t>
      </w:r>
    </w:p>
    <w:p>
      <w:pPr>
        <w:pStyle w:val="null3"/>
      </w:pPr>
      <w:r>
        <w:rPr>
          <w:rFonts w:ascii="仿宋_GB2312" w:hAnsi="仿宋_GB2312" w:cs="仿宋_GB2312" w:eastAsia="仿宋_GB2312"/>
        </w:rPr>
        <w:t>采购包最高限价（元）: 1,570,000.00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铁电材料综合测试系统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1,570,000.00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采购包2：</w:t>
      </w:r>
    </w:p>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标的名称：微波真空烧结系统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b/>
              </w:rPr>
              <w:t>一</w:t>
            </w:r>
            <w:r>
              <w:rPr>
                <w:rFonts w:ascii="仿宋_GB2312" w:hAnsi="仿宋_GB2312" w:cs="仿宋_GB2312" w:eastAsia="仿宋_GB2312"/>
                <w:sz w:val="20"/>
                <w:b/>
              </w:rPr>
              <w:t>、真空烧结炉</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最高真空度：</w:t>
            </w:r>
            <w:r>
              <w:rPr>
                <w:rFonts w:ascii="仿宋_GB2312" w:hAnsi="仿宋_GB2312" w:cs="仿宋_GB2312" w:eastAsia="仿宋_GB2312"/>
                <w:sz w:val="20"/>
              </w:rPr>
              <w:t>≤</w:t>
            </w:r>
            <w:r>
              <w:rPr>
                <w:rFonts w:ascii="仿宋_GB2312" w:hAnsi="仿宋_GB2312" w:cs="仿宋_GB2312" w:eastAsia="仿宋_GB2312"/>
                <w:sz w:val="20"/>
              </w:rPr>
              <w:t>10</w:t>
            </w:r>
            <w:r>
              <w:rPr>
                <w:rFonts w:ascii="仿宋_GB2312" w:hAnsi="仿宋_GB2312" w:cs="仿宋_GB2312" w:eastAsia="仿宋_GB2312"/>
                <w:sz w:val="20"/>
                <w:vertAlign w:val="superscript"/>
              </w:rPr>
              <w:t>-4</w:t>
            </w:r>
            <w:r>
              <w:rPr>
                <w:rFonts w:ascii="仿宋_GB2312" w:hAnsi="仿宋_GB2312" w:cs="仿宋_GB2312" w:eastAsia="仿宋_GB2312"/>
                <w:sz w:val="20"/>
              </w:rPr>
              <w:t xml:space="preserve"> </w:t>
            </w:r>
            <w:r>
              <w:rPr>
                <w:rFonts w:ascii="仿宋_GB2312" w:hAnsi="仿宋_GB2312" w:cs="仿宋_GB2312" w:eastAsia="仿宋_GB2312"/>
                <w:sz w:val="20"/>
              </w:rPr>
              <w:t>Pa</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最高工作温度</w:t>
            </w:r>
            <w:r>
              <w:rPr>
                <w:rFonts w:ascii="仿宋_GB2312" w:hAnsi="仿宋_GB2312" w:cs="仿宋_GB2312" w:eastAsia="仿宋_GB2312"/>
                <w:sz w:val="20"/>
              </w:rPr>
              <w:t>≥</w:t>
            </w:r>
            <w:r>
              <w:rPr>
                <w:rFonts w:ascii="仿宋_GB2312" w:hAnsi="仿宋_GB2312" w:cs="仿宋_GB2312" w:eastAsia="仿宋_GB2312"/>
                <w:sz w:val="20"/>
              </w:rPr>
              <w:t xml:space="preserve">2400 </w:t>
            </w:r>
            <w:r>
              <w:rPr>
                <w:rFonts w:ascii="仿宋_GB2312" w:hAnsi="仿宋_GB2312" w:cs="仿宋_GB2312" w:eastAsia="仿宋_GB2312"/>
                <w:sz w:val="20"/>
              </w:rPr>
              <w:t>℃，控温精度： ±</w:t>
            </w:r>
            <w:r>
              <w:rPr>
                <w:rFonts w:ascii="仿宋_GB2312" w:hAnsi="仿宋_GB2312" w:cs="仿宋_GB2312" w:eastAsia="仿宋_GB2312"/>
                <w:sz w:val="20"/>
              </w:rPr>
              <w:t>1</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炉膛尺寸</w:t>
            </w:r>
            <w:r>
              <w:rPr>
                <w:rFonts w:ascii="仿宋_GB2312" w:hAnsi="仿宋_GB2312" w:cs="仿宋_GB2312" w:eastAsia="仿宋_GB2312"/>
                <w:sz w:val="20"/>
              </w:rPr>
              <w:t xml:space="preserve">≥φ </w:t>
            </w:r>
            <w:r>
              <w:rPr>
                <w:rFonts w:ascii="仿宋_GB2312" w:hAnsi="仿宋_GB2312" w:cs="仿宋_GB2312" w:eastAsia="仿宋_GB2312"/>
                <w:sz w:val="20"/>
              </w:rPr>
              <w:t>100mm</w:t>
            </w:r>
            <w:r>
              <w:rPr>
                <w:rFonts w:ascii="仿宋_GB2312" w:hAnsi="仿宋_GB2312" w:cs="仿宋_GB2312" w:eastAsia="仿宋_GB2312"/>
                <w:sz w:val="20"/>
              </w:rPr>
              <w:t>×</w:t>
            </w:r>
            <w:r>
              <w:rPr>
                <w:rFonts w:ascii="仿宋_GB2312" w:hAnsi="仿宋_GB2312" w:cs="仿宋_GB2312" w:eastAsia="仿宋_GB2312"/>
                <w:sz w:val="20"/>
              </w:rPr>
              <w:t xml:space="preserve">200mm </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功率</w:t>
            </w:r>
            <w:r>
              <w:rPr>
                <w:rFonts w:ascii="仿宋_GB2312" w:hAnsi="仿宋_GB2312" w:cs="仿宋_GB2312" w:eastAsia="仿宋_GB2312"/>
                <w:sz w:val="20"/>
              </w:rPr>
              <w:t>≥</w:t>
            </w:r>
            <w:r>
              <w:rPr>
                <w:rFonts w:ascii="仿宋_GB2312" w:hAnsi="仿宋_GB2312" w:cs="仿宋_GB2312" w:eastAsia="仿宋_GB2312"/>
                <w:sz w:val="20"/>
              </w:rPr>
              <w:t>30KW</w:t>
            </w:r>
            <w:r>
              <w:rPr>
                <w:rFonts w:ascii="仿宋_GB2312" w:hAnsi="仿宋_GB2312" w:cs="仿宋_GB2312" w:eastAsia="仿宋_GB2312"/>
                <w:sz w:val="20"/>
              </w:rPr>
              <w:t xml:space="preserve"> </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5</w:t>
            </w:r>
            <w:r>
              <w:rPr>
                <w:rFonts w:ascii="仿宋_GB2312" w:hAnsi="仿宋_GB2312" w:cs="仿宋_GB2312" w:eastAsia="仿宋_GB2312"/>
                <w:sz w:val="20"/>
              </w:rPr>
              <w:t>、</w:t>
            </w:r>
            <w:r>
              <w:rPr>
                <w:rFonts w:ascii="仿宋_GB2312" w:hAnsi="仿宋_GB2312" w:cs="仿宋_GB2312" w:eastAsia="仿宋_GB2312"/>
                <w:sz w:val="20"/>
              </w:rPr>
              <w:t>温度均匀性：中心到边缘的温度误差</w:t>
            </w:r>
            <w:r>
              <w:rPr>
                <w:rFonts w:ascii="仿宋_GB2312" w:hAnsi="仿宋_GB2312" w:cs="仿宋_GB2312" w:eastAsia="仿宋_GB2312"/>
                <w:sz w:val="20"/>
              </w:rPr>
              <w:t>≤ ±</w:t>
            </w:r>
            <w:r>
              <w:rPr>
                <w:rFonts w:ascii="仿宋_GB2312" w:hAnsi="仿宋_GB2312" w:cs="仿宋_GB2312" w:eastAsia="仿宋_GB2312"/>
                <w:sz w:val="20"/>
              </w:rPr>
              <w:t>15</w:t>
            </w:r>
            <w:r>
              <w:rPr>
                <w:rFonts w:ascii="仿宋_GB2312" w:hAnsi="仿宋_GB2312" w:cs="仿宋_GB2312" w:eastAsia="仿宋_GB2312"/>
                <w:sz w:val="20"/>
              </w:rPr>
              <w:t>℃</w:t>
            </w:r>
            <w:r>
              <w:rPr>
                <w:rFonts w:ascii="仿宋_GB2312" w:hAnsi="仿宋_GB2312" w:cs="仿宋_GB2312" w:eastAsia="仿宋_GB2312"/>
                <w:sz w:val="20"/>
              </w:rPr>
              <w:t xml:space="preserve"> </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6</w:t>
            </w:r>
            <w:r>
              <w:rPr>
                <w:rFonts w:ascii="仿宋_GB2312" w:hAnsi="仿宋_GB2312" w:cs="仿宋_GB2312" w:eastAsia="仿宋_GB2312"/>
                <w:sz w:val="20"/>
              </w:rPr>
              <w:t>、</w:t>
            </w:r>
            <w:r>
              <w:rPr>
                <w:rFonts w:ascii="仿宋_GB2312" w:hAnsi="仿宋_GB2312" w:cs="仿宋_GB2312" w:eastAsia="仿宋_GB2312"/>
                <w:sz w:val="20"/>
              </w:rPr>
              <w:t>配套石墨坩埚</w:t>
            </w:r>
            <w:r>
              <w:rPr>
                <w:rFonts w:ascii="仿宋_GB2312" w:hAnsi="仿宋_GB2312" w:cs="仿宋_GB2312" w:eastAsia="仿宋_GB2312"/>
                <w:sz w:val="20"/>
              </w:rPr>
              <w:t>1</w:t>
            </w:r>
            <w:r>
              <w:rPr>
                <w:rFonts w:ascii="仿宋_GB2312" w:hAnsi="仿宋_GB2312" w:cs="仿宋_GB2312" w:eastAsia="仿宋_GB2312"/>
                <w:sz w:val="20"/>
              </w:rPr>
              <w:t>个：容积≥</w:t>
            </w:r>
            <w:r>
              <w:rPr>
                <w:rFonts w:ascii="仿宋_GB2312" w:hAnsi="仿宋_GB2312" w:cs="仿宋_GB2312" w:eastAsia="仿宋_GB2312"/>
                <w:sz w:val="20"/>
              </w:rPr>
              <w:t>300ml</w:t>
            </w:r>
            <w:r>
              <w:rPr>
                <w:rFonts w:ascii="仿宋_GB2312" w:hAnsi="仿宋_GB2312" w:cs="仿宋_GB2312" w:eastAsia="仿宋_GB2312"/>
                <w:sz w:val="20"/>
              </w:rPr>
              <w:t xml:space="preserve"> </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7</w:t>
            </w:r>
            <w:r>
              <w:rPr>
                <w:rFonts w:ascii="仿宋_GB2312" w:hAnsi="仿宋_GB2312" w:cs="仿宋_GB2312" w:eastAsia="仿宋_GB2312"/>
                <w:sz w:val="20"/>
              </w:rPr>
              <w:t>、</w:t>
            </w:r>
            <w:r>
              <w:rPr>
                <w:rFonts w:ascii="仿宋_GB2312" w:hAnsi="仿宋_GB2312" w:cs="仿宋_GB2312" w:eastAsia="仿宋_GB2312"/>
                <w:sz w:val="20"/>
              </w:rPr>
              <w:t>具有超温及断偶报警功能</w:t>
            </w:r>
            <w:r>
              <w:rPr>
                <w:rFonts w:ascii="仿宋_GB2312" w:hAnsi="仿宋_GB2312" w:cs="仿宋_GB2312" w:eastAsia="仿宋_GB2312"/>
                <w:sz w:val="20"/>
              </w:rPr>
              <w:t xml:space="preserve"> </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8</w:t>
            </w:r>
            <w:r>
              <w:rPr>
                <w:rFonts w:ascii="仿宋_GB2312" w:hAnsi="仿宋_GB2312" w:cs="仿宋_GB2312" w:eastAsia="仿宋_GB2312"/>
                <w:sz w:val="20"/>
              </w:rPr>
              <w:t>、</w:t>
            </w:r>
            <w:r>
              <w:rPr>
                <w:rFonts w:ascii="仿宋_GB2312" w:hAnsi="仿宋_GB2312" w:cs="仿宋_GB2312" w:eastAsia="仿宋_GB2312"/>
                <w:sz w:val="20"/>
              </w:rPr>
              <w:t>具有上部挥发吸收管道和冷阱装置</w:t>
            </w:r>
            <w:r>
              <w:rPr>
                <w:rFonts w:ascii="仿宋_GB2312" w:hAnsi="仿宋_GB2312" w:cs="仿宋_GB2312" w:eastAsia="仿宋_GB2312"/>
                <w:sz w:val="20"/>
              </w:rPr>
              <w:t xml:space="preserve"> </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9</w:t>
            </w:r>
            <w:r>
              <w:rPr>
                <w:rFonts w:ascii="仿宋_GB2312" w:hAnsi="仿宋_GB2312" w:cs="仿宋_GB2312" w:eastAsia="仿宋_GB2312"/>
                <w:sz w:val="20"/>
              </w:rPr>
              <w:t>、</w:t>
            </w:r>
            <w:r>
              <w:rPr>
                <w:rFonts w:ascii="仿宋_GB2312" w:hAnsi="仿宋_GB2312" w:cs="仿宋_GB2312" w:eastAsia="仿宋_GB2312"/>
                <w:sz w:val="20"/>
              </w:rPr>
              <w:t>具有粉尘过滤功能</w:t>
            </w:r>
            <w:r>
              <w:rPr>
                <w:rFonts w:ascii="仿宋_GB2312" w:hAnsi="仿宋_GB2312" w:cs="仿宋_GB2312" w:eastAsia="仿宋_GB2312"/>
                <w:sz w:val="20"/>
              </w:rPr>
              <w:t xml:space="preserve"> </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10</w:t>
            </w:r>
            <w:r>
              <w:rPr>
                <w:rFonts w:ascii="仿宋_GB2312" w:hAnsi="仿宋_GB2312" w:cs="仿宋_GB2312" w:eastAsia="仿宋_GB2312"/>
                <w:sz w:val="20"/>
              </w:rPr>
              <w:t>、</w:t>
            </w:r>
            <w:r>
              <w:rPr>
                <w:rFonts w:ascii="仿宋_GB2312" w:hAnsi="仿宋_GB2312" w:cs="仿宋_GB2312" w:eastAsia="仿宋_GB2312"/>
                <w:sz w:val="20"/>
              </w:rPr>
              <w:t>可通入工作气体和保护气体</w:t>
            </w:r>
            <w:r>
              <w:rPr>
                <w:rFonts w:ascii="仿宋_GB2312" w:hAnsi="仿宋_GB2312" w:cs="仿宋_GB2312" w:eastAsia="仿宋_GB2312"/>
                <w:sz w:val="20"/>
              </w:rPr>
              <w:t xml:space="preserve"> </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11</w:t>
            </w:r>
            <w:r>
              <w:rPr>
                <w:rFonts w:ascii="仿宋_GB2312" w:hAnsi="仿宋_GB2312" w:cs="仿宋_GB2312" w:eastAsia="仿宋_GB2312"/>
                <w:sz w:val="20"/>
              </w:rPr>
              <w:t>、</w:t>
            </w:r>
            <w:r>
              <w:rPr>
                <w:rFonts w:ascii="仿宋_GB2312" w:hAnsi="仿宋_GB2312" w:cs="仿宋_GB2312" w:eastAsia="仿宋_GB2312"/>
                <w:sz w:val="20"/>
              </w:rPr>
              <w:t>水冷机</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 xml:space="preserve">11.1 </w:t>
            </w:r>
            <w:r>
              <w:rPr>
                <w:rFonts w:ascii="仿宋_GB2312" w:hAnsi="仿宋_GB2312" w:cs="仿宋_GB2312" w:eastAsia="仿宋_GB2312"/>
                <w:sz w:val="20"/>
              </w:rPr>
              <w:t>制冷量</w:t>
            </w:r>
            <w:r>
              <w:rPr>
                <w:rFonts w:ascii="仿宋_GB2312" w:hAnsi="仿宋_GB2312" w:cs="仿宋_GB2312" w:eastAsia="仿宋_GB2312"/>
                <w:sz w:val="20"/>
              </w:rPr>
              <w:t>≥</w:t>
            </w:r>
            <w:r>
              <w:rPr>
                <w:rFonts w:ascii="仿宋_GB2312" w:hAnsi="仿宋_GB2312" w:cs="仿宋_GB2312" w:eastAsia="仿宋_GB2312"/>
                <w:sz w:val="20"/>
              </w:rPr>
              <w:t>3KW</w:t>
            </w:r>
            <w:r>
              <w:rPr>
                <w:rFonts w:ascii="仿宋_GB2312" w:hAnsi="仿宋_GB2312" w:cs="仿宋_GB2312" w:eastAsia="仿宋_GB2312"/>
                <w:sz w:val="20"/>
              </w:rPr>
              <w:t xml:space="preserve"> </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 xml:space="preserve">11.2 </w:t>
            </w:r>
            <w:r>
              <w:rPr>
                <w:rFonts w:ascii="仿宋_GB2312" w:hAnsi="仿宋_GB2312" w:cs="仿宋_GB2312" w:eastAsia="仿宋_GB2312"/>
                <w:sz w:val="20"/>
              </w:rPr>
              <w:t>压缩机功率</w:t>
            </w:r>
            <w:r>
              <w:rPr>
                <w:rFonts w:ascii="仿宋_GB2312" w:hAnsi="仿宋_GB2312" w:cs="仿宋_GB2312" w:eastAsia="仿宋_GB2312"/>
                <w:sz w:val="20"/>
              </w:rPr>
              <w:t>≥</w:t>
            </w:r>
            <w:r>
              <w:rPr>
                <w:rFonts w:ascii="仿宋_GB2312" w:hAnsi="仿宋_GB2312" w:cs="仿宋_GB2312" w:eastAsia="仿宋_GB2312"/>
                <w:sz w:val="20"/>
              </w:rPr>
              <w:t>2.5KW</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 xml:space="preserve">11.3 </w:t>
            </w:r>
            <w:r>
              <w:rPr>
                <w:rFonts w:ascii="仿宋_GB2312" w:hAnsi="仿宋_GB2312" w:cs="仿宋_GB2312" w:eastAsia="仿宋_GB2312"/>
                <w:sz w:val="20"/>
              </w:rPr>
              <w:t>水箱容量</w:t>
            </w:r>
            <w:r>
              <w:rPr>
                <w:rFonts w:ascii="仿宋_GB2312" w:hAnsi="仿宋_GB2312" w:cs="仿宋_GB2312" w:eastAsia="仿宋_GB2312"/>
                <w:sz w:val="20"/>
              </w:rPr>
              <w:t>≥</w:t>
            </w:r>
            <w:r>
              <w:rPr>
                <w:rFonts w:ascii="仿宋_GB2312" w:hAnsi="仿宋_GB2312" w:cs="仿宋_GB2312" w:eastAsia="仿宋_GB2312"/>
                <w:sz w:val="20"/>
              </w:rPr>
              <w:t>45L</w:t>
            </w:r>
            <w:r>
              <w:rPr>
                <w:rFonts w:ascii="仿宋_GB2312" w:hAnsi="仿宋_GB2312" w:cs="仿宋_GB2312" w:eastAsia="仿宋_GB2312"/>
                <w:sz w:val="20"/>
              </w:rPr>
              <w:t xml:space="preserve"> </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b/>
              </w:rPr>
              <w:t>二</w:t>
            </w:r>
            <w:r>
              <w:rPr>
                <w:rFonts w:ascii="仿宋_GB2312" w:hAnsi="仿宋_GB2312" w:cs="仿宋_GB2312" w:eastAsia="仿宋_GB2312"/>
                <w:sz w:val="20"/>
                <w:b/>
              </w:rPr>
              <w:t>、微波真空烧结炉</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微波输出功率</w:t>
            </w:r>
            <w:r>
              <w:rPr>
                <w:rFonts w:ascii="仿宋_GB2312" w:hAnsi="仿宋_GB2312" w:cs="仿宋_GB2312" w:eastAsia="仿宋_GB2312"/>
                <w:sz w:val="20"/>
              </w:rPr>
              <w:t>：</w:t>
            </w:r>
            <w:r>
              <w:rPr>
                <w:rFonts w:ascii="仿宋_GB2312" w:hAnsi="仿宋_GB2312" w:cs="仿宋_GB2312" w:eastAsia="仿宋_GB2312"/>
                <w:sz w:val="20"/>
              </w:rPr>
              <w:t>400</w:t>
            </w:r>
            <w:r>
              <w:rPr>
                <w:rFonts w:ascii="仿宋_GB2312" w:hAnsi="仿宋_GB2312" w:cs="仿宋_GB2312" w:eastAsia="仿宋_GB2312"/>
                <w:sz w:val="20"/>
              </w:rPr>
              <w:t>～</w:t>
            </w:r>
            <w:r>
              <w:rPr>
                <w:rFonts w:ascii="仿宋_GB2312" w:hAnsi="仿宋_GB2312" w:cs="仿宋_GB2312" w:eastAsia="仿宋_GB2312"/>
                <w:sz w:val="20"/>
              </w:rPr>
              <w:t>5800W，</w:t>
            </w:r>
            <w:r>
              <w:rPr>
                <w:rFonts w:ascii="仿宋_GB2312" w:hAnsi="仿宋_GB2312" w:cs="仿宋_GB2312" w:eastAsia="仿宋_GB2312"/>
                <w:sz w:val="20"/>
              </w:rPr>
              <w:t>连续非脉冲微波发射，连续自动调整</w:t>
            </w:r>
            <w:r>
              <w:rPr>
                <w:rFonts w:ascii="仿宋_GB2312" w:hAnsi="仿宋_GB2312" w:cs="仿宋_GB2312" w:eastAsia="仿宋_GB2312"/>
                <w:sz w:val="20"/>
              </w:rPr>
              <w:t>，</w:t>
            </w:r>
            <w:r>
              <w:rPr>
                <w:rFonts w:ascii="仿宋_GB2312" w:hAnsi="仿宋_GB2312" w:cs="仿宋_GB2312" w:eastAsia="仿宋_GB2312"/>
                <w:sz w:val="20"/>
              </w:rPr>
              <w:t>功率控制精度</w:t>
            </w:r>
            <w:r>
              <w:rPr>
                <w:rFonts w:ascii="仿宋_GB2312" w:hAnsi="仿宋_GB2312" w:cs="仿宋_GB2312" w:eastAsia="仿宋_GB2312"/>
                <w:sz w:val="20"/>
              </w:rPr>
              <w:t>≤1W</w:t>
            </w:r>
            <w:r>
              <w:rPr>
                <w:rFonts w:ascii="仿宋_GB2312" w:hAnsi="仿宋_GB2312" w:cs="仿宋_GB2312" w:eastAsia="仿宋_GB2312"/>
                <w:sz w:val="20"/>
              </w:rPr>
              <w:t xml:space="preserve"> </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微波输出频率</w:t>
            </w:r>
            <w:r>
              <w:rPr>
                <w:rFonts w:ascii="仿宋_GB2312" w:hAnsi="仿宋_GB2312" w:cs="仿宋_GB2312" w:eastAsia="仿宋_GB2312"/>
                <w:sz w:val="20"/>
              </w:rPr>
              <w:t>：</w:t>
            </w:r>
            <w:r>
              <w:rPr>
                <w:rFonts w:ascii="仿宋_GB2312" w:hAnsi="仿宋_GB2312" w:cs="仿宋_GB2312" w:eastAsia="仿宋_GB2312"/>
                <w:sz w:val="20"/>
              </w:rPr>
              <w:t>2.45GHz±25 MHz</w:t>
            </w:r>
            <w:r>
              <w:rPr>
                <w:rFonts w:ascii="仿宋_GB2312" w:hAnsi="仿宋_GB2312" w:cs="仿宋_GB2312" w:eastAsia="仿宋_GB2312"/>
                <w:sz w:val="20"/>
              </w:rPr>
              <w:t xml:space="preserve"> </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最高真空度</w:t>
            </w:r>
            <w:r>
              <w:rPr>
                <w:rFonts w:ascii="仿宋_GB2312" w:hAnsi="仿宋_GB2312" w:cs="仿宋_GB2312" w:eastAsia="仿宋_GB2312"/>
                <w:sz w:val="20"/>
              </w:rPr>
              <w:t>：</w:t>
            </w:r>
            <w:r>
              <w:rPr>
                <w:rFonts w:ascii="仿宋_GB2312" w:hAnsi="仿宋_GB2312" w:cs="仿宋_GB2312" w:eastAsia="仿宋_GB2312"/>
                <w:sz w:val="20"/>
              </w:rPr>
              <w:t>≤10</w:t>
            </w:r>
            <w:r>
              <w:rPr>
                <w:rFonts w:ascii="仿宋_GB2312" w:hAnsi="仿宋_GB2312" w:cs="仿宋_GB2312" w:eastAsia="仿宋_GB2312"/>
                <w:sz w:val="20"/>
                <w:vertAlign w:val="superscript"/>
              </w:rPr>
              <w:t>-</w:t>
            </w:r>
            <w:r>
              <w:rPr>
                <w:rFonts w:ascii="仿宋_GB2312" w:hAnsi="仿宋_GB2312" w:cs="仿宋_GB2312" w:eastAsia="仿宋_GB2312"/>
                <w:sz w:val="20"/>
                <w:vertAlign w:val="superscript"/>
              </w:rPr>
              <w:t>4</w:t>
            </w:r>
            <w:r>
              <w:rPr>
                <w:rFonts w:ascii="仿宋_GB2312" w:hAnsi="仿宋_GB2312" w:cs="仿宋_GB2312" w:eastAsia="仿宋_GB2312"/>
                <w:sz w:val="20"/>
              </w:rPr>
              <w:t>Pa</w:t>
            </w:r>
            <w:r>
              <w:rPr>
                <w:rFonts w:ascii="仿宋_GB2312" w:hAnsi="仿宋_GB2312" w:cs="仿宋_GB2312" w:eastAsia="仿宋_GB2312"/>
                <w:sz w:val="20"/>
              </w:rPr>
              <w:t xml:space="preserve"> </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最高工作温度</w:t>
            </w: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7</w:t>
            </w:r>
            <w:r>
              <w:rPr>
                <w:rFonts w:ascii="仿宋_GB2312" w:hAnsi="仿宋_GB2312" w:cs="仿宋_GB2312" w:eastAsia="仿宋_GB2312"/>
                <w:sz w:val="20"/>
              </w:rPr>
              <w:t>00</w:t>
            </w:r>
            <w:r>
              <w:rPr>
                <w:rFonts w:ascii="仿宋_GB2312" w:hAnsi="仿宋_GB2312" w:cs="仿宋_GB2312" w:eastAsia="仿宋_GB2312"/>
                <w:sz w:val="20"/>
              </w:rPr>
              <w:t>℃</w:t>
            </w:r>
            <w:r>
              <w:rPr>
                <w:rFonts w:ascii="仿宋_GB2312" w:hAnsi="仿宋_GB2312" w:cs="仿宋_GB2312" w:eastAsia="仿宋_GB2312"/>
                <w:sz w:val="20"/>
              </w:rPr>
              <w:t>，控温精度</w:t>
            </w: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 ；</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5、烧结</w:t>
            </w:r>
            <w:r>
              <w:rPr>
                <w:rFonts w:ascii="仿宋_GB2312" w:hAnsi="仿宋_GB2312" w:cs="仿宋_GB2312" w:eastAsia="仿宋_GB2312"/>
                <w:sz w:val="20"/>
              </w:rPr>
              <w:t>炉膛尺寸</w:t>
            </w:r>
            <w:r>
              <w:rPr>
                <w:rFonts w:ascii="仿宋_GB2312" w:hAnsi="仿宋_GB2312" w:cs="仿宋_GB2312" w:eastAsia="仿宋_GB2312"/>
                <w:sz w:val="20"/>
              </w:rPr>
              <w:t>：</w:t>
            </w:r>
            <w:r>
              <w:rPr>
                <w:rFonts w:ascii="仿宋_GB2312" w:hAnsi="仿宋_GB2312" w:cs="仿宋_GB2312" w:eastAsia="仿宋_GB2312"/>
                <w:sz w:val="20"/>
              </w:rPr>
              <w:t>≥</w:t>
            </w:r>
            <w:r>
              <w:rPr>
                <w:rFonts w:ascii="仿宋_GB2312" w:hAnsi="仿宋_GB2312" w:cs="仿宋_GB2312" w:eastAsia="仿宋_GB2312"/>
                <w:sz w:val="20"/>
              </w:rPr>
              <w:t>215×170×150mm ；</w:t>
            </w:r>
          </w:p>
          <w:p>
            <w:pPr>
              <w:pStyle w:val="null3"/>
              <w:jc w:val="both"/>
            </w:pPr>
            <w:r>
              <w:rPr>
                <w:rFonts w:ascii="仿宋_GB2312" w:hAnsi="仿宋_GB2312" w:cs="仿宋_GB2312" w:eastAsia="仿宋_GB2312"/>
                <w:sz w:val="20"/>
              </w:rPr>
              <w:t>6、</w:t>
            </w:r>
            <w:r>
              <w:rPr>
                <w:rFonts w:ascii="仿宋_GB2312" w:hAnsi="仿宋_GB2312" w:cs="仿宋_GB2312" w:eastAsia="仿宋_GB2312"/>
                <w:sz w:val="20"/>
              </w:rPr>
              <w:t>气氛系统</w:t>
            </w:r>
            <w:r>
              <w:rPr>
                <w:rFonts w:ascii="仿宋_GB2312" w:hAnsi="仿宋_GB2312" w:cs="仿宋_GB2312" w:eastAsia="仿宋_GB2312"/>
                <w:sz w:val="20"/>
              </w:rPr>
              <w:t>：</w:t>
            </w:r>
            <w:r>
              <w:rPr>
                <w:rFonts w:ascii="仿宋_GB2312" w:hAnsi="仿宋_GB2312" w:cs="仿宋_GB2312" w:eastAsia="仿宋_GB2312"/>
                <w:sz w:val="20"/>
              </w:rPr>
              <w:t>真空、惰性及弱还原性气氛</w:t>
            </w:r>
            <w:r>
              <w:rPr>
                <w:rFonts w:ascii="仿宋_GB2312" w:hAnsi="仿宋_GB2312" w:cs="仿宋_GB2312" w:eastAsia="仿宋_GB2312"/>
                <w:sz w:val="20"/>
              </w:rPr>
              <w:t xml:space="preserve"> </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7、控制系统：</w:t>
            </w:r>
            <w:r>
              <w:rPr>
                <w:rFonts w:ascii="仿宋_GB2312" w:hAnsi="仿宋_GB2312" w:cs="仿宋_GB2312" w:eastAsia="仿宋_GB2312"/>
                <w:sz w:val="20"/>
              </w:rPr>
              <w:t>≥7寸触摸屏</w:t>
            </w:r>
            <w:r>
              <w:rPr>
                <w:rFonts w:ascii="仿宋_GB2312" w:hAnsi="仿宋_GB2312" w:cs="仿宋_GB2312" w:eastAsia="仿宋_GB2312"/>
                <w:sz w:val="20"/>
              </w:rPr>
              <w:t>，</w:t>
            </w:r>
            <w:r>
              <w:rPr>
                <w:rFonts w:ascii="仿宋_GB2312" w:hAnsi="仿宋_GB2312" w:cs="仿宋_GB2312" w:eastAsia="仿宋_GB2312"/>
                <w:sz w:val="20"/>
              </w:rPr>
              <w:t>采用</w:t>
            </w:r>
            <w:r>
              <w:rPr>
                <w:rFonts w:ascii="仿宋_GB2312" w:hAnsi="仿宋_GB2312" w:cs="仿宋_GB2312" w:eastAsia="仿宋_GB2312"/>
                <w:sz w:val="20"/>
              </w:rPr>
              <w:t>PLC</w:t>
            </w:r>
            <w:r>
              <w:rPr>
                <w:rFonts w:ascii="仿宋_GB2312" w:hAnsi="仿宋_GB2312" w:cs="仿宋_GB2312" w:eastAsia="仿宋_GB2312"/>
                <w:sz w:val="20"/>
              </w:rPr>
              <w:t>方式</w:t>
            </w:r>
            <w:r>
              <w:rPr>
                <w:rFonts w:ascii="仿宋_GB2312" w:hAnsi="仿宋_GB2312" w:cs="仿宋_GB2312" w:eastAsia="仿宋_GB2312"/>
                <w:sz w:val="20"/>
              </w:rPr>
              <w:t>程序升温</w:t>
            </w:r>
            <w:r>
              <w:rPr>
                <w:rFonts w:ascii="仿宋_GB2312" w:hAnsi="仿宋_GB2312" w:cs="仿宋_GB2312" w:eastAsia="仿宋_GB2312"/>
                <w:sz w:val="20"/>
              </w:rPr>
              <w:t>，</w:t>
            </w:r>
            <w:r>
              <w:rPr>
                <w:rFonts w:ascii="仿宋_GB2312" w:hAnsi="仿宋_GB2312" w:cs="仿宋_GB2312" w:eastAsia="仿宋_GB2312"/>
                <w:sz w:val="20"/>
              </w:rPr>
              <w:t>具有</w:t>
            </w:r>
            <w:r>
              <w:rPr>
                <w:rFonts w:ascii="仿宋_GB2312" w:hAnsi="仿宋_GB2312" w:cs="仿宋_GB2312" w:eastAsia="仿宋_GB2312"/>
                <w:sz w:val="20"/>
              </w:rPr>
              <w:t>气氛</w:t>
            </w:r>
            <w:r>
              <w:rPr>
                <w:rFonts w:ascii="仿宋_GB2312" w:hAnsi="仿宋_GB2312" w:cs="仿宋_GB2312" w:eastAsia="仿宋_GB2312"/>
                <w:sz w:val="20"/>
              </w:rPr>
              <w:t>烧结</w:t>
            </w:r>
            <w:r>
              <w:rPr>
                <w:rFonts w:ascii="仿宋_GB2312" w:hAnsi="仿宋_GB2312" w:cs="仿宋_GB2312" w:eastAsia="仿宋_GB2312"/>
                <w:sz w:val="20"/>
              </w:rPr>
              <w:t>系统</w:t>
            </w:r>
            <w:r>
              <w:rPr>
                <w:rFonts w:ascii="仿宋_GB2312" w:hAnsi="仿宋_GB2312" w:cs="仿宋_GB2312" w:eastAsia="仿宋_GB2312"/>
                <w:sz w:val="20"/>
              </w:rPr>
              <w:t>和</w:t>
            </w:r>
            <w:r>
              <w:rPr>
                <w:rFonts w:ascii="仿宋_GB2312" w:hAnsi="仿宋_GB2312" w:cs="仿宋_GB2312" w:eastAsia="仿宋_GB2312"/>
                <w:sz w:val="20"/>
              </w:rPr>
              <w:t>真空烧结系统</w:t>
            </w:r>
            <w:r>
              <w:rPr>
                <w:rFonts w:ascii="仿宋_GB2312" w:hAnsi="仿宋_GB2312" w:cs="仿宋_GB2312" w:eastAsia="仿宋_GB2312"/>
                <w:sz w:val="20"/>
              </w:rPr>
              <w:t>2套系统，实时能耗检测和累计能耗计量（需</w:t>
            </w:r>
            <w:r>
              <w:rPr>
                <w:rFonts w:ascii="仿宋_GB2312" w:hAnsi="仿宋_GB2312" w:cs="仿宋_GB2312" w:eastAsia="仿宋_GB2312"/>
                <w:sz w:val="20"/>
              </w:rPr>
              <w:t>提供软件</w:t>
            </w:r>
            <w:r>
              <w:rPr>
                <w:rFonts w:ascii="仿宋_GB2312" w:hAnsi="仿宋_GB2312" w:cs="仿宋_GB2312" w:eastAsia="仿宋_GB2312"/>
                <w:sz w:val="20"/>
              </w:rPr>
              <w:t>操作界面</w:t>
            </w:r>
            <w:r>
              <w:rPr>
                <w:rFonts w:ascii="仿宋_GB2312" w:hAnsi="仿宋_GB2312" w:cs="仿宋_GB2312" w:eastAsia="仿宋_GB2312"/>
                <w:sz w:val="20"/>
              </w:rPr>
              <w:t>截</w:t>
            </w:r>
            <w:r>
              <w:rPr>
                <w:rFonts w:ascii="仿宋_GB2312" w:hAnsi="仿宋_GB2312" w:cs="仿宋_GB2312" w:eastAsia="仿宋_GB2312"/>
                <w:sz w:val="20"/>
              </w:rPr>
              <w:t>图证明）；</w:t>
            </w:r>
          </w:p>
          <w:p>
            <w:pPr>
              <w:pStyle w:val="null3"/>
              <w:jc w:val="both"/>
            </w:pPr>
            <w:r>
              <w:rPr>
                <w:rFonts w:ascii="仿宋_GB2312" w:hAnsi="仿宋_GB2312" w:cs="仿宋_GB2312" w:eastAsia="仿宋_GB2312"/>
                <w:sz w:val="20"/>
              </w:rPr>
              <w:t>8、</w:t>
            </w:r>
            <w:r>
              <w:rPr>
                <w:rFonts w:ascii="仿宋_GB2312" w:hAnsi="仿宋_GB2312" w:cs="仿宋_GB2312" w:eastAsia="仿宋_GB2312"/>
                <w:sz w:val="20"/>
              </w:rPr>
              <w:t>微波泄露</w:t>
            </w:r>
            <w:r>
              <w:rPr>
                <w:rFonts w:ascii="仿宋_GB2312" w:hAnsi="仿宋_GB2312" w:cs="仿宋_GB2312" w:eastAsia="仿宋_GB2312"/>
                <w:sz w:val="20"/>
              </w:rPr>
              <w:t>：</w:t>
            </w:r>
            <w:r>
              <w:rPr>
                <w:rFonts w:ascii="仿宋_GB2312" w:hAnsi="仿宋_GB2312" w:cs="仿宋_GB2312" w:eastAsia="仿宋_GB2312"/>
                <w:sz w:val="20"/>
              </w:rPr>
              <w:t>≤0.01mw/cm</w:t>
            </w:r>
            <w:r>
              <w:rPr>
                <w:rFonts w:ascii="仿宋_GB2312" w:hAnsi="仿宋_GB2312" w:cs="仿宋_GB2312" w:eastAsia="仿宋_GB2312"/>
                <w:sz w:val="20"/>
                <w:vertAlign w:val="superscript"/>
              </w:rPr>
              <w:t>2</w:t>
            </w:r>
            <w:r>
              <w:rPr>
                <w:rFonts w:ascii="仿宋_GB2312" w:hAnsi="仿宋_GB2312" w:cs="仿宋_GB2312" w:eastAsia="仿宋_GB2312"/>
                <w:sz w:val="21"/>
                <w:vertAlign w:val="superscript"/>
              </w:rPr>
              <w:t xml:space="preserve"> </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★9、设备压力保护：绝对压力≥1500Pa，进气压力过高报警，自动保护（需</w:t>
            </w:r>
            <w:r>
              <w:rPr>
                <w:rFonts w:ascii="仿宋_GB2312" w:hAnsi="仿宋_GB2312" w:cs="仿宋_GB2312" w:eastAsia="仿宋_GB2312"/>
                <w:sz w:val="20"/>
              </w:rPr>
              <w:t>提供软件</w:t>
            </w:r>
            <w:r>
              <w:rPr>
                <w:rFonts w:ascii="仿宋_GB2312" w:hAnsi="仿宋_GB2312" w:cs="仿宋_GB2312" w:eastAsia="仿宋_GB2312"/>
                <w:sz w:val="20"/>
              </w:rPr>
              <w:t>操作界面</w:t>
            </w:r>
            <w:r>
              <w:rPr>
                <w:rFonts w:ascii="仿宋_GB2312" w:hAnsi="仿宋_GB2312" w:cs="仿宋_GB2312" w:eastAsia="仿宋_GB2312"/>
                <w:sz w:val="20"/>
              </w:rPr>
              <w:t>截</w:t>
            </w:r>
            <w:r>
              <w:rPr>
                <w:rFonts w:ascii="仿宋_GB2312" w:hAnsi="仿宋_GB2312" w:cs="仿宋_GB2312" w:eastAsia="仿宋_GB2312"/>
                <w:sz w:val="20"/>
              </w:rPr>
              <w:t>图证明）</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10、</w:t>
            </w:r>
            <w:r>
              <w:rPr>
                <w:rFonts w:ascii="仿宋_GB2312" w:hAnsi="仿宋_GB2312" w:cs="仿宋_GB2312" w:eastAsia="仿宋_GB2312"/>
                <w:sz w:val="20"/>
              </w:rPr>
              <w:t>循环冷水机</w:t>
            </w:r>
            <w:r>
              <w:rPr>
                <w:rFonts w:ascii="仿宋_GB2312" w:hAnsi="仿宋_GB2312" w:cs="仿宋_GB2312" w:eastAsia="仿宋_GB2312"/>
                <w:sz w:val="20"/>
              </w:rPr>
              <w:t>1台</w:t>
            </w:r>
            <w:r>
              <w:rPr>
                <w:rFonts w:ascii="仿宋_GB2312" w:hAnsi="仿宋_GB2312" w:cs="仿宋_GB2312" w:eastAsia="仿宋_GB2312"/>
                <w:sz w:val="20"/>
              </w:rPr>
              <w:t>：</w:t>
            </w:r>
            <w:r>
              <w:rPr>
                <w:rFonts w:ascii="仿宋_GB2312" w:hAnsi="仿宋_GB2312" w:cs="仿宋_GB2312" w:eastAsia="仿宋_GB2312"/>
                <w:sz w:val="20"/>
              </w:rPr>
              <w:t>制冷量</w:t>
            </w:r>
            <w:r>
              <w:rPr>
                <w:rFonts w:ascii="仿宋_GB2312" w:hAnsi="仿宋_GB2312" w:cs="仿宋_GB2312" w:eastAsia="仿宋_GB2312"/>
                <w:sz w:val="20"/>
              </w:rPr>
              <w:t>：</w:t>
            </w:r>
            <w:r>
              <w:rPr>
                <w:rFonts w:ascii="仿宋_GB2312" w:hAnsi="仿宋_GB2312" w:cs="仿宋_GB2312" w:eastAsia="仿宋_GB2312"/>
                <w:sz w:val="20"/>
              </w:rPr>
              <w:t>≥5KW，水箱容积</w:t>
            </w:r>
            <w:r>
              <w:rPr>
                <w:rFonts w:ascii="仿宋_GB2312" w:hAnsi="仿宋_GB2312" w:cs="仿宋_GB2312" w:eastAsia="仿宋_GB2312"/>
                <w:sz w:val="20"/>
              </w:rPr>
              <w:t>：</w:t>
            </w:r>
            <w:r>
              <w:rPr>
                <w:rFonts w:ascii="仿宋_GB2312" w:hAnsi="仿宋_GB2312" w:cs="仿宋_GB2312" w:eastAsia="仿宋_GB2312"/>
                <w:sz w:val="20"/>
              </w:rPr>
              <w:t>≥15L</w:t>
            </w:r>
            <w:r>
              <w:rPr>
                <w:rFonts w:ascii="仿宋_GB2312" w:hAnsi="仿宋_GB2312" w:cs="仿宋_GB2312" w:eastAsia="仿宋_GB2312"/>
                <w:sz w:val="20"/>
              </w:rPr>
              <w:t xml:space="preserve"> </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空压机</w:t>
            </w:r>
            <w:r>
              <w:rPr>
                <w:rFonts w:ascii="仿宋_GB2312" w:hAnsi="仿宋_GB2312" w:cs="仿宋_GB2312" w:eastAsia="仿宋_GB2312"/>
                <w:sz w:val="20"/>
              </w:rPr>
              <w:t>1台</w:t>
            </w:r>
            <w:r>
              <w:rPr>
                <w:rFonts w:ascii="仿宋_GB2312" w:hAnsi="仿宋_GB2312" w:cs="仿宋_GB2312" w:eastAsia="仿宋_GB2312"/>
                <w:sz w:val="20"/>
              </w:rPr>
              <w:t>：</w:t>
            </w:r>
            <w:r>
              <w:rPr>
                <w:rFonts w:ascii="仿宋_GB2312" w:hAnsi="仿宋_GB2312" w:cs="仿宋_GB2312" w:eastAsia="仿宋_GB2312"/>
                <w:sz w:val="20"/>
              </w:rPr>
              <w:t>压力</w:t>
            </w:r>
            <w:r>
              <w:rPr>
                <w:rFonts w:ascii="仿宋_GB2312" w:hAnsi="仿宋_GB2312" w:cs="仿宋_GB2312" w:eastAsia="仿宋_GB2312"/>
                <w:sz w:val="20"/>
              </w:rPr>
              <w:t>≥0.6Mpa</w:t>
            </w:r>
            <w:r>
              <w:rPr>
                <w:rFonts w:ascii="仿宋_GB2312" w:hAnsi="仿宋_GB2312" w:cs="仿宋_GB2312" w:eastAsia="仿宋_GB2312"/>
                <w:sz w:val="20"/>
              </w:rPr>
              <w:t xml:space="preserve"> </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12、</w:t>
            </w:r>
            <w:r>
              <w:rPr>
                <w:rFonts w:ascii="仿宋_GB2312" w:hAnsi="仿宋_GB2312" w:cs="仿宋_GB2312" w:eastAsia="仿宋_GB2312"/>
                <w:sz w:val="20"/>
              </w:rPr>
              <w:t>红外测温仪</w:t>
            </w:r>
            <w:r>
              <w:rPr>
                <w:rFonts w:ascii="仿宋_GB2312" w:hAnsi="仿宋_GB2312" w:cs="仿宋_GB2312" w:eastAsia="仿宋_GB2312"/>
                <w:sz w:val="20"/>
              </w:rPr>
              <w:t>1台</w:t>
            </w:r>
            <w:r>
              <w:rPr>
                <w:rFonts w:ascii="仿宋_GB2312" w:hAnsi="仿宋_GB2312" w:cs="仿宋_GB2312" w:eastAsia="仿宋_GB2312"/>
                <w:sz w:val="20"/>
              </w:rPr>
              <w:t>：</w:t>
            </w:r>
            <w:r>
              <w:rPr>
                <w:rFonts w:ascii="仿宋_GB2312" w:hAnsi="仿宋_GB2312" w:cs="仿宋_GB2312" w:eastAsia="仿宋_GB2312"/>
                <w:sz w:val="20"/>
              </w:rPr>
              <w:t>测温范围</w:t>
            </w:r>
            <w:r>
              <w:rPr>
                <w:rFonts w:ascii="仿宋_GB2312" w:hAnsi="仿宋_GB2312" w:cs="仿宋_GB2312" w:eastAsia="仿宋_GB2312"/>
                <w:sz w:val="20"/>
              </w:rPr>
              <w:t>250</w:t>
            </w:r>
            <w:r>
              <w:rPr>
                <w:rFonts w:ascii="仿宋_GB2312" w:hAnsi="仿宋_GB2312" w:cs="仿宋_GB2312" w:eastAsia="仿宋_GB2312"/>
                <w:sz w:val="20"/>
              </w:rPr>
              <w:t>～</w:t>
            </w:r>
            <w:r>
              <w:rPr>
                <w:rFonts w:ascii="仿宋_GB2312" w:hAnsi="仿宋_GB2312" w:cs="仿宋_GB2312" w:eastAsia="仿宋_GB2312"/>
                <w:sz w:val="20"/>
              </w:rPr>
              <w:t>2000°C</w:t>
            </w:r>
            <w:r>
              <w:rPr>
                <w:rFonts w:ascii="仿宋_GB2312" w:hAnsi="仿宋_GB2312" w:cs="仿宋_GB2312" w:eastAsia="仿宋_GB2312"/>
                <w:sz w:val="20"/>
              </w:rPr>
              <w:t>，</w:t>
            </w:r>
            <w:r>
              <w:rPr>
                <w:rFonts w:ascii="仿宋_GB2312" w:hAnsi="仿宋_GB2312" w:cs="仿宋_GB2312" w:eastAsia="仿宋_GB2312"/>
                <w:sz w:val="20"/>
              </w:rPr>
              <w:t>波长：</w:t>
            </w:r>
            <w:r>
              <w:rPr>
                <w:rFonts w:ascii="仿宋_GB2312" w:hAnsi="仿宋_GB2312" w:cs="仿宋_GB2312" w:eastAsia="仿宋_GB2312"/>
                <w:sz w:val="20"/>
              </w:rPr>
              <w:t>1.6um，精度</w:t>
            </w:r>
            <w:r>
              <w:rPr>
                <w:rFonts w:ascii="仿宋_GB2312" w:hAnsi="仿宋_GB2312" w:cs="仿宋_GB2312" w:eastAsia="仿宋_GB2312"/>
                <w:sz w:val="20"/>
              </w:rPr>
              <w:t>±1％</w:t>
            </w:r>
            <w:r>
              <w:rPr>
                <w:rFonts w:ascii="仿宋_GB2312" w:hAnsi="仿宋_GB2312" w:cs="仿宋_GB2312" w:eastAsia="仿宋_GB2312"/>
                <w:sz w:val="21"/>
              </w:rPr>
              <w:t xml:space="preserve"> </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13、</w:t>
            </w:r>
            <w:r>
              <w:rPr>
                <w:rFonts w:ascii="仿宋_GB2312" w:hAnsi="仿宋_GB2312" w:cs="仿宋_GB2312" w:eastAsia="仿宋_GB2312"/>
                <w:sz w:val="20"/>
              </w:rPr>
              <w:t>手持式微波检漏仪</w:t>
            </w:r>
            <w:r>
              <w:rPr>
                <w:rFonts w:ascii="仿宋_GB2312" w:hAnsi="仿宋_GB2312" w:cs="仿宋_GB2312" w:eastAsia="仿宋_GB2312"/>
                <w:sz w:val="20"/>
              </w:rPr>
              <w:t>1台</w:t>
            </w:r>
            <w:r>
              <w:rPr>
                <w:rFonts w:ascii="仿宋_GB2312" w:hAnsi="仿宋_GB2312" w:cs="仿宋_GB2312" w:eastAsia="仿宋_GB2312"/>
                <w:sz w:val="20"/>
              </w:rPr>
              <w:t>，</w:t>
            </w:r>
            <w:r>
              <w:rPr>
                <w:rFonts w:ascii="仿宋_GB2312" w:hAnsi="仿宋_GB2312" w:cs="仿宋_GB2312" w:eastAsia="仿宋_GB2312"/>
                <w:sz w:val="20"/>
              </w:rPr>
              <w:t>频率范围</w:t>
            </w:r>
            <w:r>
              <w:rPr>
                <w:rFonts w:ascii="仿宋_GB2312" w:hAnsi="仿宋_GB2312" w:cs="仿宋_GB2312" w:eastAsia="仿宋_GB2312"/>
                <w:sz w:val="20"/>
              </w:rPr>
              <w:t>：</w:t>
            </w:r>
            <w:r>
              <w:rPr>
                <w:rFonts w:ascii="仿宋_GB2312" w:hAnsi="仿宋_GB2312" w:cs="仿宋_GB2312" w:eastAsia="仿宋_GB2312"/>
                <w:sz w:val="20"/>
              </w:rPr>
              <w:t>50MHz</w:t>
            </w:r>
            <w:r>
              <w:rPr>
                <w:rFonts w:ascii="仿宋_GB2312" w:hAnsi="仿宋_GB2312" w:cs="仿宋_GB2312" w:eastAsia="仿宋_GB2312"/>
                <w:sz w:val="20"/>
              </w:rPr>
              <w:t>～</w:t>
            </w:r>
            <w:r>
              <w:rPr>
                <w:rFonts w:ascii="仿宋_GB2312" w:hAnsi="仿宋_GB2312" w:cs="仿宋_GB2312" w:eastAsia="仿宋_GB2312"/>
                <w:sz w:val="20"/>
              </w:rPr>
              <w:t>3.4GHz</w:t>
            </w:r>
            <w:r>
              <w:rPr>
                <w:rFonts w:ascii="仿宋_GB2312" w:hAnsi="仿宋_GB2312" w:cs="仿宋_GB2312" w:eastAsia="仿宋_GB2312"/>
                <w:sz w:val="20"/>
              </w:rPr>
              <w:t>；</w:t>
            </w:r>
            <w:r>
              <w:rPr>
                <w:rFonts w:ascii="仿宋_GB2312" w:hAnsi="仿宋_GB2312" w:cs="仿宋_GB2312" w:eastAsia="仿宋_GB2312"/>
                <w:sz w:val="20"/>
              </w:rPr>
              <w:t>方向特性：</w:t>
            </w:r>
            <w:r>
              <w:rPr>
                <w:rFonts w:ascii="仿宋_GB2312" w:hAnsi="仿宋_GB2312" w:cs="仿宋_GB2312" w:eastAsia="仿宋_GB2312"/>
                <w:sz w:val="20"/>
              </w:rPr>
              <w:t>三维全向</w:t>
            </w:r>
            <w:r>
              <w:rPr>
                <w:rFonts w:ascii="仿宋_GB2312" w:hAnsi="仿宋_GB2312" w:cs="仿宋_GB2312" w:eastAsia="仿宋_GB2312"/>
                <w:sz w:val="20"/>
              </w:rPr>
              <w:t>；</w:t>
            </w:r>
            <w:r>
              <w:rPr>
                <w:rFonts w:ascii="仿宋_GB2312" w:hAnsi="仿宋_GB2312" w:cs="仿宋_GB2312" w:eastAsia="仿宋_GB2312"/>
                <w:sz w:val="20"/>
              </w:rPr>
              <w:t>量程</w:t>
            </w:r>
            <w:r>
              <w:rPr>
                <w:rFonts w:ascii="仿宋_GB2312" w:hAnsi="仿宋_GB2312" w:cs="仿宋_GB2312" w:eastAsia="仿宋_GB2312"/>
                <w:sz w:val="20"/>
              </w:rPr>
              <w:t>(CW&gt;50MHz)</w:t>
            </w:r>
            <w:r>
              <w:rPr>
                <w:rFonts w:ascii="仿宋_GB2312" w:hAnsi="仿宋_GB2312" w:cs="仿宋_GB2312" w:eastAsia="仿宋_GB2312"/>
                <w:sz w:val="20"/>
              </w:rPr>
              <w:t>：</w:t>
            </w:r>
            <w:r>
              <w:rPr>
                <w:rFonts w:ascii="仿宋_GB2312" w:hAnsi="仿宋_GB2312" w:cs="仿宋_GB2312" w:eastAsia="仿宋_GB2312"/>
                <w:sz w:val="20"/>
              </w:rPr>
              <w:t>38mV/m to 11V/m</w:t>
            </w:r>
            <w:r>
              <w:rPr>
                <w:rFonts w:ascii="仿宋_GB2312" w:hAnsi="仿宋_GB2312" w:cs="仿宋_GB2312" w:eastAsia="仿宋_GB2312"/>
                <w:sz w:val="21"/>
              </w:rPr>
              <w:t xml:space="preserve">  </w:t>
            </w:r>
            <w:r>
              <w:rPr>
                <w:rFonts w:ascii="仿宋_GB2312" w:hAnsi="仿宋_GB2312" w:cs="仿宋_GB2312" w:eastAsia="仿宋_GB2312"/>
                <w:sz w:val="20"/>
              </w:rPr>
              <w:t>3.8uW/m</w:t>
            </w:r>
            <w:r>
              <w:rPr>
                <w:rFonts w:ascii="仿宋_GB2312" w:hAnsi="仿宋_GB2312" w:cs="仿宋_GB2312" w:eastAsia="仿宋_GB2312"/>
                <w:sz w:val="20"/>
                <w:vertAlign w:val="superscript"/>
              </w:rPr>
              <w:t>2</w:t>
            </w:r>
            <w:r>
              <w:rPr>
                <w:rFonts w:ascii="仿宋_GB2312" w:hAnsi="仿宋_GB2312" w:cs="仿宋_GB2312" w:eastAsia="仿宋_GB2312"/>
                <w:sz w:val="20"/>
              </w:rPr>
              <w:t xml:space="preserve"> </w:t>
            </w:r>
            <w:r>
              <w:rPr>
                <w:rFonts w:ascii="仿宋_GB2312" w:hAnsi="仿宋_GB2312" w:cs="仿宋_GB2312" w:eastAsia="仿宋_GB2312"/>
                <w:sz w:val="20"/>
              </w:rPr>
              <w:t>to 320mW/m</w:t>
            </w:r>
            <w:r>
              <w:rPr>
                <w:rFonts w:ascii="仿宋_GB2312" w:hAnsi="仿宋_GB2312" w:cs="仿宋_GB2312" w:eastAsia="仿宋_GB2312"/>
                <w:sz w:val="20"/>
                <w:vertAlign w:val="superscript"/>
              </w:rPr>
              <w:t>2</w:t>
            </w:r>
            <w:r>
              <w:rPr>
                <w:rFonts w:ascii="仿宋_GB2312" w:hAnsi="仿宋_GB2312" w:cs="仿宋_GB2312" w:eastAsia="仿宋_GB2312"/>
                <w:sz w:val="20"/>
              </w:rPr>
              <w:t xml:space="preserve"> </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14、</w:t>
            </w:r>
            <w:r>
              <w:rPr>
                <w:rFonts w:ascii="仿宋_GB2312" w:hAnsi="仿宋_GB2312" w:cs="仿宋_GB2312" w:eastAsia="仿宋_GB2312"/>
                <w:sz w:val="20"/>
              </w:rPr>
              <w:t>保温系统</w:t>
            </w:r>
            <w:r>
              <w:rPr>
                <w:rFonts w:ascii="仿宋_GB2312" w:hAnsi="仿宋_GB2312" w:cs="仿宋_GB2312" w:eastAsia="仿宋_GB2312"/>
                <w:sz w:val="20"/>
              </w:rPr>
              <w:t>：</w:t>
            </w:r>
            <w:r>
              <w:rPr>
                <w:rFonts w:ascii="仿宋_GB2312" w:hAnsi="仿宋_GB2312" w:cs="仿宋_GB2312" w:eastAsia="仿宋_GB2312"/>
                <w:sz w:val="20"/>
              </w:rPr>
              <w:t>1900</w:t>
            </w:r>
            <w:r>
              <w:rPr>
                <w:rFonts w:ascii="仿宋_GB2312" w:hAnsi="仿宋_GB2312" w:cs="仿宋_GB2312" w:eastAsia="仿宋_GB2312"/>
                <w:sz w:val="20"/>
              </w:rPr>
              <w:t>℃</w:t>
            </w:r>
            <w:r>
              <w:rPr>
                <w:rFonts w:ascii="仿宋_GB2312" w:hAnsi="仿宋_GB2312" w:cs="仿宋_GB2312" w:eastAsia="仿宋_GB2312"/>
                <w:sz w:val="20"/>
              </w:rPr>
              <w:t>保温模块</w:t>
            </w:r>
            <w:r>
              <w:rPr>
                <w:rFonts w:ascii="仿宋_GB2312" w:hAnsi="仿宋_GB2312" w:cs="仿宋_GB2312" w:eastAsia="仿宋_GB2312"/>
                <w:sz w:val="20"/>
              </w:rPr>
              <w:t>2套</w:t>
            </w:r>
            <w:r>
              <w:rPr>
                <w:rFonts w:ascii="仿宋_GB2312" w:hAnsi="仿宋_GB2312" w:cs="仿宋_GB2312" w:eastAsia="仿宋_GB2312"/>
                <w:sz w:val="20"/>
              </w:rPr>
              <w:t>，</w:t>
            </w:r>
            <w:r>
              <w:rPr>
                <w:rFonts w:ascii="仿宋_GB2312" w:hAnsi="仿宋_GB2312" w:cs="仿宋_GB2312" w:eastAsia="仿宋_GB2312"/>
                <w:sz w:val="20"/>
              </w:rPr>
              <w:t>刚玉坩埚</w:t>
            </w:r>
            <w:r>
              <w:rPr>
                <w:rFonts w:ascii="仿宋_GB2312" w:hAnsi="仿宋_GB2312" w:cs="仿宋_GB2312" w:eastAsia="仿宋_GB2312"/>
                <w:sz w:val="20"/>
              </w:rPr>
              <w:t>(</w:t>
            </w:r>
            <w:r>
              <w:rPr>
                <w:rFonts w:ascii="仿宋_GB2312" w:hAnsi="仿宋_GB2312" w:cs="仿宋_GB2312" w:eastAsia="仿宋_GB2312"/>
                <w:sz w:val="20"/>
              </w:rPr>
              <w:t>φ50*50mm</w:t>
            </w:r>
            <w:r>
              <w:rPr>
                <w:rFonts w:ascii="仿宋_GB2312" w:hAnsi="仿宋_GB2312" w:cs="仿宋_GB2312" w:eastAsia="仿宋_GB2312"/>
                <w:sz w:val="20"/>
              </w:rPr>
              <w:t>)4个，微波专用坩埚(</w:t>
            </w:r>
            <w:r>
              <w:rPr>
                <w:rFonts w:ascii="仿宋_GB2312" w:hAnsi="仿宋_GB2312" w:cs="仿宋_GB2312" w:eastAsia="仿宋_GB2312"/>
                <w:sz w:val="20"/>
              </w:rPr>
              <w:t>φ50*50mm</w:t>
            </w:r>
            <w:r>
              <w:rPr>
                <w:rFonts w:ascii="仿宋_GB2312" w:hAnsi="仿宋_GB2312" w:cs="仿宋_GB2312" w:eastAsia="仿宋_GB2312"/>
                <w:sz w:val="20"/>
              </w:rPr>
              <w:t>)4个，微波专用承烧板(</w:t>
            </w:r>
            <w:r>
              <w:rPr>
                <w:rFonts w:ascii="仿宋_GB2312" w:hAnsi="仿宋_GB2312" w:cs="仿宋_GB2312" w:eastAsia="仿宋_GB2312"/>
                <w:sz w:val="20"/>
              </w:rPr>
              <w:t>105*75*5mm</w:t>
            </w:r>
            <w:r>
              <w:rPr>
                <w:rFonts w:ascii="仿宋_GB2312" w:hAnsi="仿宋_GB2312" w:cs="仿宋_GB2312" w:eastAsia="仿宋_GB2312"/>
                <w:sz w:val="20"/>
              </w:rPr>
              <w:t>)1套</w:t>
            </w:r>
            <w:r>
              <w:rPr>
                <w:rFonts w:ascii="仿宋_GB2312" w:hAnsi="仿宋_GB2312" w:cs="仿宋_GB2312" w:eastAsia="仿宋_GB2312"/>
                <w:sz w:val="20"/>
              </w:rPr>
              <w:t>；</w:t>
            </w:r>
          </w:p>
          <w:p>
            <w:pPr>
              <w:pStyle w:val="null3"/>
            </w:pPr>
            <w:r>
              <w:rPr>
                <w:rFonts w:ascii="仿宋_GB2312" w:hAnsi="仿宋_GB2312" w:cs="仿宋_GB2312" w:eastAsia="仿宋_GB2312"/>
                <w:sz w:val="20"/>
              </w:rPr>
              <w:t>15、</w:t>
            </w:r>
            <w:r>
              <w:rPr>
                <w:rFonts w:ascii="仿宋_GB2312" w:hAnsi="仿宋_GB2312" w:cs="仿宋_GB2312" w:eastAsia="仿宋_GB2312"/>
                <w:sz w:val="20"/>
              </w:rPr>
              <w:t>配套</w:t>
            </w:r>
            <w:r>
              <w:rPr>
                <w:rFonts w:ascii="仿宋_GB2312" w:hAnsi="仿宋_GB2312" w:cs="仿宋_GB2312" w:eastAsia="仿宋_GB2312"/>
                <w:sz w:val="20"/>
              </w:rPr>
              <w:t>：</w:t>
            </w:r>
            <w:r>
              <w:rPr>
                <w:rFonts w:ascii="仿宋_GB2312" w:hAnsi="仿宋_GB2312" w:cs="仿宋_GB2312" w:eastAsia="仿宋_GB2312"/>
                <w:sz w:val="20"/>
              </w:rPr>
              <w:t>304不锈钢双层炉体和炉门1套，水冷微波系统1套，</w:t>
            </w:r>
            <w:r>
              <w:rPr>
                <w:rFonts w:ascii="仿宋_GB2312" w:hAnsi="仿宋_GB2312" w:cs="仿宋_GB2312" w:eastAsia="仿宋_GB2312"/>
                <w:sz w:val="20"/>
              </w:rPr>
              <w:t>操作手套</w:t>
            </w:r>
            <w:r>
              <w:rPr>
                <w:rFonts w:ascii="仿宋_GB2312" w:hAnsi="仿宋_GB2312" w:cs="仿宋_GB2312" w:eastAsia="仿宋_GB2312"/>
                <w:sz w:val="20"/>
              </w:rPr>
              <w:t>1套，坩埚钳1个</w:t>
            </w:r>
            <w:r>
              <w:rPr>
                <w:rFonts w:ascii="仿宋_GB2312" w:hAnsi="仿宋_GB2312" w:cs="仿宋_GB2312" w:eastAsia="仿宋_GB2312"/>
                <w:sz w:val="20"/>
              </w:rPr>
              <w:t>，</w:t>
            </w:r>
            <w:r>
              <w:rPr>
                <w:rFonts w:ascii="仿宋_GB2312" w:hAnsi="仿宋_GB2312" w:cs="仿宋_GB2312" w:eastAsia="仿宋_GB2312"/>
                <w:sz w:val="20"/>
              </w:rPr>
              <w:t>流量计</w:t>
            </w:r>
            <w:r>
              <w:rPr>
                <w:rFonts w:ascii="仿宋_GB2312" w:hAnsi="仿宋_GB2312" w:cs="仿宋_GB2312" w:eastAsia="仿宋_GB2312"/>
                <w:sz w:val="20"/>
              </w:rPr>
              <w:t>(</w:t>
            </w:r>
            <w:r>
              <w:rPr>
                <w:rFonts w:ascii="仿宋_GB2312" w:hAnsi="仿宋_GB2312" w:cs="仿宋_GB2312" w:eastAsia="仿宋_GB2312"/>
                <w:sz w:val="20"/>
              </w:rPr>
              <w:t>25</w:t>
            </w:r>
            <w:r>
              <w:rPr>
                <w:rFonts w:ascii="仿宋_GB2312" w:hAnsi="仿宋_GB2312" w:cs="仿宋_GB2312" w:eastAsia="仿宋_GB2312"/>
                <w:sz w:val="20"/>
              </w:rPr>
              <w:t>～</w:t>
            </w:r>
            <w:r>
              <w:rPr>
                <w:rFonts w:ascii="仿宋_GB2312" w:hAnsi="仿宋_GB2312" w:cs="仿宋_GB2312" w:eastAsia="仿宋_GB2312"/>
                <w:sz w:val="20"/>
              </w:rPr>
              <w:t>250ml/min,100</w:t>
            </w:r>
            <w:r>
              <w:rPr>
                <w:rFonts w:ascii="仿宋_GB2312" w:hAnsi="仿宋_GB2312" w:cs="仿宋_GB2312" w:eastAsia="仿宋_GB2312"/>
                <w:sz w:val="20"/>
              </w:rPr>
              <w:t>～</w:t>
            </w:r>
            <w:r>
              <w:rPr>
                <w:rFonts w:ascii="仿宋_GB2312" w:hAnsi="仿宋_GB2312" w:cs="仿宋_GB2312" w:eastAsia="仿宋_GB2312"/>
                <w:sz w:val="20"/>
              </w:rPr>
              <w:t>1000ml/min</w:t>
            </w:r>
            <w:r>
              <w:rPr>
                <w:rFonts w:ascii="仿宋_GB2312" w:hAnsi="仿宋_GB2312" w:cs="仿宋_GB2312" w:eastAsia="仿宋_GB2312"/>
                <w:sz w:val="20"/>
              </w:rPr>
              <w:t>)2只，压力计(</w:t>
            </w:r>
            <w:r>
              <w:rPr>
                <w:rFonts w:ascii="仿宋_GB2312" w:hAnsi="仿宋_GB2312" w:cs="仿宋_GB2312" w:eastAsia="仿宋_GB2312"/>
                <w:sz w:val="20"/>
              </w:rPr>
              <w:t>测量量程：</w:t>
            </w:r>
            <w:r>
              <w:rPr>
                <w:rFonts w:ascii="仿宋_GB2312" w:hAnsi="仿宋_GB2312" w:cs="仿宋_GB2312" w:eastAsia="仿宋_GB2312"/>
                <w:sz w:val="20"/>
              </w:rPr>
              <w:t>-0.1Mpa</w:t>
            </w:r>
            <w:r>
              <w:rPr>
                <w:rFonts w:ascii="仿宋_GB2312" w:hAnsi="仿宋_GB2312" w:cs="仿宋_GB2312" w:eastAsia="仿宋_GB2312"/>
                <w:sz w:val="20"/>
              </w:rPr>
              <w:t>～</w:t>
            </w:r>
            <w:r>
              <w:rPr>
                <w:rFonts w:ascii="仿宋_GB2312" w:hAnsi="仿宋_GB2312" w:cs="仿宋_GB2312" w:eastAsia="仿宋_GB2312"/>
                <w:sz w:val="20"/>
              </w:rPr>
              <w:t>0.02Mpa，输出电压：0</w:t>
            </w:r>
            <w:r>
              <w:rPr>
                <w:rFonts w:ascii="仿宋_GB2312" w:hAnsi="仿宋_GB2312" w:cs="仿宋_GB2312" w:eastAsia="仿宋_GB2312"/>
                <w:sz w:val="20"/>
              </w:rPr>
              <w:t>～</w:t>
            </w:r>
            <w:r>
              <w:rPr>
                <w:rFonts w:ascii="仿宋_GB2312" w:hAnsi="仿宋_GB2312" w:cs="仿宋_GB2312" w:eastAsia="仿宋_GB2312"/>
                <w:sz w:val="20"/>
              </w:rPr>
              <w:t>10V，精度：0.2%</w:t>
            </w:r>
            <w:r>
              <w:rPr>
                <w:rFonts w:ascii="仿宋_GB2312" w:hAnsi="仿宋_GB2312" w:cs="仿宋_GB2312" w:eastAsia="仿宋_GB2312"/>
                <w:sz w:val="20"/>
              </w:rPr>
              <w:t>)1个，混气气路(</w:t>
            </w:r>
            <w:r>
              <w:rPr>
                <w:rFonts w:ascii="仿宋_GB2312" w:hAnsi="仿宋_GB2312" w:cs="仿宋_GB2312" w:eastAsia="仿宋_GB2312"/>
                <w:sz w:val="20"/>
              </w:rPr>
              <w:t>不锈钢混气罐</w:t>
            </w:r>
            <w:r>
              <w:rPr>
                <w:rFonts w:ascii="仿宋_GB2312" w:hAnsi="仿宋_GB2312" w:cs="仿宋_GB2312" w:eastAsia="仿宋_GB2312"/>
                <w:sz w:val="20"/>
              </w:rPr>
              <w:t>)1个</w:t>
            </w:r>
            <w:r>
              <w:rPr>
                <w:rFonts w:ascii="仿宋_GB2312" w:hAnsi="仿宋_GB2312" w:cs="仿宋_GB2312" w:eastAsia="仿宋_GB2312"/>
                <w:sz w:val="20"/>
              </w:rPr>
              <w:t>，</w:t>
            </w:r>
            <w:r>
              <w:rPr>
                <w:rFonts w:ascii="仿宋_GB2312" w:hAnsi="仿宋_GB2312" w:cs="仿宋_GB2312" w:eastAsia="仿宋_GB2312"/>
                <w:sz w:val="20"/>
              </w:rPr>
              <w:t>分子泵机组</w:t>
            </w:r>
            <w:r>
              <w:rPr>
                <w:rFonts w:ascii="仿宋_GB2312" w:hAnsi="仿宋_GB2312" w:cs="仿宋_GB2312" w:eastAsia="仿宋_GB2312"/>
                <w:sz w:val="20"/>
              </w:rPr>
              <w:t>1套，高真空挡板阀5个、空压机1台。</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标的名称：铁电材料综合测试系统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0"/>
                <w:b/>
              </w:rPr>
              <w:t>1、主机：</w:t>
            </w:r>
          </w:p>
          <w:p>
            <w:pPr>
              <w:pStyle w:val="null3"/>
              <w:jc w:val="left"/>
            </w:pPr>
            <w:r>
              <w:rPr>
                <w:rFonts w:ascii="仿宋_GB2312" w:hAnsi="仿宋_GB2312" w:cs="仿宋_GB2312" w:eastAsia="仿宋_GB2312"/>
                <w:sz w:val="20"/>
              </w:rPr>
              <w:t>1.1 可用于各种铁电/压电/热释电薄膜、块体材料性能测试，功能需包括：动态电滞回线测试；静态电滞回线测试；脉冲测试；漏电流测试；疲劳测试；保持力测试；C-V测试；损耗曲线；初始电滞回线、电滞IV 曲线、偏场电滞回线；自动变温测试；</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1.2 回线测试频率范围0.01</w:t>
            </w:r>
            <w:r>
              <w:rPr>
                <w:rFonts w:ascii="仿宋_GB2312" w:hAnsi="仿宋_GB2312" w:cs="仿宋_GB2312" w:eastAsia="仿宋_GB2312"/>
                <w:sz w:val="20"/>
              </w:rPr>
              <w:t>～</w:t>
            </w:r>
            <w:r>
              <w:rPr>
                <w:rFonts w:ascii="仿宋_GB2312" w:hAnsi="仿宋_GB2312" w:cs="仿宋_GB2312" w:eastAsia="仿宋_GB2312"/>
                <w:sz w:val="20"/>
              </w:rPr>
              <w:t>500kHz</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1.3 回线测试电压≥100V；</w:t>
            </w:r>
          </w:p>
          <w:p>
            <w:pPr>
              <w:pStyle w:val="null3"/>
              <w:jc w:val="left"/>
            </w:pPr>
            <w:r>
              <w:rPr>
                <w:rFonts w:ascii="仿宋_GB2312" w:hAnsi="仿宋_GB2312" w:cs="仿宋_GB2312" w:eastAsia="仿宋_GB2312"/>
                <w:sz w:val="20"/>
              </w:rPr>
              <w:t>1.4 回线测试电流范围10pA</w:t>
            </w:r>
            <w:r>
              <w:rPr>
                <w:rFonts w:ascii="仿宋_GB2312" w:hAnsi="仿宋_GB2312" w:cs="仿宋_GB2312" w:eastAsia="仿宋_GB2312"/>
                <w:sz w:val="20"/>
              </w:rPr>
              <w:t>～</w:t>
            </w:r>
            <w:r>
              <w:rPr>
                <w:rFonts w:ascii="仿宋_GB2312" w:hAnsi="仿宋_GB2312" w:cs="仿宋_GB2312" w:eastAsia="仿宋_GB2312"/>
                <w:sz w:val="20"/>
              </w:rPr>
              <w:t>100mA；</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1.5 具备样品击穿高压自动切断功能。</w:t>
            </w:r>
            <w:r>
              <w:rPr>
                <w:rFonts w:ascii="仿宋_GB2312" w:hAnsi="仿宋_GB2312" w:cs="仿宋_GB2312" w:eastAsia="仿宋_GB2312"/>
                <w:sz w:val="21"/>
              </w:rPr>
              <w:t xml:space="preserve"> </w:t>
            </w:r>
          </w:p>
          <w:p>
            <w:pPr>
              <w:pStyle w:val="null3"/>
              <w:jc w:val="left"/>
            </w:pPr>
            <w:r>
              <w:rPr>
                <w:rFonts w:ascii="仿宋_GB2312" w:hAnsi="仿宋_GB2312" w:cs="仿宋_GB2312" w:eastAsia="仿宋_GB2312"/>
                <w:sz w:val="20"/>
                <w:b/>
              </w:rPr>
              <w:t>2、高压放大器：</w:t>
            </w:r>
          </w:p>
          <w:p>
            <w:pPr>
              <w:pStyle w:val="null3"/>
              <w:jc w:val="left"/>
            </w:pPr>
            <w:r>
              <w:rPr>
                <w:rFonts w:ascii="仿宋_GB2312" w:hAnsi="仿宋_GB2312" w:cs="仿宋_GB2312" w:eastAsia="仿宋_GB2312"/>
                <w:sz w:val="20"/>
              </w:rPr>
              <w:t>2.1 输出电压范围：0～±10kV DC或AC</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2.2 最大输出电流范围≥2mA</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2.3 最大信号带宽（-3dB）≥1kHz</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2.4 摆率≥200V/μs。</w:t>
            </w:r>
          </w:p>
          <w:p>
            <w:pPr>
              <w:pStyle w:val="null3"/>
              <w:jc w:val="left"/>
            </w:pPr>
            <w:r>
              <w:rPr>
                <w:rFonts w:ascii="仿宋_GB2312" w:hAnsi="仿宋_GB2312" w:cs="仿宋_GB2312" w:eastAsia="仿宋_GB2312"/>
                <w:sz w:val="20"/>
                <w:b/>
              </w:rPr>
              <w:t>3、低压放大器：</w:t>
            </w:r>
          </w:p>
          <w:p>
            <w:pPr>
              <w:pStyle w:val="null3"/>
              <w:jc w:val="left"/>
            </w:pPr>
            <w:r>
              <w:rPr>
                <w:rFonts w:ascii="仿宋_GB2312" w:hAnsi="仿宋_GB2312" w:cs="仿宋_GB2312" w:eastAsia="仿宋_GB2312"/>
                <w:sz w:val="20"/>
              </w:rPr>
              <w:t>3.1 输出电压范围：0～±800V DC或AC</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3.2 输出电流≥30mA</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3.3 最大信号带宽（-3dB）≥100kHz</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3.4 摆率≥500V/μs。</w:t>
            </w:r>
          </w:p>
          <w:p>
            <w:pPr>
              <w:pStyle w:val="null3"/>
              <w:jc w:val="left"/>
            </w:pPr>
            <w:r>
              <w:rPr>
                <w:rFonts w:ascii="仿宋_GB2312" w:hAnsi="仿宋_GB2312" w:cs="仿宋_GB2312" w:eastAsia="仿宋_GB2312"/>
                <w:sz w:val="20"/>
                <w:b/>
              </w:rPr>
              <w:t>4、激光干涉仪：</w:t>
            </w:r>
          </w:p>
          <w:p>
            <w:pPr>
              <w:pStyle w:val="null3"/>
              <w:jc w:val="left"/>
            </w:pPr>
            <w:r>
              <w:rPr>
                <w:rFonts w:ascii="仿宋_GB2312" w:hAnsi="仿宋_GB2312" w:cs="仿宋_GB2312" w:eastAsia="仿宋_GB2312"/>
                <w:sz w:val="20"/>
              </w:rPr>
              <w:t>4.1 HeNe激光器，波长632.8 nm，单通道光学测头</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4.2 控制器和位移解调器，分辨率≤0.3nm</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4.3 被测物体振动频率范围：0～5MHz。</w:t>
            </w:r>
          </w:p>
          <w:p>
            <w:pPr>
              <w:pStyle w:val="null3"/>
              <w:jc w:val="left"/>
            </w:pPr>
            <w:r>
              <w:rPr>
                <w:rFonts w:ascii="仿宋_GB2312" w:hAnsi="仿宋_GB2312" w:cs="仿宋_GB2312" w:eastAsia="仿宋_GB2312"/>
                <w:sz w:val="20"/>
                <w:b/>
              </w:rPr>
              <w:t>5、高温样品盒：</w:t>
            </w:r>
          </w:p>
          <w:p>
            <w:pPr>
              <w:pStyle w:val="null3"/>
              <w:jc w:val="left"/>
            </w:pPr>
            <w:r>
              <w:rPr>
                <w:rFonts w:ascii="仿宋_GB2312" w:hAnsi="仿宋_GB2312" w:cs="仿宋_GB2312" w:eastAsia="仿宋_GB2312"/>
                <w:sz w:val="20"/>
              </w:rPr>
              <w:t>5.1 尺寸：适用于直径3mm～20mm，厚度0.1mm～5mm的样品</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5.2 耐压≥±10kV</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5.3 温度范围：RT～200℃</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5.4 可与激光干涉仪配套使用。</w:t>
            </w:r>
          </w:p>
          <w:p>
            <w:pPr>
              <w:pStyle w:val="null3"/>
              <w:jc w:val="left"/>
            </w:pPr>
            <w:r>
              <w:rPr>
                <w:rFonts w:ascii="仿宋_GB2312" w:hAnsi="仿宋_GB2312" w:cs="仿宋_GB2312" w:eastAsia="仿宋_GB2312"/>
                <w:sz w:val="20"/>
                <w:b/>
              </w:rPr>
              <w:t>6、冷热探针台：</w:t>
            </w:r>
          </w:p>
          <w:p>
            <w:pPr>
              <w:pStyle w:val="null3"/>
              <w:jc w:val="left"/>
            </w:pPr>
            <w:r>
              <w:rPr>
                <w:rFonts w:ascii="仿宋_GB2312" w:hAnsi="仿宋_GB2312" w:cs="仿宋_GB2312" w:eastAsia="仿宋_GB2312"/>
                <w:sz w:val="20"/>
              </w:rPr>
              <w:t>6.1 含3根探针，1根耐压≥±10kV高压探针和2根耐压≥±800V低压探针</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6.2</w:t>
            </w:r>
            <w:r>
              <w:rPr>
                <w:rFonts w:ascii="仿宋_GB2312" w:hAnsi="仿宋_GB2312" w:cs="仿宋_GB2312" w:eastAsia="仿宋_GB2312"/>
                <w:sz w:val="21"/>
              </w:rPr>
              <w:t xml:space="preserve"> </w:t>
            </w:r>
            <w:r>
              <w:rPr>
                <w:rFonts w:ascii="仿宋_GB2312" w:hAnsi="仿宋_GB2312" w:cs="仿宋_GB2312" w:eastAsia="仿宋_GB2312"/>
                <w:sz w:val="20"/>
              </w:rPr>
              <w:t>温度范围：</w:t>
            </w:r>
            <w:r>
              <w:rPr>
                <w:rFonts w:ascii="仿宋_GB2312" w:hAnsi="仿宋_GB2312" w:cs="仿宋_GB2312" w:eastAsia="仿宋_GB2312"/>
                <w:sz w:val="20"/>
              </w:rPr>
              <w:t>-180 ℃ ～ 600 ℃，温度稳定度：±0.2 ℃</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6.3 控温方式：升降温速率：0～30 ℃/min</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6.4 腔室：可通气氛、可抽真空</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6.5</w:t>
            </w:r>
            <w:r>
              <w:rPr>
                <w:rFonts w:ascii="仿宋_GB2312" w:hAnsi="仿宋_GB2312" w:cs="仿宋_GB2312" w:eastAsia="仿宋_GB2312"/>
                <w:sz w:val="21"/>
              </w:rPr>
              <w:t xml:space="preserve"> </w:t>
            </w:r>
            <w:r>
              <w:rPr>
                <w:rFonts w:ascii="仿宋_GB2312" w:hAnsi="仿宋_GB2312" w:cs="仿宋_GB2312" w:eastAsia="仿宋_GB2312"/>
                <w:sz w:val="20"/>
              </w:rPr>
              <w:t>配套真空泵技术指标：极限真空度</w:t>
            </w:r>
            <w:r>
              <w:rPr>
                <w:rFonts w:ascii="仿宋_GB2312" w:hAnsi="仿宋_GB2312" w:cs="仿宋_GB2312" w:eastAsia="仿宋_GB2312"/>
                <w:sz w:val="20"/>
              </w:rPr>
              <w:t>≤</w:t>
            </w:r>
            <w:r>
              <w:rPr>
                <w:rFonts w:ascii="仿宋_GB2312" w:hAnsi="仿宋_GB2312" w:cs="仿宋_GB2312" w:eastAsia="仿宋_GB2312"/>
                <w:sz w:val="20"/>
              </w:rPr>
              <w:t>200Pa</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6.6 配备石英液体样品盒：直径30mm，高8mm，块体陶瓷和有机膜高压测试用</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6.7 配备温控器，配套液氮罐（容量：5升）及液氮自动抽取/补给装置，可实现液氮的自动抽取与补给，并通过温控器自动控制平台制冷量与温度。</w:t>
            </w:r>
          </w:p>
          <w:p>
            <w:pPr>
              <w:pStyle w:val="null3"/>
              <w:jc w:val="left"/>
            </w:pPr>
            <w:r>
              <w:rPr>
                <w:rFonts w:ascii="仿宋_GB2312" w:hAnsi="仿宋_GB2312" w:cs="仿宋_GB2312" w:eastAsia="仿宋_GB2312"/>
                <w:sz w:val="20"/>
                <w:b/>
              </w:rPr>
              <w:t>7、数据采集及处理系统：</w:t>
            </w:r>
          </w:p>
          <w:p>
            <w:pPr>
              <w:pStyle w:val="null3"/>
              <w:jc w:val="left"/>
            </w:pPr>
            <w:r>
              <w:rPr>
                <w:rFonts w:ascii="仿宋_GB2312" w:hAnsi="仿宋_GB2312" w:cs="仿宋_GB2312" w:eastAsia="仿宋_GB2312"/>
                <w:sz w:val="20"/>
              </w:rPr>
              <w:t>7.1 集</w:t>
            </w:r>
            <w:r>
              <w:rPr>
                <w:rFonts w:ascii="仿宋_GB2312" w:hAnsi="仿宋_GB2312" w:cs="仿宋_GB2312" w:eastAsia="仿宋_GB2312"/>
                <w:sz w:val="20"/>
              </w:rPr>
              <w:t>成铁电</w:t>
            </w:r>
            <w:r>
              <w:rPr>
                <w:rFonts w:ascii="仿宋_GB2312" w:hAnsi="仿宋_GB2312" w:cs="仿宋_GB2312" w:eastAsia="仿宋_GB2312"/>
                <w:sz w:val="20"/>
              </w:rPr>
              <w:t>/压电材料性能测试专用模块，支持电滞回线、漏电流、压电系数等关键参数的自动化采集与分析；</w:t>
            </w:r>
          </w:p>
          <w:p>
            <w:pPr>
              <w:pStyle w:val="null3"/>
              <w:jc w:val="left"/>
            </w:pPr>
            <w:r>
              <w:rPr>
                <w:rFonts w:ascii="仿宋_GB2312" w:hAnsi="仿宋_GB2312" w:cs="仿宋_GB2312" w:eastAsia="仿宋_GB2312"/>
                <w:sz w:val="20"/>
              </w:rPr>
              <w:t>7.</w:t>
            </w:r>
            <w:r>
              <w:rPr>
                <w:rFonts w:ascii="仿宋_GB2312" w:hAnsi="仿宋_GB2312" w:cs="仿宋_GB2312" w:eastAsia="仿宋_GB2312"/>
                <w:sz w:val="20"/>
              </w:rPr>
              <w:t xml:space="preserve">2 </w:t>
            </w:r>
            <w:r>
              <w:rPr>
                <w:rFonts w:ascii="仿宋_GB2312" w:hAnsi="仿宋_GB2312" w:cs="仿宋_GB2312" w:eastAsia="仿宋_GB2312"/>
                <w:sz w:val="20"/>
              </w:rPr>
              <w:t>内嵌自动控温控制程序，可实现与温控系统的联动，完成设定温度区间内的连续测试与数据同步记录；</w:t>
            </w:r>
          </w:p>
          <w:p>
            <w:pPr>
              <w:pStyle w:val="null3"/>
            </w:pPr>
            <w:r>
              <w:rPr>
                <w:rFonts w:ascii="仿宋_GB2312" w:hAnsi="仿宋_GB2312" w:cs="仿宋_GB2312" w:eastAsia="仿宋_GB2312"/>
                <w:sz w:val="20"/>
              </w:rPr>
              <w:t>7.</w:t>
            </w:r>
            <w:r>
              <w:rPr>
                <w:rFonts w:ascii="仿宋_GB2312" w:hAnsi="仿宋_GB2312" w:cs="仿宋_GB2312" w:eastAsia="仿宋_GB2312"/>
                <w:sz w:val="20"/>
              </w:rPr>
              <w:t xml:space="preserve">3 </w:t>
            </w:r>
            <w:r>
              <w:rPr>
                <w:rFonts w:ascii="仿宋_GB2312" w:hAnsi="仿宋_GB2312" w:cs="仿宋_GB2312" w:eastAsia="仿宋_GB2312"/>
                <w:sz w:val="20"/>
              </w:rPr>
              <w:t>具备数据实时显示、自动保存、数据导入导出功能。</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接采购人书面通知后90个日历日完成供货</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接采购人书面通知后150个日历日完成供货</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西安理工大学金花校区（采购人指定地点）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西安理工大学金花校区（采购人指定地点）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进度款，【合同签订后5个工作日内，甲方向乙方支付合同总价的40%。（以此为准）】，达到付款条件起30个工作日内，支付合同总金额的40.0%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进度款，【设备运抵甲方指定地点并经甲方初步查验无误后7个工作日内，甲方向乙方预付合同总价的30%。（以此为准）】，达到付款条件起30个工作日内，支付合同总金额的30.0%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设备安装调试完成，经甲方验收合格并签署《验收合格报告》后，乙方开具全额合法有效的增值税专用发票，甲方7个工作日内向乙方支付合同总价的30%。（以此为准）】，达到付款条件起30个工作日内，支付合同总金额的30.0%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进度款，【合同签订后5个工作日内，甲方向乙方支付合同总价的40%。（以此为准）】，达到付款条件起30个工作日内，支付合同总金额的40.0%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设备运抵甲方指定地点并经甲方初步查验无误后，乙方按照剩余合同额向甲方开具不可撤销、见索即付的银行保函，甲方收到银行保函正本后5个工作日内向乙方支付等额款项；设备安装调试完成，经甲方验收合格并签署《验收合格报告》后，乙方开具增值税专用发票，甲方5个工作日内向乙方退还不可撤销、见索即付的银行保函正本。（以此为准）】，达到付款条件起30个工作日内，支付合同总金额的60.0%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（1）验收条款 中标供应商货物经过双方检验认可后，签署验收报告，产品保修期自验收合格之日起算，由中标供应商提供产品保修文件。 当满足以下条件时，采购人才向中标供应商签发货物验收报告： ①中标供应商已按照合同规定提供了全部产品及完整的技术资料。 ②货物符合招标文件和投标文件技术规格要求，性能满足要求。 ③货物具备产品合格证。 （2）验收依据 招标文件、投标文件及技术澄清文件； （3）验收流程 ①到货初检（采购人、中标人共同参与）： 检查外包装完整性、防伪标识、运输损伤情况； 核对货物型号、数量、规格是否与合同一致； 检查随机文件（合格证、说明书、保修卡等）。 ②安装调试验收 提供并且安排工程技术人员免费进行安装调试。 ③性能测试验收（关键指标实测） 关键参数与投标文件承诺值对比。 ④最终验收 签署《验收报告》，产品保修期自验收合格之日起算，由中标人提供产品保修文件。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（1）验收条款 中标供应商货物经过双方检验认可后，签署验收报告，产品保修期自验收合格之日起算，由中标供应商提供产品保修文件。 当满足以下条件时，采购人才向中标供应商签发货物验收报告： ①中标供应商已按照合同规定提供了全部产品及完整的技术资料。 ②货物符合招标文件和投标文件技术规格要求，性能满足要求。 ④货物具备产品合格证。 （2）验收依据 招标文件、投标文件及技术澄清文件； （3）验收流程 ①到货初检（采购人、中标人共同参与）： 检查外包装完整性、防伪标识、运输损伤情况； 核对货物型号、数量、规格是否与合同一致； 检查随机文件（合格证、说明书、保修卡等）。 ②安装调试验收 设备安装符合GB 50231-2009《机械设备安装工程施工及验收通用规范》； 调试记录完整。 ③性能测试验收（关键指标实测） 关键参数与投标文件承诺值对比（允许±3%偏差）。 ④最终验收 签署《验收报告》，产品保修期自验收合格之日起算，由中标人提供产品保修文件。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（1）包装运输要求 包装标准：中标人提供产品及相关快递服务的包装要求，按照《商品包装政府采购需求标准（试行）》、《快递包装政府采购需求标准（试行）》执行，确保防潮、防震、防锈蚀； （2）运输方式：中标人自主选择，须购买全程运输保险，保证按期交付。不得断货，因断货造成的损失由中标人负责赔偿； （3）运输责任：运输由中标人负责，运杂费已包含在合同总价内。包括从货物供应地点运送至交付地点所含的运输费、装卸费、仓储费、保险费等； （4）存放与保管：货物到达采购人指定地点后，中标人应按有关技术规程和采购人要求进行存放和保管。</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（1）包装运输要求 包装标准：中标人提供产品及相关快递服务的包装要求，按照《商品包装政府采购需求标准（试行）》、《快递包装政府采购需求标准（试行）》执行，确保防潮、防震、防锈蚀； （2）运输方式：中标人自主选择，须购买全程运输保险，保证按期交付。不得断货，因断货造成的损失由中标人负责赔偿； （3）运输责任：运输由中标人负责，运杂费已包含在合同总价内。包括从货物供应地点运送至交付地点所含的运输费、装卸费、仓储费、保险费等； （4）存放与保管：货物到达采购人指定地点后，中标人应按有关技术规程和采购人要求进行存放和保管。</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1、按甲方要求开展产品软硬件操作培训。 2、质保期：自验收合格之日起 1 年。 3、质保期满后，供应商仍需提供专业维修服务。 产品保修期（三包期）：自验收合格之日起1年。 产品保修期（三包期）内，修理、更换、退货要求： （1）质量标准：中标人的产品质量应当符合国家行业规定的标准，并无任何瑕疵；中标人应按配置清单要求提供原装产品，除人为因素损坏外，对该产品实行三包（即包修、包退、包换），免费提供所有设备正常使用所需的备品备件，且中标人维修所更换的配件和备品备件均为原设备厂家生产； （2）不符约定处理：如交付品种、型号、规格不符合同约定的，由中标人负责退换，由此产生的一切费用及给采购人造成的相关损失由中标人全部承担并赔偿相应损失； （3）不能修理或调换：如不能修理或者不能调换的，按不能交货处理，因此给采购人造成的所有经济损失中标人应予全额赔偿； （4）质保服务：保修期内由中标人免费质保，采购人报修后三日内投标人必须响应，否则将依据有关法律、法规进行追偿； （5）瑕疵责任：中标人提供产品应无任何瑕疵，符合国际、国内相关标准。如在使用过程中本产品存在隐蔽瑕疵造成医疗事故而引发的纠纷，由中标人全额负责赔偿，并免费为采购人修复瑕疵或更新换代，期间产生的费用均由中标人承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产品质保： 1、按甲方要求开展产品软硬件操作培训。 2、质保期：自验收合格之日起 1 年。 3、质保期满后，供应商仍需提供专业维修服务。 产品保修期（三包期）：自验收合格之日起1年。 产品保修期（三包期）内，修理、更换、退货要求： （1）质量标准：中标人的产品质量应当符合国家行业规定的标准，并无任何瑕疵；中标人应按配置清单要求提供原装产品，除人为因素损坏外，对该产品实行三包（即包修、包退、包换），免费提供所有设备正常使用所需的备品备件，且中标人维修所更换的配件和备品备件均为原设备厂家生产； （2）不符约定处理：如交付品种、型号、规格不符合同约定的，由中标人负责退换，由此产生的一切费用及给采购人造成的相关损失由中标人全部承担并赔偿相应损失； （3）不能修理或调换：如不能修理或者不能调换的，按不能交货处理，因此给采购人造成的所有经济损失中标人应予全额赔偿； （4）质保服务：保修期内由中标人免费质保，采购人报修后三日内投标人必须响应，否则将依据有关法律、法规进行追偿； （5）瑕疵责任：中标人提供产品应无任何瑕疵，符合国际、国内相关标准。如在使用过程中本产品存在隐蔽瑕疵造成医疗事故而引发的纠纷，由中标人全额负责赔偿，并免费为采购人修复瑕疵或更新换代，期间产生的费用均由中标人承担。</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中标供应商未按合同约定的交货日期交货的，每逾期一日，向采购人支付逾期交付货物价款的1%的违约金，但不超过合同总金额的10%。中标供应商支付逾期交货违约金并不免除其交货的责任。 如中标供应商在政府采购合同规定的交货日期后10天内仍未能交货，则视为中标供应商不能交货，采购人有权解除政府采购合同，中标供应商除退还已收取的货款外，还应向采购人偿付政府采购合同总金额10%的违约金。 中标供应商所交付货物及伴随的工程或服务不符合其投标承诺，存在偷工减料、以次充好情形的，采购人要求更换一次后仍不符合约定的，采购人有权解除政府采购合同，没收履约保证金，并将有关情况上报政府采购监管部门处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中标供应商未按合同约定的交货日期交货的，每逾期一日，向采购人支付逾期交付货物价款的1%的违约金，但不超过合同总金额的10%。中标供应商支付逾期交货违约金并不免除其交货的责任。 如中标供应商在政府采购合同规定的交货日期后10天内仍未能交货，则视为中标供应商不能交货，采购人有权解除政府采购合同，中标供应商除退还已收取的货款外，还应向采购人偿付政府采购合同总金额10%的违约金。 中标供应商所交付货物及伴随的工程或服务不符合其投标承诺，存在偷工减料、以次充好情形的，采购人要求更换一次后仍不符合约定的，采购人有权解除政府采购合同，没收履约保证金，并将有关情况上报政府采购监管部门处理。</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【一】其他说明：采购包1：设备必须是全新且来源合法，并符合国家或有关行业质量标准的产品。报价包含交付、安装调试、培训、运保费。 采购包2：设备包装、运输、安装调试（含插线板、试验台等辅料）等服务包含在总价中。 【二】采购标的的安装调试及配套工程、质量保证、售后服务等要求： 采购包1： （1）安装调试要求 提供并且安排工程技术人员免费进行安装调试。 人员培训：提供相关操作人员培训资料。 （2）配套工程 中标人在发货前1个月提供设备安装条件要求，安装时中标人自备安装工具。实验室条件甲方根据安装条件要求自行完成 （3）质量保证 合同标的物自项目验收合格之日起质保期1年，在质保期内出现的质量问题，供方负责免费维修、维护或更换； （4）售后服务 响应时限：享受1小时快速响应，小修24小时内上门解决，中修1天内解决，大修3天内解决。 采购包2： （1）安装调试要求 安装标准：执行GB50231-2009《机械设备安装工程施工及验收通用规范》； 调试：检查设备各项功能是否正常，运行参数是否符合技术规格书要求。检验各设备之间的协同工作能力、数据交互是否正常； 人员培训：提供相关操作人员培训资料。 （2）配套工程 基础施工：包含安装设备所需电路及试验台的准备。 （3）质量保证 主机及配件免费保修1年，其他按照国家新三包规定办理。 （4）售后服务 响应时限：享受1小时快速响应，小修24小时内上门解决，中修1天内解决，大修3天内解决。 定期维护：质保期内每年提供校准调试、保养等服务。 【三】纸质投标文件要求： （1）中标单位应在中标结果公告发布后5个工作日内提供纸质投标文件三份（正本壹份、副本贰份，分别胶装），投标文件需包含目录、无少页、缺页，从投标文件有内容的第一页开始连续页码（或单独使用打码器打码）。 （2）递交地址：陕西省西安市曲江新区雁翔路3269号旺座曲江D座30层，联系人：王工，联系电话：15091632950。 （3）中标单位应保持投标文件纸质版内容与交易系统上传电子版内容完全一致，否则将承担一切法律责任。</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具有独立承担民事责任能力的法人、其他组织或自然人，提供合法有效的统一社会信用代码营业执照（事业单位提供法人证书，自然人提供身份证）。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具有良好的商业信誉和健全的财务会计制度</w:t>
            </w:r>
          </w:p>
        </w:tc>
        <w:tc>
          <w:tcPr>
            <w:tcW w:type="dxa" w:w="3322"/>
          </w:tcPr>
          <w:p>
            <w:pPr>
              <w:pStyle w:val="null3"/>
            </w:pPr>
            <w:r>
              <w:rPr>
                <w:rFonts w:ascii="仿宋_GB2312" w:hAnsi="仿宋_GB2312" w:cs="仿宋_GB2312" w:eastAsia="仿宋_GB2312"/>
              </w:rPr>
              <w:t>法人提供经审计的2024或2025年度的财务报告（成立时间至投标文件递交截止时间不足一年的可提供成立后任意时段的资产负债表）或投标文件递交截止时间前六个月内银行出具的资信证明；其他组织和自然人提供银行出具的资信证明或财务报表。</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有依法缴纳税收的良好记录</w:t>
            </w:r>
          </w:p>
        </w:tc>
        <w:tc>
          <w:tcPr>
            <w:tcW w:type="dxa" w:w="3322"/>
          </w:tcPr>
          <w:p>
            <w:pPr>
              <w:pStyle w:val="null3"/>
            </w:pPr>
            <w:r>
              <w:rPr>
                <w:rFonts w:ascii="仿宋_GB2312" w:hAnsi="仿宋_GB2312" w:cs="仿宋_GB2312" w:eastAsia="仿宋_GB2312"/>
              </w:rPr>
              <w:t>法人提供投标文件递交截止时间前一年内至少一个月依法缴纳税收的相关凭据（时间以税款所属日期为准，凭据应有税务机关或代收机关的公章或业务专用章）；其他组织和自然人提供缴纳税收的凭据；依法免税的投标人应提供相关文件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有依法缴纳社会保障资金的良好记录</w:t>
            </w:r>
          </w:p>
        </w:tc>
        <w:tc>
          <w:tcPr>
            <w:tcW w:type="dxa" w:w="3322"/>
          </w:tcPr>
          <w:p>
            <w:pPr>
              <w:pStyle w:val="null3"/>
            </w:pPr>
            <w:r>
              <w:rPr>
                <w:rFonts w:ascii="仿宋_GB2312" w:hAnsi="仿宋_GB2312" w:cs="仿宋_GB2312" w:eastAsia="仿宋_GB2312"/>
              </w:rPr>
              <w:t>提供投标文件递交截止时间前一年内至少一个月已缴纳的社会保障资金的凭据（社会保障资金缴存单据或社保机构开具的社会保险参保缴费情况证明）；依法不需要缴纳社会保障资金的投标人应提供相关文件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法定代表人授权书、法定代表人身份证明合格</w:t>
            </w:r>
          </w:p>
        </w:tc>
        <w:tc>
          <w:tcPr>
            <w:tcW w:type="dxa" w:w="3322"/>
          </w:tcPr>
          <w:p>
            <w:pPr>
              <w:pStyle w:val="null3"/>
            </w:pPr>
            <w:r>
              <w:rPr>
                <w:rFonts w:ascii="仿宋_GB2312" w:hAnsi="仿宋_GB2312" w:cs="仿宋_GB2312" w:eastAsia="仿宋_GB2312"/>
              </w:rPr>
              <w:t>提供合格的法定代表人授权书（附法定代表人、被授权人身份证复印件）或法定代表人身份证明（法定代表人直接参加投标的）。</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信用承诺</w:t>
            </w:r>
          </w:p>
        </w:tc>
        <w:tc>
          <w:tcPr>
            <w:tcW w:type="dxa" w:w="3322"/>
          </w:tcPr>
          <w:p>
            <w:pPr>
              <w:pStyle w:val="null3"/>
            </w:pPr>
            <w:r>
              <w:rPr>
                <w:rFonts w:ascii="仿宋_GB2312" w:hAnsi="仿宋_GB2312" w:cs="仿宋_GB2312" w:eastAsia="仿宋_GB2312"/>
              </w:rPr>
              <w:t>提供未被“信用中国”网站（www.creditchina.gov.cn）列入重大税收违法失信主体名单，未被“中国执行信息公开网”网站（zxgk.court.gov.cn）列入失信被执行人，未被“中国政府采购网”网站（www.ccgp.gov.cn）列入政府采购严重违法失信行为记录名单的承诺。</w:t>
            </w:r>
          </w:p>
        </w:tc>
        <w:tc>
          <w:tcPr>
            <w:tcW w:type="dxa" w:w="1661"/>
          </w:tcPr>
          <w:p>
            <w:pPr>
              <w:pStyle w:val="null3"/>
            </w:pPr>
            <w:r>
              <w:rPr>
                <w:rFonts w:ascii="仿宋_GB2312" w:hAnsi="仿宋_GB2312" w:cs="仿宋_GB2312" w:eastAsia="仿宋_GB2312"/>
              </w:rPr>
              <w:t>供应商资格要求.docx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具有独立承担民事责任能力的法人、其他组织或自然人，提供合法有效的统一社会信用代码营业执照（事业单位提供法人证书，自然人提供身份证）。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具有良好的商业信誉和健全的财务会计制度</w:t>
            </w:r>
          </w:p>
        </w:tc>
        <w:tc>
          <w:tcPr>
            <w:tcW w:type="dxa" w:w="3322"/>
          </w:tcPr>
          <w:p>
            <w:pPr>
              <w:pStyle w:val="null3"/>
            </w:pPr>
            <w:r>
              <w:rPr>
                <w:rFonts w:ascii="仿宋_GB2312" w:hAnsi="仿宋_GB2312" w:cs="仿宋_GB2312" w:eastAsia="仿宋_GB2312"/>
              </w:rPr>
              <w:t>法人提供经审计的2024或2025年度的财务报告（成立时间至投标文件递交截止时间不足一年的可提供成立后任意时段的资产负债表）或投标文件递交截止时间前六个月内银行出具的资信证明；其他组织和自然人提供银行出具的资信证明或财务报表。</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有依法缴纳税收的良好记录</w:t>
            </w:r>
          </w:p>
        </w:tc>
        <w:tc>
          <w:tcPr>
            <w:tcW w:type="dxa" w:w="3322"/>
          </w:tcPr>
          <w:p>
            <w:pPr>
              <w:pStyle w:val="null3"/>
            </w:pPr>
            <w:r>
              <w:rPr>
                <w:rFonts w:ascii="仿宋_GB2312" w:hAnsi="仿宋_GB2312" w:cs="仿宋_GB2312" w:eastAsia="仿宋_GB2312"/>
              </w:rPr>
              <w:t>法人提供投标文件递交截止时间前一年内至少一个月依法缴纳税收的相关凭据（时间以税款所属日期为准，凭据应有税务机关或代收机关的公章或业务专用章）；其他组织和自然人提供缴纳税收的凭据；依法免税的投标人应提供相关文件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有依法缴纳社会保障资金的良好记录</w:t>
            </w:r>
          </w:p>
        </w:tc>
        <w:tc>
          <w:tcPr>
            <w:tcW w:type="dxa" w:w="3322"/>
          </w:tcPr>
          <w:p>
            <w:pPr>
              <w:pStyle w:val="null3"/>
            </w:pPr>
            <w:r>
              <w:rPr>
                <w:rFonts w:ascii="仿宋_GB2312" w:hAnsi="仿宋_GB2312" w:cs="仿宋_GB2312" w:eastAsia="仿宋_GB2312"/>
              </w:rPr>
              <w:t>提供投标文件递交截止时间前一年内至少一个月已缴纳的社会保障资金的凭据（社会保障资金缴存单据或社保机构开具的社会保险参保缴费情况证明）；依法不需要缴纳社会保障资金的投标人应提供相关文件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法定代表人授权书、法定代表人身份证明合格</w:t>
            </w:r>
          </w:p>
        </w:tc>
        <w:tc>
          <w:tcPr>
            <w:tcW w:type="dxa" w:w="3322"/>
          </w:tcPr>
          <w:p>
            <w:pPr>
              <w:pStyle w:val="null3"/>
            </w:pPr>
            <w:r>
              <w:rPr>
                <w:rFonts w:ascii="仿宋_GB2312" w:hAnsi="仿宋_GB2312" w:cs="仿宋_GB2312" w:eastAsia="仿宋_GB2312"/>
              </w:rPr>
              <w:t>提供合格的法定代表人授权书（附法定代表人、被授权人身份证复印件）或法定代表人身份证明（法定代表人直接参加投标的）。</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信用承诺</w:t>
            </w:r>
          </w:p>
        </w:tc>
        <w:tc>
          <w:tcPr>
            <w:tcW w:type="dxa" w:w="3322"/>
          </w:tcPr>
          <w:p>
            <w:pPr>
              <w:pStyle w:val="null3"/>
            </w:pPr>
            <w:r>
              <w:rPr>
                <w:rFonts w:ascii="仿宋_GB2312" w:hAnsi="仿宋_GB2312" w:cs="仿宋_GB2312" w:eastAsia="仿宋_GB2312"/>
              </w:rPr>
              <w:t>提供未被“信用中国”网站（www.creditchina.gov.cn）列入重大税收违法失信主体名单，未被“中国执行信息公开网”网站（zxgk.court.gov.cn）列入失信被执行人，未被“中国政府采购网”网站（www.ccgp.gov.cn）列入政府采购严重违法失信行为记录名单的承诺。</w:t>
            </w:r>
          </w:p>
        </w:tc>
        <w:tc>
          <w:tcPr>
            <w:tcW w:type="dxa" w:w="1661"/>
          </w:tcPr>
          <w:p>
            <w:pPr>
              <w:pStyle w:val="null3"/>
            </w:pPr>
            <w:r>
              <w:rPr>
                <w:rFonts w:ascii="仿宋_GB2312" w:hAnsi="仿宋_GB2312" w:cs="仿宋_GB2312" w:eastAsia="仿宋_GB2312"/>
              </w:rPr>
              <w:t>供应商资格要求.docx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根据《关于推动解决政府采购异常低价问题的通知》（财库〔2026〕2号）政府采购评审中出现下列情形之一的，评审委员会应当启动异常低价投标（响应）审查程序：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启动异常低价投标（响应）审查后，属于前述第①项至第④项情形的，供应商在评审现场30分钟内对投标（响应）价格作出解释，提供项目具体成本测算等与报价合理性相关的书面说明及必要的证明材料，包括但不限于原材料成本、人工成本、制造费用等。 其中，属于第③项情形，供应商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遵循公平竞争的原则，没有弄虚作假、恶意串通或妨碍其他供应商的竞争行为，损害采购人或者其他供应商的合法权益；弄虚作假、相互串通的情形见附注</w:t>
            </w:r>
          </w:p>
        </w:tc>
        <w:tc>
          <w:tcPr>
            <w:tcW w:type="dxa" w:w="1661"/>
          </w:tcPr>
          <w:p>
            <w:pPr>
              <w:pStyle w:val="null3"/>
            </w:pPr>
            <w:r>
              <w:rPr>
                <w:rFonts w:ascii="仿宋_GB2312" w:hAnsi="仿宋_GB2312" w:cs="仿宋_GB2312" w:eastAsia="仿宋_GB2312"/>
              </w:rPr>
              <w:t>陕西省政府采购供应商拒绝政府采购领域商业贿赂承诺书.docx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投标人名称与营业执照一致</w:t>
            </w:r>
          </w:p>
        </w:tc>
        <w:tc>
          <w:tcPr>
            <w:tcW w:type="dxa" w:w="3322"/>
          </w:tcPr>
          <w:p>
            <w:pPr>
              <w:pStyle w:val="null3"/>
            </w:pPr>
            <w:r>
              <w:rPr>
                <w:rFonts w:ascii="仿宋_GB2312" w:hAnsi="仿宋_GB2312" w:cs="仿宋_GB2312" w:eastAsia="仿宋_GB2312"/>
              </w:rPr>
              <w:t>投标人名称与营业执照一致（合格）投标人名称与营业执照不一致（不合格）</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投标文件按招标文件要求的数量、计量单位、报价货币及签字盖章</w:t>
            </w:r>
          </w:p>
        </w:tc>
        <w:tc>
          <w:tcPr>
            <w:tcW w:type="dxa" w:w="3322"/>
          </w:tcPr>
          <w:p>
            <w:pPr>
              <w:pStyle w:val="null3"/>
            </w:pPr>
            <w:r>
              <w:rPr>
                <w:rFonts w:ascii="仿宋_GB2312" w:hAnsi="仿宋_GB2312" w:cs="仿宋_GB2312" w:eastAsia="仿宋_GB2312"/>
              </w:rPr>
              <w:t>投标文件按招标文件要求的数量、计量单位、报价货币及签字盖章（合格）投标文件未按招标文件要求的数量、计量单位、报价货币及签字盖章（不合格）</w:t>
            </w:r>
          </w:p>
        </w:tc>
        <w:tc>
          <w:tcPr>
            <w:tcW w:type="dxa" w:w="1661"/>
          </w:tcPr>
          <w:p>
            <w:pPr>
              <w:pStyle w:val="null3"/>
            </w:pPr>
            <w:r>
              <w:rPr>
                <w:rFonts w:ascii="仿宋_GB2312" w:hAnsi="仿宋_GB2312" w:cs="仿宋_GB2312" w:eastAsia="仿宋_GB2312"/>
              </w:rPr>
              <w:t>开标一览表 投标函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投标有效期达到招标文件要求</w:t>
            </w:r>
          </w:p>
        </w:tc>
        <w:tc>
          <w:tcPr>
            <w:tcW w:type="dxa" w:w="3322"/>
          </w:tcPr>
          <w:p>
            <w:pPr>
              <w:pStyle w:val="null3"/>
            </w:pPr>
            <w:r>
              <w:rPr>
                <w:rFonts w:ascii="仿宋_GB2312" w:hAnsi="仿宋_GB2312" w:cs="仿宋_GB2312" w:eastAsia="仿宋_GB2312"/>
              </w:rPr>
              <w:t>投标有效期达到招标文件要求（合格）投标有效期未达到招标文件要求（不合格）</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技术、商务响应满足实质性要求</w:t>
            </w:r>
          </w:p>
        </w:tc>
        <w:tc>
          <w:tcPr>
            <w:tcW w:type="dxa" w:w="3322"/>
          </w:tcPr>
          <w:p>
            <w:pPr>
              <w:pStyle w:val="null3"/>
            </w:pPr>
            <w:r>
              <w:rPr>
                <w:rFonts w:ascii="仿宋_GB2312" w:hAnsi="仿宋_GB2312" w:cs="仿宋_GB2312" w:eastAsia="仿宋_GB2312"/>
              </w:rPr>
              <w:t>技术响应满足第三章3.3技术要求中带“★”的指标（2项）并提供佐证材料（佐证材料：加盖投标人公章的国家认可的检测机构出具的检测报告、制造商检验报告、产品彩页、官网功能截图任意一种，不提供或缺漏项视为负偏离），商务响应满足第三章3.4商务要求及3.5其他要求（合格），任意一条不满足（不合格）。</w:t>
            </w:r>
          </w:p>
        </w:tc>
        <w:tc>
          <w:tcPr>
            <w:tcW w:type="dxa" w:w="1661"/>
          </w:tcPr>
          <w:p>
            <w:pPr>
              <w:pStyle w:val="null3"/>
            </w:pPr>
            <w:r>
              <w:rPr>
                <w:rFonts w:ascii="仿宋_GB2312" w:hAnsi="仿宋_GB2312" w:cs="仿宋_GB2312" w:eastAsia="仿宋_GB2312"/>
              </w:rPr>
              <w:t>商务应答表 产品技术参数表.docx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履约保证金</w:t>
            </w:r>
          </w:p>
        </w:tc>
        <w:tc>
          <w:tcPr>
            <w:tcW w:type="dxa" w:w="3322"/>
          </w:tcPr>
          <w:p>
            <w:pPr>
              <w:pStyle w:val="null3"/>
            </w:pPr>
            <w:r>
              <w:rPr>
                <w:rFonts w:ascii="仿宋_GB2312" w:hAnsi="仿宋_GB2312" w:cs="仿宋_GB2312" w:eastAsia="仿宋_GB2312"/>
              </w:rPr>
              <w:t>满足招标文件关于“合同签订后5个工作日内，供应商向采购人缴纳履约保证金（合同金额的5%）”的要求（合格），不满足（不合格）。</w:t>
            </w:r>
          </w:p>
        </w:tc>
        <w:tc>
          <w:tcPr>
            <w:tcW w:type="dxa" w:w="1661"/>
          </w:tcPr>
          <w:p>
            <w:pPr>
              <w:pStyle w:val="null3"/>
            </w:pPr>
            <w:r>
              <w:rPr>
                <w:rFonts w:ascii="仿宋_GB2312" w:hAnsi="仿宋_GB2312" w:cs="仿宋_GB2312" w:eastAsia="仿宋_GB2312"/>
              </w:rPr>
              <w:t>履约保证金承诺函.docx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符合法律、法规和招标文件中规定的其他实质性要求</w:t>
            </w:r>
          </w:p>
        </w:tc>
        <w:tc>
          <w:tcPr>
            <w:tcW w:type="dxa" w:w="3322"/>
          </w:tcPr>
          <w:p>
            <w:pPr>
              <w:pStyle w:val="null3"/>
            </w:pPr>
            <w:r>
              <w:rPr>
                <w:rFonts w:ascii="仿宋_GB2312" w:hAnsi="仿宋_GB2312" w:cs="仿宋_GB2312" w:eastAsia="仿宋_GB2312"/>
              </w:rPr>
              <w:t>符合法律、法规和招标文件中规定的其他实质性要求（合格）不符合法律、法规和招标文件中规定的其他实质性要求（不合格）</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报价是否超过招标文件中规定的预算金额或者最高限价</w:t>
            </w:r>
          </w:p>
        </w:tc>
        <w:tc>
          <w:tcPr>
            <w:tcW w:type="dxa" w:w="3322"/>
          </w:tcPr>
          <w:p>
            <w:pPr>
              <w:pStyle w:val="null3"/>
            </w:pPr>
            <w:r>
              <w:rPr>
                <w:rFonts w:ascii="仿宋_GB2312" w:hAnsi="仿宋_GB2312" w:cs="仿宋_GB2312" w:eastAsia="仿宋_GB2312"/>
              </w:rPr>
              <w:t>报价未超过招标文件中规定的预算金额或者最高限价单价或总价。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资格审查、符合性审查、商务要求各项条款及本文件规定的其他不允许偏离的条件，为实质性要求和条件，不满足的投标为无效投标</w:t>
            </w:r>
          </w:p>
        </w:tc>
        <w:tc>
          <w:tcPr>
            <w:tcW w:type="dxa" w:w="3322"/>
          </w:tcPr>
          <w:p>
            <w:pPr>
              <w:pStyle w:val="null3"/>
            </w:pPr>
            <w:r>
              <w:rPr>
                <w:rFonts w:ascii="仿宋_GB2312" w:hAnsi="仿宋_GB2312" w:cs="仿宋_GB2312" w:eastAsia="仿宋_GB2312"/>
              </w:rPr>
              <w:t>资格要求、符合性审查合格标准、商务要求各项条款、标记“★”条款及本文件规定的其他不允许偏离的条件，为实质性要求和条件，不满足的投标为无效投标；</w:t>
            </w:r>
          </w:p>
        </w:tc>
        <w:tc>
          <w:tcPr>
            <w:tcW w:type="dxa" w:w="1661"/>
          </w:tcPr>
          <w:p>
            <w:pPr>
              <w:pStyle w:val="null3"/>
            </w:pPr>
            <w:r>
              <w:rPr>
                <w:rFonts w:ascii="仿宋_GB2312" w:hAnsi="仿宋_GB2312" w:cs="仿宋_GB2312" w:eastAsia="仿宋_GB2312"/>
              </w:rPr>
              <w:t>开标一览表 供应商资格要求.docx 投标函 商务应答表 标的清单 利益关系承诺书.docx 产品技术参数表.docx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根据《关于推动解决政府采购异常低价问题的通知》（财库〔2026〕2号）政府采购评审中出现下列情形之一的，评审委员会应当启动异常低价投标（响应）审查程序：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启动异常低价投标（响应）审查后，属于前述第①项至第④项情形的，供应商在评审现场30分钟内对投标（响应）价格作出解释，提供项目具体成本测算等与报价合理性相关的书面说明及必要的证明材料，包括但不限于原材料成本、人工成本、制造费用等。 其中，属于第③项情形，供应商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遵循公平竞争的原则，没有弄虚作假、恶意串通或妨碍其他供应商的竞争行为，损害采购人或者其他供应商的合法权益；弄虚作假、相互串通的情形见附注</w:t>
            </w:r>
          </w:p>
        </w:tc>
        <w:tc>
          <w:tcPr>
            <w:tcW w:type="dxa" w:w="1661"/>
          </w:tcPr>
          <w:p>
            <w:pPr>
              <w:pStyle w:val="null3"/>
            </w:pPr>
            <w:r>
              <w:rPr>
                <w:rFonts w:ascii="仿宋_GB2312" w:hAnsi="仿宋_GB2312" w:cs="仿宋_GB2312" w:eastAsia="仿宋_GB2312"/>
              </w:rPr>
              <w:t>陕西省政府采购供应商拒绝政府采购领域商业贿赂承诺书.docx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投标人名称与营业执照一致</w:t>
            </w:r>
          </w:p>
        </w:tc>
        <w:tc>
          <w:tcPr>
            <w:tcW w:type="dxa" w:w="3322"/>
          </w:tcPr>
          <w:p>
            <w:pPr>
              <w:pStyle w:val="null3"/>
            </w:pPr>
            <w:r>
              <w:rPr>
                <w:rFonts w:ascii="仿宋_GB2312" w:hAnsi="仿宋_GB2312" w:cs="仿宋_GB2312" w:eastAsia="仿宋_GB2312"/>
              </w:rPr>
              <w:t>投标人名称与营业执照一致（合格）投标人名称与营业执照不一致（不合格）</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投标文件按招标文件要求的数量、计量单位、报价货币及签字盖章</w:t>
            </w:r>
          </w:p>
        </w:tc>
        <w:tc>
          <w:tcPr>
            <w:tcW w:type="dxa" w:w="3322"/>
          </w:tcPr>
          <w:p>
            <w:pPr>
              <w:pStyle w:val="null3"/>
            </w:pPr>
            <w:r>
              <w:rPr>
                <w:rFonts w:ascii="仿宋_GB2312" w:hAnsi="仿宋_GB2312" w:cs="仿宋_GB2312" w:eastAsia="仿宋_GB2312"/>
              </w:rPr>
              <w:t>投标文件按招标文件要求的数量、计量单位、报价货币及签字盖章（合格）投标文件未按招标文件要求的数量、计量单位、报价货币及签字盖章（不合格）</w:t>
            </w:r>
          </w:p>
        </w:tc>
        <w:tc>
          <w:tcPr>
            <w:tcW w:type="dxa" w:w="1661"/>
          </w:tcPr>
          <w:p>
            <w:pPr>
              <w:pStyle w:val="null3"/>
            </w:pPr>
            <w:r>
              <w:rPr>
                <w:rFonts w:ascii="仿宋_GB2312" w:hAnsi="仿宋_GB2312" w:cs="仿宋_GB2312" w:eastAsia="仿宋_GB2312"/>
              </w:rPr>
              <w:t>开标一览表 投标函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投标有效期达到招标文件要求</w:t>
            </w:r>
          </w:p>
        </w:tc>
        <w:tc>
          <w:tcPr>
            <w:tcW w:type="dxa" w:w="3322"/>
          </w:tcPr>
          <w:p>
            <w:pPr>
              <w:pStyle w:val="null3"/>
            </w:pPr>
            <w:r>
              <w:rPr>
                <w:rFonts w:ascii="仿宋_GB2312" w:hAnsi="仿宋_GB2312" w:cs="仿宋_GB2312" w:eastAsia="仿宋_GB2312"/>
              </w:rPr>
              <w:t>投标有效期达到招标文件要求（合格）投标有效期未达到招标文件要求（不合格）</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商务响应满足实质性要求</w:t>
            </w:r>
          </w:p>
        </w:tc>
        <w:tc>
          <w:tcPr>
            <w:tcW w:type="dxa" w:w="3322"/>
          </w:tcPr>
          <w:p>
            <w:pPr>
              <w:pStyle w:val="null3"/>
            </w:pPr>
            <w:r>
              <w:rPr>
                <w:rFonts w:ascii="仿宋_GB2312" w:hAnsi="仿宋_GB2312" w:cs="仿宋_GB2312" w:eastAsia="仿宋_GB2312"/>
              </w:rPr>
              <w:t>商务响应满足第三章3.4商务要求及3.5其他要求（合格），任意一条不满足（不合格）。</w:t>
            </w:r>
          </w:p>
        </w:tc>
        <w:tc>
          <w:tcPr>
            <w:tcW w:type="dxa" w:w="1661"/>
          </w:tcPr>
          <w:p>
            <w:pPr>
              <w:pStyle w:val="null3"/>
            </w:pPr>
            <w:r>
              <w:rPr>
                <w:rFonts w:ascii="仿宋_GB2312" w:hAnsi="仿宋_GB2312" w:cs="仿宋_GB2312" w:eastAsia="仿宋_GB2312"/>
              </w:rPr>
              <w:t>商务应答表 产品技术参数表.docx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履约保证金</w:t>
            </w:r>
          </w:p>
        </w:tc>
        <w:tc>
          <w:tcPr>
            <w:tcW w:type="dxa" w:w="3322"/>
          </w:tcPr>
          <w:p>
            <w:pPr>
              <w:pStyle w:val="null3"/>
            </w:pPr>
            <w:r>
              <w:rPr>
                <w:rFonts w:ascii="仿宋_GB2312" w:hAnsi="仿宋_GB2312" w:cs="仿宋_GB2312" w:eastAsia="仿宋_GB2312"/>
              </w:rPr>
              <w:t>满足招标文件关于“合同签订后5个工作日内，供应商向采购人缴纳履约保证金（合同金额的5%）”的要求（合格），不满足（不合格）。</w:t>
            </w:r>
          </w:p>
        </w:tc>
        <w:tc>
          <w:tcPr>
            <w:tcW w:type="dxa" w:w="1661"/>
          </w:tcPr>
          <w:p>
            <w:pPr>
              <w:pStyle w:val="null3"/>
            </w:pPr>
            <w:r>
              <w:rPr>
                <w:rFonts w:ascii="仿宋_GB2312" w:hAnsi="仿宋_GB2312" w:cs="仿宋_GB2312" w:eastAsia="仿宋_GB2312"/>
              </w:rPr>
              <w:t>履约保证金承诺函.docx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符合法律、法规和招标文件中规定的其他实质性要求</w:t>
            </w:r>
          </w:p>
        </w:tc>
        <w:tc>
          <w:tcPr>
            <w:tcW w:type="dxa" w:w="3322"/>
          </w:tcPr>
          <w:p>
            <w:pPr>
              <w:pStyle w:val="null3"/>
            </w:pPr>
            <w:r>
              <w:rPr>
                <w:rFonts w:ascii="仿宋_GB2312" w:hAnsi="仿宋_GB2312" w:cs="仿宋_GB2312" w:eastAsia="仿宋_GB2312"/>
              </w:rPr>
              <w:t>符合法律、法规和招标文件中规定的其他实质性要求（合格）不符合法律、法规和招标文件中规定的其他实质性要求（不合格）</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报价是否超过招标文件中规定的预算金额或者最高限价</w:t>
            </w:r>
          </w:p>
        </w:tc>
        <w:tc>
          <w:tcPr>
            <w:tcW w:type="dxa" w:w="3322"/>
          </w:tcPr>
          <w:p>
            <w:pPr>
              <w:pStyle w:val="null3"/>
            </w:pPr>
            <w:r>
              <w:rPr>
                <w:rFonts w:ascii="仿宋_GB2312" w:hAnsi="仿宋_GB2312" w:cs="仿宋_GB2312" w:eastAsia="仿宋_GB2312"/>
              </w:rPr>
              <w:t>报价未超过招标文件中规定的预算金额或者最高限价单价或总价。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资格审查、符合性审查、商务要求各项条款及本文件规定的其他不允许偏离的条件，为实质性要求和条件，不满足的投标为无效投标</w:t>
            </w:r>
          </w:p>
        </w:tc>
        <w:tc>
          <w:tcPr>
            <w:tcW w:type="dxa" w:w="3322"/>
          </w:tcPr>
          <w:p>
            <w:pPr>
              <w:pStyle w:val="null3"/>
            </w:pPr>
            <w:r>
              <w:rPr>
                <w:rFonts w:ascii="仿宋_GB2312" w:hAnsi="仿宋_GB2312" w:cs="仿宋_GB2312" w:eastAsia="仿宋_GB2312"/>
              </w:rPr>
              <w:t>资格要求、符合性审查合格标准、商务要求各项条款、标记“★”条款及本文件规定的其他不允许偏离的条件，为实质性要求和条件，不满足的投标为无效投标；</w:t>
            </w:r>
          </w:p>
        </w:tc>
        <w:tc>
          <w:tcPr>
            <w:tcW w:type="dxa" w:w="1661"/>
          </w:tcPr>
          <w:p>
            <w:pPr>
              <w:pStyle w:val="null3"/>
            </w:pPr>
            <w:r>
              <w:rPr>
                <w:rFonts w:ascii="仿宋_GB2312" w:hAnsi="仿宋_GB2312" w:cs="仿宋_GB2312" w:eastAsia="仿宋_GB2312"/>
              </w:rPr>
              <w:t>开标一览表 供应商资格要求.docx 投标函 商务应答表 标的清单 利益关系承诺书.docx 产品技术参数表.docx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技术响应</w:t>
            </w:r>
          </w:p>
        </w:tc>
        <w:tc>
          <w:tcPr>
            <w:tcW w:type="dxa" w:w="2492"/>
          </w:tcPr>
          <w:p>
            <w:pPr>
              <w:pStyle w:val="null3"/>
            </w:pPr>
            <w:r>
              <w:rPr>
                <w:rFonts w:ascii="仿宋_GB2312" w:hAnsi="仿宋_GB2312" w:cs="仿宋_GB2312" w:eastAsia="仿宋_GB2312"/>
              </w:rPr>
              <w:t>所投产品技术参数清楚、明确并能逐条响应招标文件第三章3.3技术要求： 1.完全满足“▲”项（共3项）要求，得9分，负偏离每项扣3分，扣完为止； 2.完全满足普通指标（非“★”、“▲”项，共23项）要求，得23分，负偏离每项扣1分，扣完为止。 备注：所有“▲”项参数须有佐证材料，佐证材料：加盖投标人公章的国家认可的检测机构出具的检测报告、制造商检验报告、产品彩页、官网功能截图任意一种（招标文件有具体要求的，以具体要求为准），不提供或缺漏项视为负偏离。</w:t>
            </w:r>
          </w:p>
        </w:tc>
        <w:tc>
          <w:tcPr>
            <w:tcW w:type="dxa" w:w="831"/>
          </w:tcPr>
          <w:p>
            <w:pPr>
              <w:pStyle w:val="null3"/>
              <w:jc w:val="right"/>
            </w:pPr>
            <w:r>
              <w:rPr>
                <w:rFonts w:ascii="仿宋_GB2312" w:hAnsi="仿宋_GB2312" w:cs="仿宋_GB2312" w:eastAsia="仿宋_GB2312"/>
              </w:rPr>
              <w:t>32.0000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 投标人针对本项目提供完整的项目实施方案。内容包含：①供货运输方案；②具有健全的产品安装、调试、试运行及验收方案；③团队人员配置计划；④应急预案。 二、评审标准 1、完整性：方案须全面，对评审内容中的各项要求有详细描述； 2、可实施性：切合本项目实际情况，实施步骤清晰、合理； 3、针对性：方案能够紧扣本项目所采购设备种类等实际情况，内容科学合理。 三、赋分依据 上述4项评审，每项2分，内容全部满足评审标准得8分；每有一个评审内容缺项扣2分；每有一项评审内容存在缺陷，扣1分；扣完为止。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一、评审内容 投标人根据项目实际需求，提供质量保证方案。内容包含：①产品性能、使用寿命及效果；②质量保证措施。 二、评审标准 1、完整性：方案须全面，对评审内容中的各项要求有详细描述； 2、可实施性：切合本项目实际情况，实施步骤清晰、合理； 3、针对性：方案能够紧扣本项目所采购设备种类等实际情况，内容科学合理。 三、赋分依据 上述2项评审，每项2分，内容全部满足评审标准得4分；每有一个评审内容缺项扣2分；每有一项评审内容存在缺陷，扣1分；扣完为止。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质量保证.docx</w:t>
            </w:r>
          </w:p>
        </w:tc>
      </w:tr>
      <w:tr>
        <w:tc>
          <w:tcPr>
            <w:tcW w:type="dxa" w:w="831"/>
            <w:vMerge/>
          </w:tcPr>
          <w:p/>
        </w:tc>
        <w:tc>
          <w:tcPr>
            <w:tcW w:type="dxa" w:w="1661"/>
          </w:tcPr>
          <w:p>
            <w:pPr>
              <w:pStyle w:val="null3"/>
            </w:pPr>
            <w:r>
              <w:rPr>
                <w:rFonts w:ascii="仿宋_GB2312" w:hAnsi="仿宋_GB2312" w:cs="仿宋_GB2312" w:eastAsia="仿宋_GB2312"/>
              </w:rPr>
              <w:t>设备选型方案</w:t>
            </w:r>
          </w:p>
        </w:tc>
        <w:tc>
          <w:tcPr>
            <w:tcW w:type="dxa" w:w="2492"/>
          </w:tcPr>
          <w:p>
            <w:pPr>
              <w:pStyle w:val="null3"/>
            </w:pPr>
            <w:r>
              <w:rPr>
                <w:rFonts w:ascii="仿宋_GB2312" w:hAnsi="仿宋_GB2312" w:cs="仿宋_GB2312" w:eastAsia="仿宋_GB2312"/>
              </w:rPr>
              <w:t>供应商针对本项目提供具体可行的设备选型方案，包括但不限于：①所投产品型号、功能、技术规格等详细信息描述；②根据所投产品品牌与配置清单，设备配置先进、选型科学合理，从配置完整性、性能稳定性、兼容性、行业使用广泛性等方面描述（投标人须提供证明材料，包括但不限于所投产品使用优势、市场销售情况等）。 1、设备选型方案思路清晰、科学合理、可行性强、完全满足采购人需求得4分； 2、设备选型方案思路较清晰、较科学合理、可行性较强、基本满足采购人需求得3分； 3、设备选型方案思路基本清晰、基本科学合理、可行性较强、基本满足采购人需求得2分； 4、设备选型方案不太合理完善、可行性不强、不能满足采购人需求得1分； 5、未提供不得分。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设备选型方案.docx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投标人针对本项目提供完整的售后服务方案。内容包含：①售后服务保障体系,包括但不限于设备故障及维修服务到场响应时限及措施、备品备件供应计划等方面；②提供售后服务承诺且符合实际需求；③质保服务年限；④培训方案。 二、评审标准 1、完整性：方案须全面，对评审内容中的各项要求有详细描述； 2、可实施性：切合本项目实际情况，实施步骤清晰、合理； 3、针对性：方案能够紧扣项目实际情况，内容科学合理。 三、赋分依据 上述4项评审，每项2分，内容全部满足评审标准得8分；每有一个评审内容缺项扣2分；每有一项评审内容存在缺陷，扣1分（质保服务年限除外）；扣完为止。 说明：1、缺陷是指内容没有结合项目实际需求、虽有内容但不完善、内容表述前后不一致、套用其他项目方案或与项目需求不匹配及其他不利于项目实施的等任意一种情形。 2、提供相关的佐证材料，如售后服务机构工作场所的证明材料（包括但不限于：租房协议或产权证明材料，办公场所图片，售后服务机构专职人员名单及相关行业从业资历，本行业内的技术证书及相关证明材料等资料）。3、质保年限，1年得0.5分，2年得1分，3年得2分，最低质保年限为1年，必须满足该条件。4、培训方案必须描述清楚培训具体事务，培训内容，培训时间及人员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提供投标人自2023年5月1日至投标文件递交截止时间前（以合同签订时间为准）所投产品业绩，需提供完整且清晰有效的合同复印件，每提供一份完整资料得1分，最多得4分，未提供得0分。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有效投标人的最低报价为评标基准价得40分，其他各投标人的报价得分按下列公式计算：（评标基准价/投标报价）×40％×100。 备注：根据《国务院办公厅关于在政府采购中实施本国产品标准及相关政策的通知 》（国办发〔2025〕34号），政府采购活动中既有本国产品又有非本国产品参与竞争的，依法对本国产品给予价格评审优惠，对本国产品的报价给予20%的价格扣除，用扣除后的价格参与评审。当采购项目或者采购包中含有多种产品，投标人为该采购项目或者采购包提供的符合本国产品标准的产品成本之和占该投标人提供的全部产品成本之和的比例达到80%以上时，依法对该投标人提供的全部产品给予价格评审优惠，即对该投标人提供的全部产品的总报价给予20%的价格扣除，用扣除后的价格参与评审。</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本国产品说明</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所投产品技术参数清楚、明确并能逐条响应招标文件第三章3.3技术要求： 1.完全满足“▲”项（共4项）要求，得8分，负偏离每项扣2分，扣完为止； 2.完全满足普通指标（非“▲”项，共26项）要求，得26分，负偏离每项扣1分，扣完为止。 备注：所有“▲”项参数须有佐证材料，佐证材料例如：加盖投标人公章的国家认可的检测机构出具的检测报告、制造商检验报告、产品彩页、官网功能截图任意一种（招标文件有具体要求的，以具体要求为准），不提供或缺漏项视为负偏离。</w:t>
            </w:r>
          </w:p>
        </w:tc>
        <w:tc>
          <w:tcPr>
            <w:tcW w:type="dxa" w:w="831"/>
          </w:tcPr>
          <w:p>
            <w:pPr>
              <w:pStyle w:val="null3"/>
              <w:jc w:val="right"/>
            </w:pPr>
            <w:r>
              <w:rPr>
                <w:rFonts w:ascii="仿宋_GB2312" w:hAnsi="仿宋_GB2312" w:cs="仿宋_GB2312" w:eastAsia="仿宋_GB2312"/>
              </w:rPr>
              <w:t>34.0000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投标人需针对本项目提供完整的项目实施方案。内容包含：①供货组织及进度安排②对接及运输方案③安装调试方案④人员、物力调配安排。 二、评审标准 1、完整性：方案必须全面，对评审内容中的各项要求有详细描述； 2、可实施性：切合本项目实际情况，提出步骤清晰、合理的方案； 3、针对性：方案能够紧扣项目实际情况，内容科学合理。 三、赋分依据 ①供货组织及进度安排：每完全满足一个评审标准得0.5分，满分1.5分；未提供不得分； ②对接及运输方案：每完全满足一个评审标准得0.5分，满分1.5分；未提供不得分； ③安装调试方案：每完全满足一个评审标准得0.5分，满分1.5分；未提供不得分； ④人员、物力调配安排：每完全满足一个评审标准得0.5分，满分1.5分；未提供不得分。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一、评审内容 投标人需针对本项目提供质量保证方案。内容包含：①产品性能②使用寿命及效果③全流程质量管控措施④质量保证措施。 二、评审标准 1.完整性：方案必须全面，对评审内容中的各项要求有详细描述； 2.可实施性：切合本项目实际情况，提出步骤清晰、合理的方案； 3.针对性：方案能够紧扣项目实际情况，内容科学合理。 三、赋分依据 ①产品性能：每完全满足一个评审标准得0.5分，满分1.5分；未提供不得分； ②使用寿命及效果：每完全满足一个评审标准得0.5分，满分1.5分；未提供不得分； ③全流程质量管控措施：每完全满足一个评审标准得0.5分，满分1.5分；未提供不得分； ④质量保证措施：每完全满足一个评审标准得0.5分，满分1.5分；未提供不得分。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质量保证方案.docx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投标人需针对本项目提供售后服务方案。内容包含：①售后服务范围②响应时间及方式③故障处理及补救措施④定期回访及维护。 二、评审标准 1.完整性：方案必须全面，对评审内容中的各项要求有详细描述； 2.可实施性：切合本项目实际情况，提出步骤清晰、合理的方案； 3.针对性：方案能够紧扣项目实际情况，内容科学合理。 三、赋分依据 ①售后服务范围：每完全满足一个评审标准得0.5分，满分1.5分；未提供不得分； ②响应时间及方式：每完全满足一个评审标准得0.5分，满分1.5分；未提供不得分； ③故障处理及补救措施：每完全满足一个评审标准得0.5分，满分1.5分；未提供不得分； ④定期回访及维护：每完全满足一个评审标准得0.5分，满分1.5分；未提供不得分。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售后服务方案.docx</w:t>
            </w:r>
          </w:p>
        </w:tc>
      </w:tr>
      <w:tr>
        <w:tc>
          <w:tcPr>
            <w:tcW w:type="dxa" w:w="831"/>
            <w:vMerge/>
          </w:tcPr>
          <w:p/>
        </w:tc>
        <w:tc>
          <w:tcPr>
            <w:tcW w:type="dxa" w:w="1661"/>
          </w:tcPr>
          <w:p>
            <w:pPr>
              <w:pStyle w:val="null3"/>
            </w:pPr>
            <w:r>
              <w:rPr>
                <w:rFonts w:ascii="仿宋_GB2312" w:hAnsi="仿宋_GB2312" w:cs="仿宋_GB2312" w:eastAsia="仿宋_GB2312"/>
              </w:rPr>
              <w:t>增值服务</w:t>
            </w:r>
          </w:p>
        </w:tc>
        <w:tc>
          <w:tcPr>
            <w:tcW w:type="dxa" w:w="2492"/>
          </w:tcPr>
          <w:p>
            <w:pPr>
              <w:pStyle w:val="null3"/>
            </w:pPr>
            <w:r>
              <w:rPr>
                <w:rFonts w:ascii="仿宋_GB2312" w:hAnsi="仿宋_GB2312" w:cs="仿宋_GB2312" w:eastAsia="仿宋_GB2312"/>
              </w:rPr>
              <w:t>针对本项目的特点和需求等内容提供增值服务承诺（例如：硬件、软件更新、配件更换服务等增值服务）。经评标委员会评审，每提供一项有实质性提升的承诺得0.5分，满分1分。无承诺不得分。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增值服务.docx</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承诺质保期在满足招标文件（1年）要求的基础上，每增加一年得1分，满2分。无承诺不得分。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质保期.docx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提供投标人2023年5月1日以来类似项目业绩（以合同签订日期为准），每份合格业绩合同计1分，满分5分。 注：需提供完整业绩合同及对应货款发票（任意一张）复印件，并加盖投标人公章。前述两种证明材料同时提供方可得分，否则不得分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有效投标人的最低报价为评标基准价得40分，其他各投标人的报价得分按下列公式计算：（评标基准价/投标报价）×40％×100。 备注：根据《国务院办公厅关于在政府采购中实施本国产品标准及相关政策的通知 》（国办发〔2025〕34号），政府采购活动中既有本国产品又有非本国产品参与竞争的，依法对本国产品给予价格评审优惠，对本国产品的报价给予20%的价格扣除，用扣除后的价格参与评审。当采购项目或者采购包中含有多种产品，投标人为该采购项目或者采购包提供的符合本国产品标准的产品成本之和占该投标人提供的全部产品成本之和的比例达到80%以上时，依法对该投标人提供的全部产品给予价格评审优惠，即对该投标人提供的全部产品的总报价给予20%的价格扣除，用扣除后的价格参与评审。</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本国产品说明</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详见附件：供应商资格要求.docx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详见附件：履约保证金承诺函.docx</w:t>
      </w:r>
    </w:p>
    <w:p>
      <w:pPr>
        <w:pStyle w:val="null3"/>
        <w:ind w:firstLine="960"/>
      </w:pPr>
      <w:r>
        <w:rPr>
          <w:rFonts w:ascii="仿宋_GB2312" w:hAnsi="仿宋_GB2312" w:cs="仿宋_GB2312" w:eastAsia="仿宋_GB2312"/>
        </w:rPr>
        <w:t>详见附件：利益关系承诺书.docx</w:t>
      </w:r>
    </w:p>
    <w:p>
      <w:pPr>
        <w:pStyle w:val="null3"/>
        <w:ind w:firstLine="960"/>
      </w:pPr>
      <w:r>
        <w:rPr>
          <w:rFonts w:ascii="仿宋_GB2312" w:hAnsi="仿宋_GB2312" w:cs="仿宋_GB2312" w:eastAsia="仿宋_GB2312"/>
        </w:rPr>
        <w:t>详见附件：项目实施方案.docx</w:t>
      </w:r>
    </w:p>
    <w:p>
      <w:pPr>
        <w:pStyle w:val="null3"/>
        <w:ind w:firstLine="960"/>
      </w:pPr>
      <w:r>
        <w:rPr>
          <w:rFonts w:ascii="仿宋_GB2312" w:hAnsi="仿宋_GB2312" w:cs="仿宋_GB2312" w:eastAsia="仿宋_GB2312"/>
        </w:rPr>
        <w:t>详见附件：质量保证.docx</w:t>
      </w:r>
    </w:p>
    <w:p>
      <w:pPr>
        <w:pStyle w:val="null3"/>
        <w:ind w:firstLine="960"/>
      </w:pPr>
      <w:r>
        <w:rPr>
          <w:rFonts w:ascii="仿宋_GB2312" w:hAnsi="仿宋_GB2312" w:cs="仿宋_GB2312" w:eastAsia="仿宋_GB2312"/>
        </w:rPr>
        <w:t>详见附件：设备选型方案.docx</w:t>
      </w:r>
    </w:p>
    <w:p>
      <w:pPr>
        <w:pStyle w:val="null3"/>
        <w:ind w:firstLine="960"/>
      </w:pPr>
      <w:r>
        <w:rPr>
          <w:rFonts w:ascii="仿宋_GB2312" w:hAnsi="仿宋_GB2312" w:cs="仿宋_GB2312" w:eastAsia="仿宋_GB2312"/>
        </w:rPr>
        <w:t>详见附件：售后服务方案.docx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详见附件：本国产品说明</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详见附件：供应商资格要求.docx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详见附件：履约保证金承诺函.docx</w:t>
      </w:r>
    </w:p>
    <w:p>
      <w:pPr>
        <w:pStyle w:val="null3"/>
        <w:ind w:firstLine="960"/>
      </w:pPr>
      <w:r>
        <w:rPr>
          <w:rFonts w:ascii="仿宋_GB2312" w:hAnsi="仿宋_GB2312" w:cs="仿宋_GB2312" w:eastAsia="仿宋_GB2312"/>
        </w:rPr>
        <w:t>详见附件：利益关系承诺书.docx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详见附件：质量保证方案.docx</w:t>
      </w:r>
    </w:p>
    <w:p>
      <w:pPr>
        <w:pStyle w:val="null3"/>
        <w:ind w:firstLine="960"/>
      </w:pPr>
      <w:r>
        <w:rPr>
          <w:rFonts w:ascii="仿宋_GB2312" w:hAnsi="仿宋_GB2312" w:cs="仿宋_GB2312" w:eastAsia="仿宋_GB2312"/>
        </w:rPr>
        <w:t>详见附件：售后服务方案.docx</w:t>
      </w:r>
    </w:p>
    <w:p>
      <w:pPr>
        <w:pStyle w:val="null3"/>
        <w:ind w:firstLine="960"/>
      </w:pPr>
      <w:r>
        <w:rPr>
          <w:rFonts w:ascii="仿宋_GB2312" w:hAnsi="仿宋_GB2312" w:cs="仿宋_GB2312" w:eastAsia="仿宋_GB2312"/>
        </w:rPr>
        <w:t>详见附件：增值服务.docx</w:t>
      </w:r>
    </w:p>
    <w:p>
      <w:pPr>
        <w:pStyle w:val="null3"/>
        <w:ind w:firstLine="960"/>
      </w:pPr>
      <w:r>
        <w:rPr>
          <w:rFonts w:ascii="仿宋_GB2312" w:hAnsi="仿宋_GB2312" w:cs="仿宋_GB2312" w:eastAsia="仿宋_GB2312"/>
        </w:rPr>
        <w:t>详见附件：质保期.docx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详见附件：本国产品说明</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