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版本号：SXJC-ZC-202601420260522001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（工程类）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蔡伦墓和祠安防工程</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SXJC-ZC-2026014</w:t>
      </w:r>
      <w:r>
        <w:br/>
      </w:r>
      <w:r>
        <w:br/>
      </w:r>
      <w:r>
        <w:br/>
      </w:r>
    </w:p>
    <w:p>
      <w:pPr>
        <w:pStyle w:val="null3"/>
        <w:jc w:val="center"/>
        <w:outlineLvl w:val="2"/>
      </w:pPr>
      <w:r>
        <w:rPr>
          <w:rFonts w:ascii="仿宋_GB2312" w:hAnsi="仿宋_GB2312" w:cs="仿宋_GB2312" w:eastAsia="仿宋_GB2312"/>
          <w:sz w:val="28"/>
          <w:b/>
        </w:rPr>
        <w:t>洋县蔡伦墓祠文物管理所</w:t>
      </w:r>
    </w:p>
    <w:p>
      <w:pPr>
        <w:pStyle w:val="null3"/>
        <w:jc w:val="center"/>
        <w:outlineLvl w:val="2"/>
      </w:pPr>
      <w:r>
        <w:rPr>
          <w:rFonts w:ascii="仿宋_GB2312" w:hAnsi="仿宋_GB2312" w:cs="仿宋_GB2312" w:eastAsia="仿宋_GB2312"/>
          <w:sz w:val="28"/>
          <w:b/>
        </w:rPr>
        <w:t>陕西君诚项目管理有限公司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2026年05月22日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陕西君诚项目管理有限公司</w:t>
      </w:r>
      <w:r>
        <w:rPr>
          <w:rFonts w:ascii="仿宋_GB2312" w:hAnsi="仿宋_GB2312" w:cs="仿宋_GB2312" w:eastAsia="仿宋_GB2312"/>
        </w:rPr>
        <w:t>（以下简称“代理机构”）受</w:t>
      </w:r>
      <w:r>
        <w:rPr>
          <w:rFonts w:ascii="仿宋_GB2312" w:hAnsi="仿宋_GB2312" w:cs="仿宋_GB2312" w:eastAsia="仿宋_GB2312"/>
        </w:rPr>
        <w:t>洋县蔡伦墓祠文物管理所</w:t>
      </w:r>
      <w:r>
        <w:rPr>
          <w:rFonts w:ascii="仿宋_GB2312" w:hAnsi="仿宋_GB2312" w:cs="仿宋_GB2312" w:eastAsia="仿宋_GB2312"/>
        </w:rPr>
        <w:t>委托，拟对</w:t>
      </w:r>
      <w:r>
        <w:rPr>
          <w:rFonts w:ascii="仿宋_GB2312" w:hAnsi="仿宋_GB2312" w:cs="仿宋_GB2312" w:eastAsia="仿宋_GB2312"/>
        </w:rPr>
        <w:t>蔡伦墓和祠安防工程</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一、采购项目编号：</w:t>
      </w:r>
      <w:r>
        <w:rPr>
          <w:rFonts w:ascii="仿宋_GB2312" w:hAnsi="仿宋_GB2312" w:cs="仿宋_GB2312" w:eastAsia="仿宋_GB2312"/>
          <w:sz w:val="28"/>
          <w:b/>
        </w:rPr>
        <w:t>SXJC-ZC-2026014</w:t>
      </w:r>
    </w:p>
    <w:p>
      <w:pPr>
        <w:pStyle w:val="null3"/>
        <w:outlineLvl w:val="2"/>
      </w:pPr>
      <w:r>
        <w:rPr>
          <w:rFonts w:ascii="仿宋_GB2312" w:hAnsi="仿宋_GB2312" w:cs="仿宋_GB2312" w:eastAsia="仿宋_GB2312"/>
          <w:sz w:val="28"/>
          <w:b/>
        </w:rPr>
        <w:t>二、采购项目名称：</w:t>
      </w:r>
      <w:r>
        <w:rPr>
          <w:rFonts w:ascii="仿宋_GB2312" w:hAnsi="仿宋_GB2312" w:cs="仿宋_GB2312" w:eastAsia="仿宋_GB2312"/>
          <w:sz w:val="28"/>
          <w:b/>
        </w:rPr>
        <w:t>蔡伦墓和祠安防工程</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依据“蔡伦墓和祠安防工程”设计方案及设计图纸内所有工作内容，该工程改造内容主要为入侵和紧急报警系统、视频安防管理系统、应急广播系统、电子巡更系统、出入口控制系统、供配电系统、防雷与接地系统及监控室工程等设施。（具体内容详见工程量清单）</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采购包1（蔡伦墓和祠安防工程）：属于专门面向中小企业采购。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1、有效的主体资格证明：供应商为具有独立承担民事责任能力的法人或其他组织或自然人，并出具合法有效的营业执照或事业单位法人证书等国家规定的相关证明，自然人参与的提供其身份证明。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2、响应文件签署人身份证明：法定代表人参加投标须提供《法定代表人身份证明》及身份证复印件；法定代表人授权他人参加投标，须提供《法定代表人授权委托书》、被授权人身份证复印件。</w:t>
      </w:r>
    </w:p>
    <w:p>
      <w:pPr>
        <w:pStyle w:val="null3"/>
      </w:pPr>
      <w:r>
        <w:rPr>
          <w:rFonts w:ascii="仿宋_GB2312" w:hAnsi="仿宋_GB2312" w:cs="仿宋_GB2312" w:eastAsia="仿宋_GB2312"/>
        </w:rPr>
        <w:t>3、企业资质要求：供应商须具备建设行政主管部门核发的电子与智能化工程专业承包一级资质，安全生产许可证合格有效。</w:t>
      </w:r>
    </w:p>
    <w:p>
      <w:pPr>
        <w:pStyle w:val="null3"/>
      </w:pPr>
      <w:r>
        <w:rPr>
          <w:rFonts w:ascii="仿宋_GB2312" w:hAnsi="仿宋_GB2312" w:cs="仿宋_GB2312" w:eastAsia="仿宋_GB2312"/>
        </w:rPr>
        <w:t>4、项目经理资格要求：项目负责人应具备有效的机电工程专业二级（含二级）及以上注册建造师资格、具有有效的安全考核合格证（B证），且无在建工程。</w:t>
      </w:r>
    </w:p>
    <w:p>
      <w:pPr>
        <w:pStyle w:val="null3"/>
      </w:pPr>
      <w:r>
        <w:rPr>
          <w:rFonts w:ascii="仿宋_GB2312" w:hAnsi="仿宋_GB2312" w:cs="仿宋_GB2312" w:eastAsia="仿宋_GB2312"/>
        </w:rPr>
        <w:t>5、资格承诺函：供应商应具有良好的商业信誉和健全的财务会计制度，具有履行合同所必需的设备和专业技术能力，具有依法缴纳税收和社会保障金的良好记录，参加本项目采购活动前三年内无重大违法活动记录；供应商应按照汉中市财政局《关于全面推行政府采购供应商基本资格条件承诺制的通知》（汉采办采管〔2024〕20号）文件要求，提供资格承诺函。</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注：获取的磋商文件主体格式包括pdf、word两种格式版本，其中以pdf格式为准。</w:t>
      </w:r>
    </w:p>
    <w:p>
      <w:pPr>
        <w:pStyle w:val="null3"/>
        <w:outlineLvl w:val="2"/>
      </w:pPr>
      <w:r>
        <w:rPr>
          <w:rFonts w:ascii="仿宋_GB2312" w:hAnsi="仿宋_GB2312" w:cs="仿宋_GB2312" w:eastAsia="仿宋_GB2312"/>
          <w:sz w:val="28"/>
          <w:b/>
        </w:rPr>
        <w:t>八、提交首次响应文件截止时间及开启时间、地点、方式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洋县蔡伦墓祠文物管理所</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陕西省汉中市洋县龙亭镇龙亭村</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723300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王女士</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0916-8442317</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陕西君诚项目管理有限公司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陕西省汉中市洋县洋州街道办事处东二环洋州明珠商裙2-41号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723300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武女士</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0916-8221800</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洋县政府采购管理股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蒙先生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0916-2986232</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采购包1：1,740,000.00元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3.本项目采购</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 （实质性要求）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采购包1保证金金额：5,000.00元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开户名称：陕西君诚项目管理有限公司</w:t>
            </w:r>
          </w:p>
          <w:p>
            <w:pPr>
              <w:pStyle w:val="null3"/>
            </w:pPr>
            <w:r>
              <w:rPr>
                <w:rFonts w:ascii="仿宋_GB2312" w:hAnsi="仿宋_GB2312" w:cs="仿宋_GB2312" w:eastAsia="仿宋_GB2312"/>
              </w:rPr>
              <w:t>开户银行：长安银行股份有限公司洋县支行</w:t>
            </w:r>
          </w:p>
          <w:p>
            <w:pPr>
              <w:pStyle w:val="null3"/>
            </w:pPr>
            <w:r>
              <w:rPr>
                <w:rFonts w:ascii="仿宋_GB2312" w:hAnsi="仿宋_GB2312" w:cs="仿宋_GB2312" w:eastAsia="仿宋_GB2312"/>
              </w:rPr>
              <w:t>银行账号：806061501421002583</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质量保证金</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从提交首次响应文件截止之日起，不少于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代理服务费收费标准：参照国家计委《招标代理服务收费管理暂行办法》(计价格[2002]1980 号)、国家发展和改革委员会《国家发展改革委办公厅关于招标代理服务收费有关问题的通知》( 发改办价格[2003]857号)和《国家发展改革委关于降低部分建设项目收费标准规范收费行为等 有关问题的通知》(发改价格[2011]534号)文件的相关规定执行。</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 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23</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洋县蔡伦墓祠文物管理所</w:t>
      </w:r>
      <w:r>
        <w:rPr>
          <w:rFonts w:ascii="仿宋_GB2312" w:hAnsi="仿宋_GB2312" w:cs="仿宋_GB2312" w:eastAsia="仿宋_GB2312"/>
        </w:rPr>
        <w:t>和</w:t>
      </w:r>
      <w:r>
        <w:rPr>
          <w:rFonts w:ascii="仿宋_GB2312" w:hAnsi="仿宋_GB2312" w:cs="仿宋_GB2312" w:eastAsia="仿宋_GB2312"/>
        </w:rPr>
        <w:t>陕西君诚项目管理有限公司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洋县蔡伦墓祠文物管理所</w:t>
      </w:r>
      <w:r>
        <w:rPr>
          <w:rFonts w:ascii="仿宋_GB2312" w:hAnsi="仿宋_GB2312" w:cs="仿宋_GB2312" w:eastAsia="仿宋_GB2312"/>
        </w:rPr>
        <w:t>负责解释。除上述磋商文件内容，其他内容由</w:t>
      </w:r>
      <w:r>
        <w:rPr>
          <w:rFonts w:ascii="仿宋_GB2312" w:hAnsi="仿宋_GB2312" w:cs="仿宋_GB2312" w:eastAsia="仿宋_GB2312"/>
        </w:rPr>
        <w:t>陕西君诚项目管理有限公司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洋县蔡伦墓祠文物管理所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陕西君诚项目管理有限公司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本次采购活动的基本依据，也是供应商准备响应文件、参加采购活动的依据。磋商文件包括资格预审文件、磋商邀请、采购方式、采购预算、采购需求、政府采购政策要求、评审程序、评审方法、评审标准、价格构成或者报价要求、响应文件编制要求、磋商过程中可能实质性变动内容、响应文件提交的截止时间、开启时间及地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 xml:space="preserve"> 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一、供应商应认真核实本项目的工程量清单。</w:t>
      </w:r>
    </w:p>
    <w:p>
      <w:pPr>
        <w:pStyle w:val="null3"/>
        <w:ind w:firstLine="480"/>
      </w:pPr>
      <w:r>
        <w:rPr>
          <w:rFonts w:ascii="仿宋_GB2312" w:hAnsi="仿宋_GB2312" w:cs="仿宋_GB2312" w:eastAsia="仿宋_GB2312"/>
        </w:rPr>
        <w:t>二、供应商的报价是其响应本项目要求的全部工作内容的价格体现，包括供应商完成本项目所需的一切费用。</w:t>
      </w:r>
    </w:p>
    <w:p>
      <w:pPr>
        <w:pStyle w:val="null3"/>
        <w:ind w:firstLine="480"/>
      </w:pPr>
      <w:r>
        <w:rPr>
          <w:rFonts w:ascii="仿宋_GB2312" w:hAnsi="仿宋_GB2312" w:cs="仿宋_GB2312" w:eastAsia="仿宋_GB2312"/>
        </w:rPr>
        <w:t>三、本项目合同价格形式为如下：</w:t>
      </w:r>
    </w:p>
    <w:p>
      <w:pPr>
        <w:pStyle w:val="null3"/>
      </w:pPr>
      <w:r>
        <w:rPr>
          <w:rFonts w:ascii="仿宋_GB2312" w:hAnsi="仿宋_GB2312" w:cs="仿宋_GB2312" w:eastAsia="仿宋_GB2312"/>
        </w:rPr>
        <w:t>采购包1：项目单价</w:t>
      </w:r>
    </w:p>
    <w:p>
      <w:pPr>
        <w:pStyle w:val="null3"/>
      </w:pPr>
      <w:r>
        <w:rPr>
          <w:rFonts w:ascii="仿宋_GB2312" w:hAnsi="仿宋_GB2312" w:cs="仿宋_GB2312" w:eastAsia="仿宋_GB2312"/>
        </w:rPr>
        <w:t>项目单价。</w:t>
      </w:r>
    </w:p>
    <w:p>
      <w:pPr>
        <w:pStyle w:val="null3"/>
      </w:pPr>
      <w:r>
        <w:rPr>
          <w:rFonts w:ascii="仿宋_GB2312" w:hAnsi="仿宋_GB2312" w:cs="仿宋_GB2312" w:eastAsia="仿宋_GB2312"/>
        </w:rPr>
        <w:t>供应商在首次提交的响应文件中的报价（即首次报价）应按采购文件及工程量清单编制要求，逐一列出报价的构成及明细，并提供已标价工程量清单。已标价工程量清单的扉页(仅指投标总价扉页)应由注册或登记的造价人员签字并盖执业印章。</w:t>
      </w:r>
    </w:p>
    <w:p>
      <w:pPr>
        <w:pStyle w:val="null3"/>
      </w:pPr>
      <w:r>
        <w:rPr>
          <w:rFonts w:ascii="仿宋_GB2312" w:hAnsi="仿宋_GB2312" w:cs="仿宋_GB2312" w:eastAsia="仿宋_GB2312"/>
        </w:rPr>
        <w:t>供应商提交的已标价工程量清单应符合本项目工程量清单以及清单说明的要求。当供应商的已标价工程量清单有下列情形之一的，应按照无效响应文件处理。</w:t>
      </w:r>
    </w:p>
    <w:p>
      <w:pPr>
        <w:pStyle w:val="null3"/>
      </w:pPr>
      <w:r>
        <w:rPr>
          <w:rFonts w:ascii="仿宋_GB2312" w:hAnsi="仿宋_GB2312" w:cs="仿宋_GB2312" w:eastAsia="仿宋_GB2312"/>
        </w:rPr>
        <w:t>（一）供应商对工程量清单中的分部分项工程量清单项目（说明：根据建筑、水利、交通等确定具体表述）的单价未填报或填报为零的，视为未完全响应工程量清单，作无效处理；</w:t>
      </w:r>
    </w:p>
    <w:p>
      <w:pPr>
        <w:pStyle w:val="null3"/>
      </w:pPr>
      <w:r>
        <w:rPr>
          <w:rFonts w:ascii="仿宋_GB2312" w:hAnsi="仿宋_GB2312" w:cs="仿宋_GB2312" w:eastAsia="仿宋_GB2312"/>
        </w:rPr>
        <w:t>（二）已标价工程量清单的项目编码、项目名称、项目特征（与采购人提供的工程量清单中的项目特征的实质性内容一致的除外）、计量单位、工程量与采购人提供的工程量清单不一致的；</w:t>
      </w:r>
    </w:p>
    <w:p>
      <w:pPr>
        <w:pStyle w:val="null3"/>
      </w:pPr>
      <w:r>
        <w:rPr>
          <w:rFonts w:ascii="仿宋_GB2312" w:hAnsi="仿宋_GB2312" w:cs="仿宋_GB2312" w:eastAsia="仿宋_GB2312"/>
        </w:rPr>
        <w:t>（三）采购文件已明确各单位工程安全文明施工费中的环境保护费、文明施工费、安全施工费、临时设施费金额并要求按此金额填报而供应商填报错误或未填报的，或供应商未按相关计价规定计取安全文明施工费的；</w:t>
      </w:r>
    </w:p>
    <w:p>
      <w:pPr>
        <w:pStyle w:val="null3"/>
      </w:pPr>
      <w:r>
        <w:rPr>
          <w:rFonts w:ascii="仿宋_GB2312" w:hAnsi="仿宋_GB2312" w:cs="仿宋_GB2312" w:eastAsia="仿宋_GB2312"/>
        </w:rPr>
        <w:t>（四）采购文件已明确各单位工程规费金额并要求按此金额填报而供应商填报错误或未填报的，或供应商未按相关计价规定计取规费的；</w:t>
      </w:r>
    </w:p>
    <w:p>
      <w:pPr>
        <w:pStyle w:val="null3"/>
      </w:pPr>
      <w:r>
        <w:rPr>
          <w:rFonts w:ascii="仿宋_GB2312" w:hAnsi="仿宋_GB2312" w:cs="仿宋_GB2312" w:eastAsia="仿宋_GB2312"/>
        </w:rPr>
        <w:t>（五）采购文件若已明确创优质工程奖补偿奖励费金额并要求按此金额填报而供应商填报错误或未填报的；</w:t>
      </w:r>
    </w:p>
    <w:p>
      <w:pPr>
        <w:pStyle w:val="null3"/>
      </w:pPr>
      <w:r>
        <w:rPr>
          <w:rFonts w:ascii="仿宋_GB2312" w:hAnsi="仿宋_GB2312" w:cs="仿宋_GB2312" w:eastAsia="仿宋_GB2312"/>
        </w:rPr>
        <w:t>（六）已标价工程量清单中暂列金额未按工程量清单中列明的金额填报的；</w:t>
      </w:r>
    </w:p>
    <w:p>
      <w:pPr>
        <w:pStyle w:val="null3"/>
      </w:pPr>
      <w:r>
        <w:rPr>
          <w:rFonts w:ascii="仿宋_GB2312" w:hAnsi="仿宋_GB2312" w:cs="仿宋_GB2312" w:eastAsia="仿宋_GB2312"/>
        </w:rPr>
        <w:t>（七）已标价工程量清单中材料、工程设备暂估价未按工程量清单中列出的单价计入综合单价的；</w:t>
      </w:r>
    </w:p>
    <w:p>
      <w:pPr>
        <w:pStyle w:val="null3"/>
      </w:pPr>
      <w:r>
        <w:rPr>
          <w:rFonts w:ascii="仿宋_GB2312" w:hAnsi="仿宋_GB2312" w:cs="仿宋_GB2312" w:eastAsia="仿宋_GB2312"/>
        </w:rPr>
        <w:t>（八）已标价工程量清单中专业工程暂估价未按工程量清单中列明的金额填写的；</w:t>
      </w:r>
    </w:p>
    <w:p>
      <w:pPr>
        <w:pStyle w:val="null3"/>
      </w:pPr>
      <w:r>
        <w:rPr>
          <w:rFonts w:ascii="仿宋_GB2312" w:hAnsi="仿宋_GB2312" w:cs="仿宋_GB2312" w:eastAsia="仿宋_GB2312"/>
        </w:rPr>
        <w:t>（九）已标价工程量清单中计日工未按工程量清单中列明的数量进行报价的；</w:t>
      </w:r>
    </w:p>
    <w:p>
      <w:pPr>
        <w:pStyle w:val="null3"/>
      </w:pPr>
      <w:r>
        <w:rPr>
          <w:rFonts w:ascii="仿宋_GB2312" w:hAnsi="仿宋_GB2312" w:cs="仿宋_GB2312" w:eastAsia="仿宋_GB2312"/>
        </w:rPr>
        <w:t>（十）单价、合价或总价，不论其大写金额或小写金额均只能有一个，否则，作无效处理。</w:t>
      </w:r>
    </w:p>
    <w:p>
      <w:pPr>
        <w:pStyle w:val="null3"/>
      </w:pPr>
      <w:r>
        <w:rPr>
          <w:rFonts w:ascii="仿宋_GB2312" w:hAnsi="仿宋_GB2312" w:cs="仿宋_GB2312" w:eastAsia="仿宋_GB2312"/>
        </w:rPr>
        <w:t>若供应商的最后报价只有一个总价，则供应商应当提交相应调整部分的报价构成及明细，并结合首次报价提供的已标价工程量清单，重新计算总报价。</w:t>
      </w:r>
    </w:p>
    <w:p>
      <w:pPr>
        <w:pStyle w:val="null3"/>
      </w:pPr>
      <w:r>
        <w:rPr>
          <w:rFonts w:ascii="仿宋_GB2312" w:hAnsi="仿宋_GB2312" w:cs="仿宋_GB2312" w:eastAsia="仿宋_GB2312"/>
        </w:rPr>
        <w:t>供应商报价超过政府采购预算或最高限价（金额详见“供应商须知前附表”）的，其响应文件按无效处理。</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三、供应商完成响应文件编制后，应按照磋商文件第一章明确的签章要求，使用互认的证书及签章对响应文件进行电子签章和加密。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采购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 xml:space="preserve"> 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 xml:space="preserve"> 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 xml:space="preserve"> 2.6.7履约验收方案</w:t>
      </w:r>
    </w:p>
    <w:p>
      <w:pPr>
        <w:pStyle w:val="null3"/>
        <w:ind w:firstLine="480"/>
      </w:pPr>
      <w:r>
        <w:rPr>
          <w:rFonts w:ascii="仿宋_GB2312" w:hAnsi="仿宋_GB2312" w:cs="仿宋_GB2312" w:eastAsia="仿宋_GB2312"/>
        </w:rPr>
        <w:t xml:space="preserve"> 一、本项目采购人或其委托的代理机构将按照合同约定，依据政府采购相关法律法规、《财政部关于进一步加强政府采购需求和履约验收管理的指导意见》（财库〔2016〕205号）、《政府采购需求管理办法》（财库〔2021〕22号）的要求及国家行业主管部门规定的标准、方法和内容组织验收：</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符合《文物系统博物馆安全防范工程规范》（GB/T 16571）、《安全防范工程技术标准》（GB 50348）、合同及设计文件要求，无质量缺陷，文物无损坏，资料齐全。</w:t>
      </w:r>
    </w:p>
    <w:p>
      <w:pPr>
        <w:pStyle w:val="null3"/>
        <w:ind w:firstLine="480"/>
      </w:pPr>
      <w:r>
        <w:rPr>
          <w:rFonts w:ascii="仿宋_GB2312" w:hAnsi="仿宋_GB2312" w:cs="仿宋_GB2312" w:eastAsia="仿宋_GB2312"/>
        </w:rPr>
        <w:t xml:space="preserve"> 二、交付竣工验收的工程，必须符合规定的工程质量标准，有完整的工程技术经济资料和经签署的工程保修书，并具备国家规定的其他竣工条件。 工程竣工经验收合格后，方可交付使用；未经验收或者验收不合格的，不得交付使用</w:t>
      </w:r>
    </w:p>
    <w:p>
      <w:pPr>
        <w:pStyle w:val="null3"/>
        <w:ind w:firstLine="480"/>
      </w:pPr>
      <w:r>
        <w:rPr>
          <w:rFonts w:ascii="仿宋_GB2312" w:hAnsi="仿宋_GB2312" w:cs="仿宋_GB2312" w:eastAsia="仿宋_GB2312"/>
        </w:rPr>
        <w:t>三、验收结果合格的，采购人应向成交供应商出具履约验收报告，成交供应商凭验收报告办理相关手续。</w:t>
      </w:r>
    </w:p>
    <w:p>
      <w:pPr>
        <w:pStyle w:val="null3"/>
        <w:ind w:firstLine="480"/>
      </w:pPr>
      <w:r>
        <w:rPr>
          <w:rFonts w:ascii="仿宋_GB2312" w:hAnsi="仿宋_GB2312" w:cs="仿宋_GB2312" w:eastAsia="仿宋_GB2312"/>
        </w:rPr>
        <w:t xml:space="preserve"> 四、验收结果不合格的，履约保证金将不予退还，给采购人造成的损失超过履约保证金数额的，还应当对超过部分予以赔偿；没有提交履约保证金的，应当对采购人的损失承担赔偿责任。</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采购人将按照政府采购合同规定，及时向成交供应商支付采购资金。</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八、未按照采购文件确定的事项签订政府采购合同；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陕西君诚项目管理有限公司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陕西君诚项目管理有限公司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陕西君诚项目管理有限公司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成交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联系人：武女士</w:t>
      </w:r>
    </w:p>
    <w:p>
      <w:pPr>
        <w:pStyle w:val="null3"/>
      </w:pPr>
      <w:r>
        <w:rPr>
          <w:rFonts w:ascii="仿宋_GB2312" w:hAnsi="仿宋_GB2312" w:cs="仿宋_GB2312" w:eastAsia="仿宋_GB2312"/>
        </w:rPr>
        <w:t>联系电话：0916-8221800</w:t>
      </w:r>
    </w:p>
    <w:p>
      <w:pPr>
        <w:pStyle w:val="null3"/>
      </w:pPr>
      <w:r>
        <w:rPr>
          <w:rFonts w:ascii="仿宋_GB2312" w:hAnsi="仿宋_GB2312" w:cs="仿宋_GB2312" w:eastAsia="仿宋_GB2312"/>
        </w:rPr>
        <w:t>地址：陕西省汉中市洋县洋州街道办事处东二环洋州明珠商裙2-41号</w:t>
      </w:r>
    </w:p>
    <w:p>
      <w:pPr>
        <w:pStyle w:val="null3"/>
      </w:pPr>
      <w:r>
        <w:rPr>
          <w:rFonts w:ascii="仿宋_GB2312" w:hAnsi="仿宋_GB2312" w:cs="仿宋_GB2312" w:eastAsia="仿宋_GB2312"/>
        </w:rPr>
        <w:t>邮编：723300</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1,740,000.00</w:t>
      </w:r>
    </w:p>
    <w:p>
      <w:pPr>
        <w:pStyle w:val="null3"/>
      </w:pPr>
      <w:r>
        <w:rPr>
          <w:rFonts w:ascii="仿宋_GB2312" w:hAnsi="仿宋_GB2312" w:cs="仿宋_GB2312" w:eastAsia="仿宋_GB2312"/>
        </w:rPr>
        <w:t>采购包最高限价（元）: 1,733,609.43</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rFonts w:ascii="仿宋_GB2312" w:hAnsi="仿宋_GB2312" w:cs="仿宋_GB2312" w:eastAsia="仿宋_GB2312"/>
              </w:rPr>
              <w:t>序号</w:t>
            </w:r>
          </w:p>
        </w:tc>
        <w:tc>
          <w:tcPr>
            <w:tcW w:type="dxa" w:w="1384"/>
          </w:tcPr>
          <w:p>
            <w:pPr>
              <w:pStyle w:val="null3"/>
            </w:pPr>
            <w:r>
              <w:rPr>
                <w:rFonts w:ascii="仿宋_GB2312" w:hAnsi="仿宋_GB2312" w:cs="仿宋_GB2312" w:eastAsia="仿宋_GB2312"/>
              </w:rPr>
              <w:t>标的名称</w:t>
            </w:r>
          </w:p>
        </w:tc>
        <w:tc>
          <w:tcPr>
            <w:tcW w:type="dxa" w:w="1384"/>
          </w:tcPr>
          <w:p>
            <w:pPr>
              <w:pStyle w:val="null3"/>
            </w:pPr>
            <w:r>
              <w:rPr>
                <w:rFonts w:ascii="仿宋_GB2312" w:hAnsi="仿宋_GB2312" w:cs="仿宋_GB2312" w:eastAsia="仿宋_GB2312"/>
              </w:rPr>
              <w:t>数量</w:t>
            </w:r>
          </w:p>
        </w:tc>
        <w:tc>
          <w:tcPr>
            <w:tcW w:type="dxa" w:w="1384"/>
          </w:tcPr>
          <w:p>
            <w:pPr>
              <w:pStyle w:val="null3"/>
            </w:pPr>
            <w:r>
              <w:rPr>
                <w:rFonts w:ascii="仿宋_GB2312" w:hAnsi="仿宋_GB2312" w:cs="仿宋_GB2312" w:eastAsia="仿宋_GB2312"/>
              </w:rPr>
              <w:t>标的金额 （元）</w:t>
            </w:r>
          </w:p>
        </w:tc>
        <w:tc>
          <w:tcPr>
            <w:tcW w:type="dxa" w:w="1384"/>
          </w:tcPr>
          <w:p>
            <w:pPr>
              <w:pStyle w:val="null3"/>
            </w:pPr>
            <w:r>
              <w:rPr>
                <w:rFonts w:ascii="仿宋_GB2312" w:hAnsi="仿宋_GB2312" w:cs="仿宋_GB2312" w:eastAsia="仿宋_GB2312"/>
              </w:rPr>
              <w:t>计量单位</w:t>
            </w:r>
          </w:p>
        </w:tc>
        <w:tc>
          <w:tcPr>
            <w:tcW w:type="dxa" w:w="1384"/>
          </w:tcPr>
          <w:p>
            <w:pPr>
              <w:pStyle w:val="null3"/>
            </w:pPr>
            <w:r>
              <w:rPr>
                <w:rFonts w:ascii="仿宋_GB2312" w:hAnsi="仿宋_GB2312" w:cs="仿宋_GB2312" w:eastAsia="仿宋_GB2312"/>
              </w:rPr>
              <w:t>所属行业</w:t>
            </w:r>
          </w:p>
        </w:tc>
      </w:tr>
      <w:tr>
        <w:tc>
          <w:tcPr>
            <w:tcW w:type="dxa" w:w="1384"/>
          </w:tcPr>
          <w:p>
            <w:pPr>
              <w:pStyle w:val="null3"/>
            </w:pPr>
            <w:r>
              <w:rPr>
                <w:rFonts w:ascii="仿宋_GB2312" w:hAnsi="仿宋_GB2312" w:cs="仿宋_GB2312" w:eastAsia="仿宋_GB2312"/>
              </w:rPr>
              <w:t>1</w:t>
            </w:r>
          </w:p>
        </w:tc>
        <w:tc>
          <w:tcPr>
            <w:tcW w:type="dxa" w:w="1384"/>
          </w:tcPr>
          <w:p>
            <w:pPr>
              <w:pStyle w:val="null3"/>
            </w:pPr>
            <w:r>
              <w:rPr>
                <w:rFonts w:ascii="仿宋_GB2312" w:hAnsi="仿宋_GB2312" w:cs="仿宋_GB2312" w:eastAsia="仿宋_GB2312"/>
              </w:rPr>
              <w:t>蔡伦墓和祠安防工程</w:t>
            </w:r>
          </w:p>
        </w:tc>
        <w:tc>
          <w:tcPr>
            <w:tcW w:type="dxa" w:w="1384"/>
          </w:tcPr>
          <w:p>
            <w:pPr>
              <w:pStyle w:val="null3"/>
              <w:jc w:val="right"/>
            </w:pPr>
            <w:r>
              <w:rPr>
                <w:rFonts w:ascii="仿宋_GB2312" w:hAnsi="仿宋_GB2312" w:cs="仿宋_GB2312" w:eastAsia="仿宋_GB2312"/>
              </w:rPr>
              <w:t>1.00</w:t>
            </w:r>
          </w:p>
        </w:tc>
        <w:tc>
          <w:tcPr>
            <w:tcW w:type="dxa" w:w="1384"/>
          </w:tcPr>
          <w:p>
            <w:pPr>
              <w:pStyle w:val="null3"/>
              <w:jc w:val="right"/>
            </w:pPr>
            <w:r>
              <w:rPr>
                <w:rFonts w:ascii="仿宋_GB2312" w:hAnsi="仿宋_GB2312" w:cs="仿宋_GB2312" w:eastAsia="仿宋_GB2312"/>
              </w:rPr>
              <w:t>1,740,000.00</w:t>
            </w:r>
          </w:p>
        </w:tc>
        <w:tc>
          <w:tcPr>
            <w:tcW w:type="dxa" w:w="1384"/>
          </w:tcPr>
          <w:p>
            <w:pPr>
              <w:pStyle w:val="null3"/>
            </w:pPr>
            <w:r>
              <w:rPr>
                <w:rFonts w:ascii="仿宋_GB2312" w:hAnsi="仿宋_GB2312" w:cs="仿宋_GB2312" w:eastAsia="仿宋_GB2312"/>
              </w:rPr>
              <w:t>项</w:t>
            </w:r>
          </w:p>
        </w:tc>
        <w:tc>
          <w:tcPr>
            <w:tcW w:type="dxa" w:w="1384"/>
          </w:tcPr>
          <w:p>
            <w:pPr>
              <w:pStyle w:val="null3"/>
            </w:pPr>
            <w:r>
              <w:rPr>
                <w:rFonts w:ascii="仿宋_GB2312" w:hAnsi="仿宋_GB2312" w:cs="仿宋_GB2312" w:eastAsia="仿宋_GB2312"/>
              </w:rPr>
              <w:t>建筑业</w:t>
            </w:r>
          </w:p>
        </w:tc>
      </w:tr>
    </w:tbl>
    <w:p>
      <w:pPr>
        <w:pStyle w:val="null3"/>
        <w:ind w:firstLine="480"/>
      </w:pPr>
      <w:r>
        <w:rPr>
          <w:rFonts w:ascii="仿宋_GB2312" w:hAnsi="仿宋_GB2312" w:cs="仿宋_GB2312" w:eastAsia="仿宋_GB2312"/>
        </w:rPr>
        <w:t>一、技术、服务标准和要求：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标的名称：蔡伦墓和祠安防工程</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0"/>
              </w:rPr>
              <w:t>一、</w:t>
            </w:r>
            <w:r>
              <w:rPr>
                <w:rFonts w:ascii="仿宋_GB2312" w:hAnsi="仿宋_GB2312" w:cs="仿宋_GB2312" w:eastAsia="仿宋_GB2312"/>
                <w:sz w:val="20"/>
              </w:rPr>
              <w:t>工程</w:t>
            </w:r>
            <w:r>
              <w:rPr>
                <w:rFonts w:ascii="仿宋_GB2312" w:hAnsi="仿宋_GB2312" w:cs="仿宋_GB2312" w:eastAsia="仿宋_GB2312"/>
                <w:sz w:val="20"/>
              </w:rPr>
              <w:t>概况：</w:t>
            </w:r>
          </w:p>
          <w:p>
            <w:pPr>
              <w:pStyle w:val="null3"/>
              <w:jc w:val="both"/>
            </w:pPr>
            <w:r>
              <w:rPr>
                <w:rFonts w:ascii="仿宋_GB2312" w:hAnsi="仿宋_GB2312" w:cs="仿宋_GB2312" w:eastAsia="仿宋_GB2312"/>
                <w:sz w:val="20"/>
              </w:rPr>
              <w:t>依据“蔡伦墓和祠安防工程”设计方案及设计图纸内所有工作内容，该工程改造内容主要为入侵和紧急报警系统、视频安防管理系统、应急广播系统、电子巡更系统、出入口控制系统、供配电系统、防雷与接地系统及监控室工程等设施。（具体内容详见工程量清单）</w:t>
            </w:r>
          </w:p>
          <w:p>
            <w:pPr>
              <w:pStyle w:val="null3"/>
              <w:jc w:val="both"/>
            </w:pPr>
            <w:r>
              <w:rPr>
                <w:rFonts w:ascii="仿宋_GB2312" w:hAnsi="仿宋_GB2312" w:cs="仿宋_GB2312" w:eastAsia="仿宋_GB2312"/>
                <w:sz w:val="20"/>
              </w:rPr>
              <w:t>二、</w:t>
            </w:r>
            <w:r>
              <w:rPr>
                <w:rFonts w:ascii="仿宋_GB2312" w:hAnsi="仿宋_GB2312" w:cs="仿宋_GB2312" w:eastAsia="仿宋_GB2312"/>
                <w:sz w:val="20"/>
              </w:rPr>
              <w:t>工期：90日历天</w:t>
            </w:r>
          </w:p>
          <w:p>
            <w:pPr>
              <w:pStyle w:val="null3"/>
            </w:pPr>
            <w:r>
              <w:rPr>
                <w:rFonts w:ascii="仿宋_GB2312" w:hAnsi="仿宋_GB2312" w:cs="仿宋_GB2312" w:eastAsia="仿宋_GB2312"/>
                <w:sz w:val="20"/>
              </w:rPr>
              <w:t>三</w:t>
            </w:r>
            <w:r>
              <w:rPr>
                <w:rFonts w:ascii="仿宋_GB2312" w:hAnsi="仿宋_GB2312" w:cs="仿宋_GB2312" w:eastAsia="仿宋_GB2312"/>
                <w:sz w:val="20"/>
              </w:rPr>
              <w:t>、</w:t>
            </w:r>
            <w:r>
              <w:rPr>
                <w:rFonts w:ascii="仿宋_GB2312" w:hAnsi="仿宋_GB2312" w:cs="仿宋_GB2312" w:eastAsia="仿宋_GB2312"/>
                <w:sz w:val="20"/>
              </w:rPr>
              <w:t>工程质量：达到国家现行施工验收规范合格标准</w:t>
            </w:r>
          </w:p>
          <w:p>
            <w:pPr>
              <w:pStyle w:val="null3"/>
            </w:pPr>
            <w:r>
              <w:rPr>
                <w:rFonts w:ascii="仿宋_GB2312" w:hAnsi="仿宋_GB2312" w:cs="仿宋_GB2312" w:eastAsia="仿宋_GB2312"/>
                <w:sz w:val="20"/>
              </w:rPr>
              <w:t>四、质量保修期：自验收合格之日起2年</w:t>
            </w:r>
          </w:p>
        </w:tc>
      </w:tr>
    </w:tbl>
    <w:p>
      <w:pPr>
        <w:pStyle w:val="null3"/>
        <w:ind w:firstLine="480"/>
      </w:pPr>
      <w:r>
        <w:rPr>
          <w:rFonts w:ascii="仿宋_GB2312" w:hAnsi="仿宋_GB2312" w:cs="仿宋_GB2312" w:eastAsia="仿宋_GB2312"/>
        </w:rPr>
        <w:t>二、供应商针对本项目的施工，必须达到国家及行业现行技术规范标准，符合国家及行业验收合格标准：</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达到国家现行施工验收规范合格标准</w:t>
      </w:r>
    </w:p>
    <w:p>
      <w:pPr>
        <w:pStyle w:val="null3"/>
        <w:ind w:firstLine="480"/>
      </w:pPr>
      <w:r>
        <w:rPr>
          <w:rFonts w:ascii="仿宋_GB2312" w:hAnsi="仿宋_GB2312" w:cs="仿宋_GB2312" w:eastAsia="仿宋_GB2312"/>
        </w:rPr>
        <w:t>三、针对本项目的其他技术服务要求：</w:t>
      </w:r>
    </w:p>
    <w:p>
      <w:pPr>
        <w:pStyle w:val="null3"/>
      </w:pPr>
      <w:r>
        <w:rPr>
          <w:rFonts w:ascii="仿宋_GB2312" w:hAnsi="仿宋_GB2312" w:cs="仿宋_GB2312" w:eastAsia="仿宋_GB2312"/>
        </w:rPr>
        <w:t>/</w:t>
      </w:r>
    </w:p>
    <w:p>
      <w:pPr>
        <w:pStyle w:val="null3"/>
        <w:ind w:firstLine="480"/>
      </w:pPr>
      <w:r>
        <w:rPr>
          <w:rFonts w:ascii="仿宋_GB2312" w:hAnsi="仿宋_GB2312" w:cs="仿宋_GB2312" w:eastAsia="仿宋_GB2312"/>
        </w:rPr>
        <w:t>四、工程量清单（详见附件）</w:t>
      </w:r>
    </w:p>
    <w:p>
      <w:pPr>
        <w:pStyle w:val="null3"/>
        <w:ind w:firstLine="480"/>
      </w:pPr>
      <w:r>
        <w:rPr>
          <w:rFonts w:ascii="仿宋_GB2312" w:hAnsi="仿宋_GB2312" w:cs="仿宋_GB2312" w:eastAsia="仿宋_GB2312"/>
        </w:rPr>
        <w:t xml:space="preserve"> （说明：工程量清单应当结合《政府采购需求管理办法》（财库〔2021〕22号）第六条第二款规定，明确相关性能、材料、结构、外观、安全、标准等。）</w:t>
      </w:r>
    </w:p>
    <w:p>
      <w:pPr>
        <w:pStyle w:val="null3"/>
        <w:outlineLvl w:val="2"/>
      </w:pPr>
      <w:r>
        <w:rPr>
          <w:rFonts w:ascii="仿宋_GB2312" w:hAnsi="仿宋_GB2312" w:cs="仿宋_GB2312" w:eastAsia="仿宋_GB2312"/>
          <w:sz w:val="28"/>
          <w:b/>
        </w:rPr>
        <w:t>3.2商务要求（说明：由采购人依据项目具体需求制定）</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序号</w:t>
            </w:r>
          </w:p>
        </w:tc>
        <w:tc>
          <w:tcPr>
            <w:tcW w:type="dxa" w:w="2769"/>
          </w:tcPr>
          <w:p>
            <w:pPr>
              <w:pStyle w:val="null3"/>
            </w:pPr>
            <w:r>
              <w:rPr>
                <w:rFonts w:ascii="仿宋_GB2312" w:hAnsi="仿宋_GB2312" w:cs="仿宋_GB2312" w:eastAsia="仿宋_GB2312"/>
              </w:rPr>
              <w:t>项目</w:t>
            </w:r>
          </w:p>
        </w:tc>
        <w:tc>
          <w:tcPr>
            <w:tcW w:type="dxa" w:w="2769"/>
          </w:tcPr>
          <w:p>
            <w:pPr>
              <w:pStyle w:val="null3"/>
            </w:pPr>
            <w:r>
              <w:rPr>
                <w:rFonts w:ascii="仿宋_GB2312" w:hAnsi="仿宋_GB2312" w:cs="仿宋_GB2312" w:eastAsia="仿宋_GB2312"/>
              </w:rPr>
              <w:t>要求</w:t>
            </w:r>
          </w:p>
        </w:tc>
      </w:tr>
      <w:tr>
        <w:tc>
          <w:tcPr>
            <w:tcW w:type="dxa" w:w="2769"/>
          </w:tcPr>
          <w:p>
            <w:pPr>
              <w:pStyle w:val="null3"/>
            </w:pPr>
            <w:r>
              <w:rPr>
                <w:rFonts w:ascii="仿宋_GB2312" w:hAnsi="仿宋_GB2312" w:cs="仿宋_GB2312" w:eastAsia="仿宋_GB2312"/>
              </w:rPr>
              <w:t>1</w:t>
            </w:r>
          </w:p>
        </w:tc>
        <w:tc>
          <w:tcPr>
            <w:tcW w:type="dxa" w:w="2769"/>
          </w:tcPr>
          <w:p>
            <w:pPr>
              <w:pStyle w:val="null3"/>
            </w:pPr>
            <w:r>
              <w:rPr>
                <w:rFonts w:ascii="仿宋_GB2312" w:hAnsi="仿宋_GB2312" w:cs="仿宋_GB2312" w:eastAsia="仿宋_GB2312"/>
              </w:rPr>
              <w:t>项目负责人（项目经理）</w:t>
            </w:r>
          </w:p>
        </w:tc>
        <w:tc>
          <w:tcPr>
            <w:tcW w:type="dxa" w:w="2769"/>
          </w:tcPr>
          <w:p>
            <w:pPr>
              <w:pStyle w:val="null3"/>
            </w:pPr>
            <w:r>
              <w:rPr>
                <w:rFonts w:ascii="仿宋_GB2312" w:hAnsi="仿宋_GB2312" w:cs="仿宋_GB2312" w:eastAsia="仿宋_GB2312"/>
              </w:rPr>
              <w:t>具体要求详见资格审查条款</w:t>
            </w:r>
          </w:p>
        </w:tc>
      </w:tr>
    </w:tbl>
    <w:p>
      <w:pPr>
        <w:pStyle w:val="null3"/>
        <w:outlineLvl w:val="3"/>
      </w:pPr>
      <w:r>
        <w:rPr>
          <w:rFonts w:ascii="仿宋_GB2312" w:hAnsi="仿宋_GB2312" w:cs="仿宋_GB2312" w:eastAsia="仿宋_GB2312"/>
          <w:sz w:val="24"/>
          <w:b/>
        </w:rPr>
        <w:t>说明：</w:t>
      </w:r>
    </w:p>
    <w:p>
      <w:pPr>
        <w:pStyle w:val="null3"/>
        <w:ind w:firstLine="480"/>
      </w:pPr>
      <w:r>
        <w:rPr>
          <w:rFonts w:ascii="仿宋_GB2312" w:hAnsi="仿宋_GB2312" w:cs="仿宋_GB2312" w:eastAsia="仿宋_GB2312"/>
        </w:rPr>
        <w:t>1.对于不允许偏离的实质性要求和条件，采购人或者代理机构应当在磋商文件中规定，并以醒目的方式标明。</w:t>
      </w:r>
    </w:p>
    <w:p>
      <w:pPr>
        <w:pStyle w:val="null3"/>
        <w:ind w:firstLine="480"/>
      </w:pPr>
      <w:r>
        <w:rPr>
          <w:rFonts w:ascii="仿宋_GB2312" w:hAnsi="仿宋_GB2312" w:cs="仿宋_GB2312" w:eastAsia="仿宋_GB2312"/>
        </w:rPr>
        <w:t xml:space="preserve"> 2.除相关法律或行政法规或规章要求供应商在响应或磋商阶段提供检测报告的，不得要求供应商在响应、磋商阶段提供检测报告，如确实需要检测报告，可要求供应商承诺在签订合同阶段或项目实施阶段提供。</w:t>
      </w:r>
    </w:p>
    <w:p>
      <w:pPr>
        <w:pStyle w:val="null3"/>
        <w:ind w:firstLine="480"/>
      </w:pPr>
      <w:r>
        <w:rPr>
          <w:rFonts w:ascii="仿宋_GB2312" w:hAnsi="仿宋_GB2312" w:cs="仿宋_GB2312" w:eastAsia="仿宋_GB2312"/>
        </w:rPr>
        <w:t xml:space="preserve"> 3.若要求供应商提供相关人员的职业资格的，不得要求提供除现行《国家职业资格目录》以外的职业资格，不得以不合理条件对供应商实行差别待遇或者歧视性待遇。</w:t>
      </w:r>
    </w:p>
    <w:p>
      <w:pPr>
        <w:pStyle w:val="null3"/>
        <w:outlineLvl w:val="2"/>
      </w:pPr>
      <w:r>
        <w:rPr>
          <w:rFonts w:ascii="仿宋_GB2312" w:hAnsi="仿宋_GB2312" w:cs="仿宋_GB2312" w:eastAsia="仿宋_GB2312"/>
          <w:sz w:val="28"/>
          <w:b/>
        </w:rPr>
        <w:t>3.3其他要求</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汉中市政府采购供应商资格承诺函.docx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供应商为采购人、代理机构在确定采购需求、编制采购文件过程中提供咨询论证，其提供的咨询论证意见成为采购文件中规定的供应商资格条件、技术服务商务要求、评审因素和标准、政府采购合同等实质性内容条款的，视同为采购项目提供规范编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参与的供应商（联合体）工程的施工单位全部为符合政策要求的中小企业。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供应商为具有独立承担民事责任能力的法人或其他组织或自然人，并出具合法有效的营业执照或事业单位法人证书等国家规定的相关证明，自然人参与的提供其身份证明。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有效的主体资格证明.docx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响应文件签署人身份证明</w:t>
            </w:r>
          </w:p>
        </w:tc>
        <w:tc>
          <w:tcPr>
            <w:tcW w:type="dxa" w:w="3322"/>
          </w:tcPr>
          <w:p>
            <w:pPr>
              <w:pStyle w:val="null3"/>
            </w:pPr>
            <w:r>
              <w:rPr>
                <w:rFonts w:ascii="仿宋_GB2312" w:hAnsi="仿宋_GB2312" w:cs="仿宋_GB2312" w:eastAsia="仿宋_GB2312"/>
              </w:rPr>
              <w:t>法定代表人参加投标须提供《法定代表人身份证明》及身份证复印件；法定代表人授权他人参加投标，须提供《法定代表人授权委托书》、被授权人身份证复印件。</w:t>
            </w:r>
          </w:p>
        </w:tc>
        <w:tc>
          <w:tcPr>
            <w:tcW w:type="dxa" w:w="1661"/>
          </w:tcPr>
          <w:p>
            <w:pPr>
              <w:pStyle w:val="null3"/>
            </w:pPr>
            <w:r>
              <w:rPr>
                <w:rFonts w:ascii="仿宋_GB2312" w:hAnsi="仿宋_GB2312" w:cs="仿宋_GB2312" w:eastAsia="仿宋_GB2312"/>
              </w:rPr>
              <w:t>法定代表人身份证明或法定代表人授权委托书.docx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企业资质要求</w:t>
            </w:r>
          </w:p>
        </w:tc>
        <w:tc>
          <w:tcPr>
            <w:tcW w:type="dxa" w:w="3322"/>
          </w:tcPr>
          <w:p>
            <w:pPr>
              <w:pStyle w:val="null3"/>
            </w:pPr>
            <w:r>
              <w:rPr>
                <w:rFonts w:ascii="仿宋_GB2312" w:hAnsi="仿宋_GB2312" w:cs="仿宋_GB2312" w:eastAsia="仿宋_GB2312"/>
              </w:rPr>
              <w:t>供应商须具备建设行政主管部门核发的电子与智能化工程专业承包一级资质，安全生产许可证合格有效。</w:t>
            </w:r>
          </w:p>
        </w:tc>
        <w:tc>
          <w:tcPr>
            <w:tcW w:type="dxa" w:w="1661"/>
          </w:tcPr>
          <w:p>
            <w:pPr>
              <w:pStyle w:val="null3"/>
            </w:pPr>
            <w:r>
              <w:rPr>
                <w:rFonts w:ascii="仿宋_GB2312" w:hAnsi="仿宋_GB2312" w:cs="仿宋_GB2312" w:eastAsia="仿宋_GB2312"/>
              </w:rPr>
              <w:t>企业资质要求.docx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项目经理资格要求</w:t>
            </w:r>
          </w:p>
        </w:tc>
        <w:tc>
          <w:tcPr>
            <w:tcW w:type="dxa" w:w="3322"/>
          </w:tcPr>
          <w:p>
            <w:pPr>
              <w:pStyle w:val="null3"/>
            </w:pPr>
            <w:r>
              <w:rPr>
                <w:rFonts w:ascii="仿宋_GB2312" w:hAnsi="仿宋_GB2312" w:cs="仿宋_GB2312" w:eastAsia="仿宋_GB2312"/>
              </w:rPr>
              <w:t>项目负责人应具备有效的机电工程专业二级（含二级）及以上注册建造师资格、具有有效的安全考核合格证（B证），且无在建工程。</w:t>
            </w:r>
          </w:p>
        </w:tc>
        <w:tc>
          <w:tcPr>
            <w:tcW w:type="dxa" w:w="1661"/>
          </w:tcPr>
          <w:p>
            <w:pPr>
              <w:pStyle w:val="null3"/>
            </w:pPr>
            <w:r>
              <w:rPr>
                <w:rFonts w:ascii="仿宋_GB2312" w:hAnsi="仿宋_GB2312" w:cs="仿宋_GB2312" w:eastAsia="仿宋_GB2312"/>
              </w:rPr>
              <w:t>项目经理资格要求.docx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资格承诺函</w:t>
            </w:r>
          </w:p>
        </w:tc>
        <w:tc>
          <w:tcPr>
            <w:tcW w:type="dxa" w:w="3322"/>
          </w:tcPr>
          <w:p>
            <w:pPr>
              <w:pStyle w:val="null3"/>
            </w:pPr>
            <w:r>
              <w:rPr>
                <w:rFonts w:ascii="仿宋_GB2312" w:hAnsi="仿宋_GB2312" w:cs="仿宋_GB2312" w:eastAsia="仿宋_GB2312"/>
              </w:rPr>
              <w:t>供应商应具有良好的商业信誉和健全的财务会计制度，具有履行合同所必需的设备和专业技术能力，具有依法缴纳税收和社会保障金的良好记录，参加本项目采购活动前三年内无重大违法活动记录；供应商应按照汉中市财政局《关于全面推行政府采购供应商基本资格条件承诺制的通知》（汉采办采管〔2024〕20号）文件要求，提供资格承诺函。</w:t>
            </w:r>
          </w:p>
        </w:tc>
        <w:tc>
          <w:tcPr>
            <w:tcW w:type="dxa" w:w="1661"/>
          </w:tcPr>
          <w:p>
            <w:pPr>
              <w:pStyle w:val="null3"/>
            </w:pPr>
            <w:r>
              <w:rPr>
                <w:rFonts w:ascii="仿宋_GB2312" w:hAnsi="仿宋_GB2312" w:cs="仿宋_GB2312" w:eastAsia="仿宋_GB2312"/>
              </w:rPr>
              <w:t>汉中市政府采购供应商资格承诺函.docx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ind w:firstLine="480"/>
      </w:pPr>
      <w:r>
        <w:rPr>
          <w:rFonts w:ascii="仿宋_GB2312" w:hAnsi="仿宋_GB2312" w:cs="仿宋_GB2312" w:eastAsia="仿宋_GB2312"/>
        </w:rPr>
        <w:t>注：工程量清单不属于磋商过程中可以实质性变动的内容。</w:t>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制度，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供应商通过证书加盖其电子印章后生效。出现无法在线签章的特殊情况，评审委员会成员可以线下签署评审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三、磋商小组按照磋商文件规定的磋商程序、评审方法和标准进行评审，并独立履行下列职责：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出现上述应当停止评审情形的，磋商小组应当通过项目电子化交易系统向采购人提交情况说明。除上述情形外，磋商小组不得以任何方式和理由停止评审。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一、磋商开始前，磋商小组对供应商首次提交的响应文件（包括报价）进行审查，审查内容为磋商文件不允许实质性变动的实质性要求，不符合实质性要求或应当作无效响应处理的，作无效响应处理。</w:t>
      </w:r>
    </w:p>
    <w:p>
      <w:pPr>
        <w:pStyle w:val="null3"/>
        <w:ind w:firstLine="480"/>
      </w:pPr>
      <w:r>
        <w:rPr>
          <w:rFonts w:ascii="仿宋_GB2312" w:hAnsi="仿宋_GB2312" w:cs="仿宋_GB2312" w:eastAsia="仿宋_GB2312"/>
        </w:rPr>
        <w:t>二、磋商小组对供应商已标价工程量清单进行算术性复核，如果出现下列不一致的，按以下原则进行修正：</w:t>
      </w:r>
    </w:p>
    <w:p>
      <w:pPr>
        <w:pStyle w:val="null3"/>
        <w:ind w:firstLine="480"/>
      </w:pPr>
      <w:r>
        <w:rPr>
          <w:rFonts w:ascii="仿宋_GB2312" w:hAnsi="仿宋_GB2312" w:cs="仿宋_GB2312" w:eastAsia="仿宋_GB2312"/>
        </w:rPr>
        <w:t xml:space="preserve"> （一）报价大写金额和小写金额不一致的，以大写金额为准。但大写金额文字存在错误的，应当先对大写金额的文字错误进行澄清、说明或者更正，再行修正。</w:t>
      </w:r>
    </w:p>
    <w:p>
      <w:pPr>
        <w:pStyle w:val="null3"/>
        <w:ind w:firstLine="480"/>
      </w:pPr>
      <w:r>
        <w:rPr>
          <w:rFonts w:ascii="仿宋_GB2312" w:hAnsi="仿宋_GB2312" w:cs="仿宋_GB2312" w:eastAsia="仿宋_GB2312"/>
        </w:rPr>
        <w:t xml:space="preserve"> （二）总价金额与依据单价（或费率）计算出的结果不一致的，以单价（或费率）为准修正总价，但单价（或费率）小数点有明显错误的除外（包括但不限于工程量清单、单位工程汇总表、单项工程汇总表、报价汇总表）。</w:t>
      </w:r>
    </w:p>
    <w:p>
      <w:pPr>
        <w:pStyle w:val="null3"/>
        <w:ind w:firstLine="480"/>
      </w:pPr>
      <w:r>
        <w:rPr>
          <w:rFonts w:ascii="仿宋_GB2312" w:hAnsi="仿宋_GB2312" w:cs="仿宋_GB2312" w:eastAsia="仿宋_GB2312"/>
        </w:rPr>
        <w:t xml:space="preserve"> 修正后的报价经供应商确认后产生约束力，供应商不确认的，其响应文件作为无效处理。供应商确认采取书面方式并经供应商授权代表签字。磋商小组不得未经书面形式要求供应商确认，直接将供应商响应文件作为无效处理。</w:t>
      </w:r>
    </w:p>
    <w:p>
      <w:pPr>
        <w:pStyle w:val="null3"/>
        <w:ind w:firstLine="480"/>
      </w:pPr>
      <w:r>
        <w:rPr>
          <w:rFonts w:ascii="仿宋_GB2312" w:hAnsi="仿宋_GB2312" w:cs="仿宋_GB2312" w:eastAsia="仿宋_GB2312"/>
        </w:rPr>
        <w:t xml:space="preserve"> 三、在符合性审查过程中，如果出现磋商小组成员意见不一致的情况，按照少数服从多数的原则确定，但不得违背政府采购基本原则和磋商文件规定。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四、磋商小组对所有响应文件进行审查后，确定参加磋商的供应商名单。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 xml:space="preserve"> 1.磋商小组认为供应商的报价明显低于其他实质性响应的供应商报价，有可能影响工程质量或者不能诚信履约的，应当要求其在合理的时间内提供书面说明，必要时提交相关证明材料；供应商不能证明其报价合理性的，磋商小组应当将其作为无效响应处理。 2.供应商通过项目电子化交易系统在磋商小组要求的合理时间内提交说明，否则无效。</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响应文件有效期</w:t>
            </w:r>
          </w:p>
        </w:tc>
        <w:tc>
          <w:tcPr>
            <w:tcW w:type="dxa" w:w="3322"/>
          </w:tcPr>
          <w:p>
            <w:pPr>
              <w:pStyle w:val="null3"/>
            </w:pPr>
            <w:r>
              <w:rPr>
                <w:rFonts w:ascii="仿宋_GB2312" w:hAnsi="仿宋_GB2312" w:cs="仿宋_GB2312" w:eastAsia="仿宋_GB2312"/>
              </w:rPr>
              <w:t>响应文件有效期符合磋商文件要求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投标价格</w:t>
            </w:r>
          </w:p>
        </w:tc>
        <w:tc>
          <w:tcPr>
            <w:tcW w:type="dxa" w:w="3322"/>
          </w:tcPr>
          <w:p>
            <w:pPr>
              <w:pStyle w:val="null3"/>
            </w:pPr>
            <w:r>
              <w:rPr>
                <w:rFonts w:ascii="仿宋_GB2312" w:hAnsi="仿宋_GB2312" w:cs="仿宋_GB2312" w:eastAsia="仿宋_GB2312"/>
              </w:rPr>
              <w:t>1.投标报价唯一；2.报价货币符合磋商文件要求；3.未超出采购预算或采购文件规定的最高限价。</w:t>
            </w:r>
          </w:p>
        </w:tc>
        <w:tc>
          <w:tcPr>
            <w:tcW w:type="dxa" w:w="1661"/>
          </w:tcPr>
          <w:p>
            <w:pPr>
              <w:pStyle w:val="null3"/>
            </w:pPr>
            <w:r>
              <w:rPr>
                <w:rFonts w:ascii="仿宋_GB2312" w:hAnsi="仿宋_GB2312" w:cs="仿宋_GB2312" w:eastAsia="仿宋_GB2312"/>
              </w:rPr>
              <w:t>已标价工程量清单 报价函 标的清单</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工期</w:t>
            </w:r>
          </w:p>
        </w:tc>
        <w:tc>
          <w:tcPr>
            <w:tcW w:type="dxa" w:w="3322"/>
          </w:tcPr>
          <w:p>
            <w:pPr>
              <w:pStyle w:val="null3"/>
            </w:pPr>
            <w:r>
              <w:rPr>
                <w:rFonts w:ascii="仿宋_GB2312" w:hAnsi="仿宋_GB2312" w:cs="仿宋_GB2312" w:eastAsia="仿宋_GB2312"/>
              </w:rPr>
              <w:t>90日历天</w:t>
            </w:r>
          </w:p>
        </w:tc>
        <w:tc>
          <w:tcPr>
            <w:tcW w:type="dxa" w:w="1661"/>
          </w:tcPr>
          <w:p>
            <w:pPr>
              <w:pStyle w:val="null3"/>
            </w:pPr>
            <w:r>
              <w:rPr>
                <w:rFonts w:ascii="仿宋_GB2312" w:hAnsi="仿宋_GB2312" w:cs="仿宋_GB2312" w:eastAsia="仿宋_GB2312"/>
              </w:rPr>
              <w:t>报价函 标的清单</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响应文件签署、盖章</w:t>
            </w:r>
          </w:p>
        </w:tc>
        <w:tc>
          <w:tcPr>
            <w:tcW w:type="dxa" w:w="3322"/>
          </w:tcPr>
          <w:p>
            <w:pPr>
              <w:pStyle w:val="null3"/>
            </w:pPr>
            <w:r>
              <w:rPr>
                <w:rFonts w:ascii="仿宋_GB2312" w:hAnsi="仿宋_GB2312" w:cs="仿宋_GB2312" w:eastAsia="仿宋_GB2312"/>
              </w:rPr>
              <w:t>符合磋商文件签署盖章要求，且无遗漏</w:t>
            </w:r>
          </w:p>
        </w:tc>
        <w:tc>
          <w:tcPr>
            <w:tcW w:type="dxa" w:w="1661"/>
          </w:tcPr>
          <w:p>
            <w:pPr>
              <w:pStyle w:val="null3"/>
            </w:pPr>
            <w:r>
              <w:rPr>
                <w:rFonts w:ascii="仿宋_GB2312" w:hAnsi="仿宋_GB2312" w:cs="仿宋_GB2312" w:eastAsia="仿宋_GB2312"/>
              </w:rPr>
              <w:t>技术方案.docx 已标价工程量清单 有效的主体资格证明.docx 中小企业声明函 汉中市政府采购供应商资格承诺函.docx 响应文件封面 项目管理机构组成表 企业资质要求.docx 残疾人福利性单位声明函 报价函 标的清单 供应商类似项目业绩一览表 响应函 主要人员简历表 法定代表人身份证明或法定代表人授权委托书.docx 项目经理资格要求.docx 监狱企业的证明文件</w:t>
            </w:r>
          </w:p>
        </w:tc>
      </w:tr>
    </w:tbl>
    <w:p>
      <w:pPr>
        <w:pStyle w:val="null3"/>
        <w:outlineLvl w:val="3"/>
      </w:pPr>
      <w:r>
        <w:rPr>
          <w:rFonts w:ascii="仿宋_GB2312" w:hAnsi="仿宋_GB2312" w:cs="仿宋_GB2312" w:eastAsia="仿宋_GB2312"/>
          <w:sz w:val="24"/>
          <w:b/>
        </w:rPr>
        <w:t xml:space="preserve"> 6.3.3磋商</w:t>
      </w:r>
    </w:p>
    <w:p>
      <w:pPr>
        <w:pStyle w:val="null3"/>
        <w:ind w:firstLine="480"/>
      </w:pPr>
      <w:r>
        <w:rPr>
          <w:rFonts w:ascii="仿宋_GB2312" w:hAnsi="仿宋_GB2312" w:cs="仿宋_GB2312" w:eastAsia="仿宋_GB2312"/>
        </w:rPr>
        <w:t xml:space="preserve"> 一、磋商小组所有成员集中与单一供应商分别进行一轮或多轮磋商，并给予所有参加磋商的供应商平等的磋商机会。磋商顺序由磋商小组组长以在线抽签的方式确定。磋商过程中，磋商小组可以根据磋商情况调整磋商轮次。</w:t>
      </w:r>
    </w:p>
    <w:p>
      <w:pPr>
        <w:pStyle w:val="null3"/>
        <w:ind w:firstLine="480"/>
      </w:pPr>
      <w:r>
        <w:rPr>
          <w:rFonts w:ascii="仿宋_GB2312" w:hAnsi="仿宋_GB2312" w:cs="仿宋_GB2312" w:eastAsia="仿宋_GB2312"/>
        </w:rPr>
        <w:t>二、每轮磋商开始前，磋商小组应根据磋商文件的规定，并结合各供应商的响应文件拟定磋商内容。</w:t>
      </w:r>
    </w:p>
    <w:p>
      <w:pPr>
        <w:pStyle w:val="null3"/>
        <w:ind w:firstLine="480"/>
      </w:pPr>
      <w:r>
        <w:rPr>
          <w:rFonts w:ascii="仿宋_GB2312" w:hAnsi="仿宋_GB2312" w:cs="仿宋_GB2312" w:eastAsia="仿宋_GB2312"/>
        </w:rPr>
        <w:t xml:space="preserve"> 三、在磋商过程中，磋商小组在获得采购人代表确认的前提下，可以根据磋商文件第三章“磋商项目技术、服务、商务及其他要求”、第八章“拟签订的合同文本”规定的可实质性变动内容和磋商情况实质性变动磋商文件的技术、服务要求以及合同草案条款，但不得变动磋商文件中的其他内容。</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六、经最终磋商后，响应文件仍有下列情况之一的，应按照无效响应文件处理：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（五）若采用项目包干价的，供应商直接给出其完成本项目全部工作内容所需的总价，不再提供已标价工程量清单（报价格式要求见第七章）。</w:t>
      </w:r>
    </w:p>
    <w:p>
      <w:pPr>
        <w:pStyle w:val="null3"/>
        <w:ind w:firstLine="480"/>
      </w:pPr>
      <w:r>
        <w:rPr>
          <w:rFonts w:ascii="仿宋_GB2312" w:hAnsi="仿宋_GB2312" w:cs="仿宋_GB2312" w:eastAsia="仿宋_GB2312"/>
        </w:rPr>
        <w:t xml:space="preserve"> （六）若采用项目单价的，首次响应文件中的报价以已标价工程量清单报价。供应商最后报价采用基于首次响应文件的报价下浮一定比例的方式进行报价。</w:t>
      </w:r>
    </w:p>
    <w:p>
      <w:pPr>
        <w:pStyle w:val="null3"/>
        <w:ind w:firstLine="480"/>
      </w:pPr>
      <w:r>
        <w:rPr>
          <w:rFonts w:ascii="仿宋_GB2312" w:hAnsi="仿宋_GB2312" w:cs="仿宋_GB2312" w:eastAsia="仿宋_GB2312"/>
        </w:rPr>
        <w:t xml:space="preserve"> （七）若采用采购人固定价的，供应商的报价应当按照磋商文件中确定了的采购项目采购价格进行报价，不得增加或者减少，否则其报价无效，其响应文件应当作为无效处理。供应商最后报价应当以全部响应磋商文件及磋商过程中变更的实质性要求为前提，最后报价应当与首次报价一致，否则作为无效处理（报价格式要求见第七章）。</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说明或者更正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磋商小组在评审过程中，对于资格审查、符合性审查、对供应商响应文件做无效处理及其他需要共同认定的事项存在争议的，应当以少数服从多数的原则做出结论，但不得违背法律法规和磋商文件规定。有不同意见的磋商小组成员认为认定过程和结果不符合法律法规或者磋商文件规定的，应当在磋商报告中予以反映。</w:t>
      </w:r>
    </w:p>
    <w:p>
      <w:pPr>
        <w:pStyle w:val="null3"/>
        <w:outlineLvl w:val="3"/>
      </w:pPr>
      <w:r>
        <w:rPr>
          <w:rFonts w:ascii="仿宋_GB2312" w:hAnsi="仿宋_GB2312" w:cs="仿宋_GB2312" w:eastAsia="仿宋_GB2312"/>
          <w:sz w:val="24"/>
          <w:b/>
        </w:rPr>
        <w:t>6.3.11终止磋商采购活动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三、在采购过程中符合要求的供应商或者报价未超过采购预算及最高限价的供应商不足3家的；</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一、磋商小组根据磋商文件的要求采用相同的评审程序、评分办法及标准进行评价和比较。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ind w:firstLine="480"/>
      </w:pPr>
      <w:r>
        <w:rPr>
          <w:rFonts w:ascii="仿宋_GB2312" w:hAnsi="仿宋_GB2312" w:cs="仿宋_GB2312" w:eastAsia="仿宋_GB2312"/>
        </w:rPr>
        <w:t>一、本次综合评分的因素详见综合评分明细表。</w:t>
      </w:r>
    </w:p>
    <w:p>
      <w:pPr>
        <w:pStyle w:val="null3"/>
        <w:ind w:firstLine="480"/>
      </w:pPr>
      <w:r>
        <w:rPr>
          <w:rFonts w:ascii="仿宋_GB2312" w:hAnsi="仿宋_GB2312" w:cs="仿宋_GB2312" w:eastAsia="仿宋_GB2312"/>
        </w:rPr>
        <w:t>二、综合评分明细表</w:t>
      </w:r>
    </w:p>
    <w:p>
      <w:pPr>
        <w:pStyle w:val="null3"/>
        <w:ind w:firstLine="480"/>
      </w:pPr>
      <w:r>
        <w:rPr>
          <w:rFonts w:ascii="仿宋_GB2312" w:hAnsi="仿宋_GB2312" w:cs="仿宋_GB2312" w:eastAsia="仿宋_GB2312"/>
        </w:rPr>
        <w:t>（一）综合评分明细表的制定以科学合理、降低磋商小组自由裁量权为原则。</w:t>
      </w:r>
    </w:p>
    <w:p>
      <w:pPr>
        <w:pStyle w:val="null3"/>
        <w:ind w:firstLine="480"/>
      </w:pPr>
      <w:r>
        <w:rPr>
          <w:rFonts w:ascii="仿宋_GB2312" w:hAnsi="仿宋_GB2312" w:cs="仿宋_GB2312" w:eastAsia="仿宋_GB2312"/>
        </w:rPr>
        <w:t>（二）综合评分明细表中的报价应先按供应商须知附表中的相关要求进行价格调整，再进行报价评分。</w:t>
      </w:r>
    </w:p>
    <w:p>
      <w:pPr>
        <w:pStyle w:val="null3"/>
        <w:ind w:firstLine="480"/>
      </w:pPr>
      <w:r>
        <w:rPr>
          <w:rFonts w:ascii="仿宋_GB2312" w:hAnsi="仿宋_GB2312" w:cs="仿宋_GB2312" w:eastAsia="仿宋_GB2312"/>
        </w:rPr>
        <w:t>（三）综合评分明细表：</w:t>
      </w:r>
    </w:p>
    <w:p>
      <w:pPr>
        <w:pStyle w:val="null3"/>
        <w:ind w:firstLine="480"/>
      </w:pPr>
      <w:r>
        <w:rPr>
          <w:rFonts w:ascii="仿宋_GB2312" w:hAnsi="仿宋_GB2312" w:cs="仿宋_GB2312" w:eastAsia="仿宋_GB2312"/>
        </w:rPr>
        <w:t xml:space="preserve"> （说明：采购人根据项目实际需要设置评审因素和标准，评审标准中的分值设置应当与评审因素的量化指标相对应。）</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施工部署</w:t>
            </w:r>
          </w:p>
        </w:tc>
        <w:tc>
          <w:tcPr>
            <w:tcW w:type="dxa" w:w="2492"/>
          </w:tcPr>
          <w:p>
            <w:pPr>
              <w:pStyle w:val="null3"/>
            </w:pPr>
            <w:r>
              <w:rPr>
                <w:rFonts w:ascii="仿宋_GB2312" w:hAnsi="仿宋_GB2312" w:cs="仿宋_GB2312" w:eastAsia="仿宋_GB2312"/>
              </w:rPr>
              <w:t>评审内容：至少包括①施工总平面布置；②施工目标：安全目标、工期目标、质量目标；③资源配备计划：主要施工机械设备、劳动力等配备计划及主材进场计划。 评审标准：1、完整性：响应全面，对评审内容中的各项要求有详细描述；2、可实施性：内容科学，步骤清晰、合理，可实施性强；3、针对性：能够紧扣项目实际情况，满足具体要求。 赋分标准（9分）：从完整性、可实施性、针对性三个方面综合评审。①完全满足三项标准，无缺陷得7.1-9分；②基本满足，存在少量不明确/不合理/不完整/针对性不强等问题4.1-7分；③有明显缺陷或多处不足，但仍有部分有效响应内容得1-4分；④不提供或完全背离评审标准得0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施工方案</w:t>
            </w:r>
          </w:p>
        </w:tc>
        <w:tc>
          <w:tcPr>
            <w:tcW w:type="dxa" w:w="2492"/>
          </w:tcPr>
          <w:p>
            <w:pPr>
              <w:pStyle w:val="null3"/>
            </w:pPr>
            <w:r>
              <w:rPr>
                <w:rFonts w:ascii="仿宋_GB2312" w:hAnsi="仿宋_GB2312" w:cs="仿宋_GB2312" w:eastAsia="仿宋_GB2312"/>
              </w:rPr>
              <w:t>评审内容：至少包括①施工准备；②施工方法及相关技术措施；③重点难点工程分析及解决措施。 评审标准：1、完整性：响应全面，对评审内容中的各项要求有详细描述；2、可实施性：内容科学，步骤清晰、合理，可实施性强；3、针对性：能够紧扣项目实际情况，满足具体要求。 赋分标准（9分）：从完整性、可实施性、针对性三个方面综合评审。①完全满足三项标准，无缺陷得7.1-9分；②基本满足，存在少量不明确/不合理/不完整/针对性不强等问题得4.1-7分；③有明显缺陷或多处不足，但仍有部分有效响应内容得1-4分；④不提供或完全背离评审标准得0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确保工期的技术组织措施</w:t>
            </w:r>
          </w:p>
        </w:tc>
        <w:tc>
          <w:tcPr>
            <w:tcW w:type="dxa" w:w="2492"/>
          </w:tcPr>
          <w:p>
            <w:pPr>
              <w:pStyle w:val="null3"/>
            </w:pPr>
            <w:r>
              <w:rPr>
                <w:rFonts w:ascii="仿宋_GB2312" w:hAnsi="仿宋_GB2312" w:cs="仿宋_GB2312" w:eastAsia="仿宋_GB2312"/>
              </w:rPr>
              <w:t>评审内容：至少包括①施工进度计划；②工期保障措施。 评审标准：1、完整性：响应全面，对评审内容中的各项要求有详细描述；2、可实施性：内容科学，步骤清晰、合理，可实施性强；3、针对性：能够紧扣项目实际情况，满足具体要求。 赋分标准（6分）：从完整性、可实施性、针对性三个方面综合评审。①完全满足三项标准，无缺陷得4.1-6分；②基本满足，存在少量不明确/不合理/不完整/针对性不强等问题得2.1-4分；③有明显缺陷或多处不足，但仍有部分有效响应内容得1-2分；④不提供或完全背离评审标准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确保工程质量的技术组织措施</w:t>
            </w:r>
          </w:p>
        </w:tc>
        <w:tc>
          <w:tcPr>
            <w:tcW w:type="dxa" w:w="2492"/>
          </w:tcPr>
          <w:p>
            <w:pPr>
              <w:pStyle w:val="null3"/>
            </w:pPr>
            <w:r>
              <w:rPr>
                <w:rFonts w:ascii="仿宋_GB2312" w:hAnsi="仿宋_GB2312" w:cs="仿宋_GB2312" w:eastAsia="仿宋_GB2312"/>
              </w:rPr>
              <w:t>评审内容：至少包括①质量管理体系；②施工质量保障措施。 评审标准：1、完整性：响应全面，对评审内容中的各项要求有详细描述；2、可实施性：内容科学，步骤清晰、合理，可实施性强；3、针对性：能够紧扣项目实际情况，满足具体要求。 赋分标准（6分）：从完整性、可实施性、针对性三个方面综合评审。①完全满足三项标准，无缺陷得4.1-6分；②基本满足，存在少量不明确/不合理/不完整/针对性不强等问题2.1-4分；③有明显缺陷或多处不足，但仍有部分有效响应内容得1-2分；④不提供或完全背离评审标准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确保安全生产的技术组织措施</w:t>
            </w:r>
          </w:p>
        </w:tc>
        <w:tc>
          <w:tcPr>
            <w:tcW w:type="dxa" w:w="2492"/>
          </w:tcPr>
          <w:p>
            <w:pPr>
              <w:pStyle w:val="null3"/>
            </w:pPr>
            <w:r>
              <w:rPr>
                <w:rFonts w:ascii="仿宋_GB2312" w:hAnsi="仿宋_GB2312" w:cs="仿宋_GB2312" w:eastAsia="仿宋_GB2312"/>
              </w:rPr>
              <w:t>评审内容：至少包括①安全生产管理体系；②安全生产保证措施。 评审标准：1、完整性：响应全面，对评审内容中的各项要求有详细描述；2、可实施性：内容科学，步骤清晰、合理，可实施性强；3、针对性：能够紧扣项目实际情况，满足具体要求。 赋分标准（6分）：从完整性、可实施性、针对性三个方面综合评审。①完全满足三项标准，无缺陷得4.1-6分；②基本满足，存在少量不明确/不合理/不完整/针对性不强等问题2.1-4分；③有明显缺陷或多处不足，但仍有部分有效响应内容得1-2分；④不提供或完全背离评审标准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确保文明施工的技术组织措施及环境保护措施</w:t>
            </w:r>
          </w:p>
        </w:tc>
        <w:tc>
          <w:tcPr>
            <w:tcW w:type="dxa" w:w="2492"/>
          </w:tcPr>
          <w:p>
            <w:pPr>
              <w:pStyle w:val="null3"/>
            </w:pPr>
            <w:r>
              <w:rPr>
                <w:rFonts w:ascii="仿宋_GB2312" w:hAnsi="仿宋_GB2312" w:cs="仿宋_GB2312" w:eastAsia="仿宋_GB2312"/>
              </w:rPr>
              <w:t>评审内容：至少包括①文明施工及环境保护管理体系；②防尘降噪措施；③文明施工及环境保护措施。 评审标准：1、完整性：响应全面，对评审内容中的各项要求有详细描述；2、可实施性：内容科学，步骤清晰、合理，可实施性强；3、针对性：能够紧扣项目实际情况，满足具体要求。 赋分标准（6分）：从完整性、可实施性、针对性三个方面综合评审。①完全满足三项标准，无缺陷得4.1-6分；②基本满足，存在少量不明确/不合理/不完整/针对性不强等问题2.1-4分；③有明显缺陷或多处不足，但仍有部分有效响应内容得1-2分；④不提供或完全背离评审标准得0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项目管理机构配备情况</w:t>
            </w:r>
          </w:p>
        </w:tc>
        <w:tc>
          <w:tcPr>
            <w:tcW w:type="dxa" w:w="2492"/>
          </w:tcPr>
          <w:p>
            <w:pPr>
              <w:pStyle w:val="null3"/>
            </w:pPr>
            <w:r>
              <w:rPr>
                <w:rFonts w:ascii="仿宋_GB2312" w:hAnsi="仿宋_GB2312" w:cs="仿宋_GB2312" w:eastAsia="仿宋_GB2312"/>
              </w:rPr>
              <w:t>评审内容：至少包括①项目管理机构图；②项目管理人员配备及岗位职责；③主要项目管理人员（如项目经理、技术负责人等）资格证书及相关证明材料齐全，相关资质满足项目履职要求。 评审标准：1、完整性：响应全面，对评审内容中的各项要求有详细描述；2、可实施性：内容科学，步骤清晰、合理，可实施性强；3、针对性：能够紧扣项目实际情况，满足具体要求。 赋分标准（8分）：从完整性、可实施性、针对性三个方面综合评审。①完全满足三项标准，无缺陷得5.1-8分；②基本满足，存在少量不明确/不合理/不完整/针对性不强等问题得3.1-5分；③有明显缺陷或多处不足，但仍有部分有效响应内容得1-3分；④不提供或完全背离评审标准得0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项目管理机构组成表</w:t>
            </w:r>
          </w:p>
          <w:p>
            <w:pPr>
              <w:pStyle w:val="null3"/>
            </w:pPr>
            <w:r>
              <w:rPr>
                <w:rFonts w:ascii="仿宋_GB2312" w:hAnsi="仿宋_GB2312" w:cs="仿宋_GB2312" w:eastAsia="仿宋_GB2312"/>
              </w:rPr>
              <w:t>主要人员简历表</w:t>
            </w:r>
          </w:p>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文物保护专项措施</w:t>
            </w:r>
          </w:p>
        </w:tc>
        <w:tc>
          <w:tcPr>
            <w:tcW w:type="dxa" w:w="2492"/>
          </w:tcPr>
          <w:p>
            <w:pPr>
              <w:pStyle w:val="null3"/>
            </w:pPr>
            <w:r>
              <w:rPr>
                <w:rFonts w:ascii="仿宋_GB2312" w:hAnsi="仿宋_GB2312" w:cs="仿宋_GB2312" w:eastAsia="仿宋_GB2312"/>
              </w:rPr>
              <w:t>评审内容：至少包括①施工全过程文物本体保护方案；②现场防护及成品保护措施；③文物安全管控措施；④应急预案。 评审标准：1完整性：响应全面，对评审内容中的各项要求有详细描述；2、可实施性：内容科学，步骤清晰、合理，可实施性强；3、针对性：能够紧扣本项目文物保护实际情况，满足具体要求。 赋分标准（10分）：从完整性、可实施性、针对性三个方面综合评审。①完全满足三项标准，无缺陷得7.1-10分；②基本满足，存在少量不明确/不合理/不完整/针对性不强等问题得4.1-7分；③有明显缺陷或多处不足，但仍有部分有效响应内容得1-4分；④不提供或完全背离评审标准得0分。</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运维服务与售后</w:t>
            </w:r>
          </w:p>
        </w:tc>
        <w:tc>
          <w:tcPr>
            <w:tcW w:type="dxa" w:w="2492"/>
          </w:tcPr>
          <w:p>
            <w:pPr>
              <w:pStyle w:val="null3"/>
            </w:pPr>
            <w:r>
              <w:rPr>
                <w:rFonts w:ascii="仿宋_GB2312" w:hAnsi="仿宋_GB2312" w:cs="仿宋_GB2312" w:eastAsia="仿宋_GB2312"/>
              </w:rPr>
              <w:t>评审内容：至少包括①文物安防设备日常巡检方案；②故障响应机制（含7×24小时、响应≤1小时、到场≤4小时）；③备件管理方案；④培训交接方案；⑤定期运维报告制度。 评审标准：1、完整性：响应全面，对评审内容中的各项要求有详细描述；2、可实施性：内容科学，步骤清晰、合理，可实施性强；3、针对性：能够紧扣本项目文物保护设备特点及运维需求。 赋分标准（7分）：从完整性、可实施性、针对性三个方面综合评审。①完全满足三项标准，无缺陷得4.1-7分；②基本满足，存在少量不明确/不合理/不完整/针对性不强等问题得2.1-4分；③有明显缺陷或多处不足，但仍有部分有效响应内容得1-2分；④不提供或完全背离评审标准得0分。</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技术方案.docx</w:t>
            </w:r>
          </w:p>
        </w:tc>
      </w:tr>
      <w:tr>
        <w:tc>
          <w:tcPr>
            <w:tcW w:type="dxa" w:w="831"/>
            <w:vMerge/>
          </w:tcPr>
          <w:p/>
        </w:tc>
        <w:tc>
          <w:tcPr>
            <w:tcW w:type="dxa" w:w="1661"/>
          </w:tcPr>
          <w:p>
            <w:pPr>
              <w:pStyle w:val="null3"/>
            </w:pPr>
            <w:r>
              <w:rPr>
                <w:rFonts w:ascii="仿宋_GB2312" w:hAnsi="仿宋_GB2312" w:cs="仿宋_GB2312" w:eastAsia="仿宋_GB2312"/>
              </w:rPr>
              <w:t>企业业绩</w:t>
            </w:r>
          </w:p>
        </w:tc>
        <w:tc>
          <w:tcPr>
            <w:tcW w:type="dxa" w:w="2492"/>
          </w:tcPr>
          <w:p>
            <w:pPr>
              <w:pStyle w:val="null3"/>
            </w:pPr>
            <w:r>
              <w:rPr>
                <w:rFonts w:ascii="仿宋_GB2312" w:hAnsi="仿宋_GB2312" w:cs="仿宋_GB2312" w:eastAsia="仿宋_GB2312"/>
              </w:rPr>
              <w:t>供应商提供2023年1月1日起至今已完成的类似业绩证明材料，每提供1项有效业绩得1分，最高得3分。 评审依据：所有业绩材料均须为清晰可辨、且加盖供应商公章的扫描件；每项业绩须提供完整合同关键页扫描件，（至少包含合同首页、工程内容页、合同金额页、甲乙双方签字盖章页），业绩时间以合同签订日期为准。 所提供材料无法体现以上具体要求的，该项业绩不予计分。评标委员会及招标人有权对业绩真实性进行事后核查，供应商弄虚作假的，按政府采购相关法律法规及本招标文件相关规定处理。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供应商类似项目业绩一览表</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已标价工程量清单</w:t>
            </w:r>
          </w:p>
          <w:p>
            <w:pPr>
              <w:pStyle w:val="null3"/>
            </w:pPr>
            <w:r>
              <w:rPr>
                <w:rFonts w:ascii="仿宋_GB2312" w:hAnsi="仿宋_GB2312" w:cs="仿宋_GB2312" w:eastAsia="仿宋_GB2312"/>
              </w:rPr>
              <w:t>标的清单</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满足磋商文件要求且磋商响应最低的报价（最后的响应报价）为评标基准价，其价格分为满分。其他磋商供应商的价格分统一按照下列公式计算：磋商报价得分=（评标基准价/磋商报价）×30。</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报价函</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已标价工程量清单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6.6评审专家在政府采购活动中承担以下义务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6.7评审专家在政府采购活动中应当遵守以下工作纪律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详见附件：报价函</w:t>
      </w:r>
    </w:p>
    <w:p>
      <w:pPr>
        <w:pStyle w:val="null3"/>
        <w:ind w:firstLine="960"/>
      </w:pPr>
      <w:r>
        <w:rPr>
          <w:rFonts w:ascii="仿宋_GB2312" w:hAnsi="仿宋_GB2312" w:cs="仿宋_GB2312" w:eastAsia="仿宋_GB2312"/>
        </w:rPr>
        <w:t>详见附件：已标价工程量清单</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详见附件：供应商类似项目业绩一览表</w:t>
      </w:r>
    </w:p>
    <w:p>
      <w:pPr>
        <w:pStyle w:val="null3"/>
        <w:ind w:firstLine="960"/>
      </w:pPr>
      <w:r>
        <w:rPr>
          <w:rFonts w:ascii="仿宋_GB2312" w:hAnsi="仿宋_GB2312" w:cs="仿宋_GB2312" w:eastAsia="仿宋_GB2312"/>
        </w:rPr>
        <w:t>详见附件：项目管理机构组成表</w:t>
      </w:r>
    </w:p>
    <w:p>
      <w:pPr>
        <w:pStyle w:val="null3"/>
        <w:ind w:firstLine="960"/>
      </w:pPr>
      <w:r>
        <w:rPr>
          <w:rFonts w:ascii="仿宋_GB2312" w:hAnsi="仿宋_GB2312" w:cs="仿宋_GB2312" w:eastAsia="仿宋_GB2312"/>
        </w:rPr>
        <w:t>详见附件：主要人员简历表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详见附件：有效的主体资格证明.docx</w:t>
      </w:r>
    </w:p>
    <w:p>
      <w:pPr>
        <w:pStyle w:val="null3"/>
        <w:ind w:firstLine="960"/>
      </w:pPr>
      <w:r>
        <w:rPr>
          <w:rFonts w:ascii="仿宋_GB2312" w:hAnsi="仿宋_GB2312" w:cs="仿宋_GB2312" w:eastAsia="仿宋_GB2312"/>
        </w:rPr>
        <w:t>详见附件：法定代表人身份证明或法定代表人授权委托书.docx</w:t>
      </w:r>
    </w:p>
    <w:p>
      <w:pPr>
        <w:pStyle w:val="null3"/>
        <w:ind w:firstLine="960"/>
      </w:pPr>
      <w:r>
        <w:rPr>
          <w:rFonts w:ascii="仿宋_GB2312" w:hAnsi="仿宋_GB2312" w:cs="仿宋_GB2312" w:eastAsia="仿宋_GB2312"/>
        </w:rPr>
        <w:t>详见附件：企业资质要求.docx</w:t>
      </w:r>
    </w:p>
    <w:p>
      <w:pPr>
        <w:pStyle w:val="null3"/>
        <w:ind w:firstLine="960"/>
      </w:pPr>
      <w:r>
        <w:rPr>
          <w:rFonts w:ascii="仿宋_GB2312" w:hAnsi="仿宋_GB2312" w:cs="仿宋_GB2312" w:eastAsia="仿宋_GB2312"/>
        </w:rPr>
        <w:t>详见附件：项目经理资格要求.docx</w:t>
      </w:r>
    </w:p>
    <w:p>
      <w:pPr>
        <w:pStyle w:val="null3"/>
        <w:ind w:firstLine="960"/>
      </w:pPr>
      <w:r>
        <w:rPr>
          <w:rFonts w:ascii="仿宋_GB2312" w:hAnsi="仿宋_GB2312" w:cs="仿宋_GB2312" w:eastAsia="仿宋_GB2312"/>
        </w:rPr>
        <w:t>详见附件：汉中市政府采购供应商资格承诺函.docx</w:t>
      </w:r>
    </w:p>
    <w:p>
      <w:pPr>
        <w:pStyle w:val="null3"/>
        <w:ind w:firstLine="960"/>
      </w:pPr>
      <w:r>
        <w:rPr>
          <w:rFonts w:ascii="仿宋_GB2312" w:hAnsi="仿宋_GB2312" w:cs="仿宋_GB2312" w:eastAsia="仿宋_GB2312"/>
        </w:rPr>
        <w:t>详见附件：技术方案.docx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