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586B2">
      <w:pPr>
        <w:spacing w:before="134" w:line="228" w:lineRule="auto"/>
        <w:ind w:left="3950"/>
        <w:rPr>
          <w:rFonts w:hint="eastAsia" w:ascii="仿宋" w:hAnsi="仿宋" w:eastAsia="仿宋" w:cs="仿宋"/>
          <w:sz w:val="31"/>
          <w:szCs w:val="31"/>
          <w:highlight w:val="none"/>
        </w:rPr>
      </w:pPr>
      <w:r>
        <w:rPr>
          <w:rFonts w:hint="eastAsia" w:ascii="仿宋" w:hAnsi="仿宋" w:eastAsia="仿宋" w:cs="仿宋"/>
          <w:b/>
          <w:bCs/>
          <w:spacing w:val="2"/>
          <w:sz w:val="31"/>
          <w:szCs w:val="31"/>
          <w:highlight w:val="none"/>
        </w:rPr>
        <w:t>分项报价表</w:t>
      </w:r>
    </w:p>
    <w:p w14:paraId="29CF9E73">
      <w:pPr>
        <w:keepNext w:val="0"/>
        <w:keepLines w:val="0"/>
        <w:pageBreakBefore w:val="0"/>
        <w:widowControl/>
        <w:kinsoku/>
        <w:wordWrap/>
        <w:overflowPunct/>
        <w:topLinePunct w:val="0"/>
        <w:autoSpaceDE w:val="0"/>
        <w:autoSpaceDN w:val="0"/>
        <w:bidi w:val="0"/>
        <w:adjustRightInd w:val="0"/>
        <w:snapToGrid w:val="0"/>
        <w:spacing w:before="182" w:line="220" w:lineRule="auto"/>
        <w:ind w:left="503"/>
        <w:rPr>
          <w:rFonts w:hint="eastAsia" w:ascii="仿宋" w:hAnsi="仿宋" w:eastAsia="仿宋" w:cs="仿宋"/>
          <w:b/>
          <w:bCs/>
          <w:color w:val="000000" w:themeColor="text1"/>
          <w:spacing w:val="-4"/>
          <w:sz w:val="24"/>
          <w:szCs w:val="24"/>
          <w:highlight w:val="none"/>
          <w14:textFill>
            <w14:solidFill>
              <w14:schemeClr w14:val="tx1"/>
            </w14:solidFill>
          </w14:textFill>
        </w:rPr>
      </w:pPr>
    </w:p>
    <w:p w14:paraId="212011EE">
      <w:pPr>
        <w:keepNext w:val="0"/>
        <w:keepLines w:val="0"/>
        <w:pageBreakBefore w:val="0"/>
        <w:widowControl/>
        <w:kinsoku/>
        <w:wordWrap/>
        <w:overflowPunct/>
        <w:topLinePunct w:val="0"/>
        <w:autoSpaceDE w:val="0"/>
        <w:autoSpaceDN w:val="0"/>
        <w:bidi w:val="0"/>
        <w:adjustRightInd w:val="0"/>
        <w:snapToGrid w:val="0"/>
        <w:spacing w:before="182" w:line="220" w:lineRule="auto"/>
        <w:ind w:left="503"/>
        <w:rPr>
          <w:rFonts w:hint="eastAsia" w:ascii="仿宋" w:hAnsi="仿宋" w:eastAsia="仿宋" w:cs="仿宋"/>
          <w:b/>
          <w:bCs/>
          <w:color w:val="000000" w:themeColor="text1"/>
          <w:spacing w:val="-4"/>
          <w:sz w:val="24"/>
          <w:szCs w:val="24"/>
          <w:highlight w:val="none"/>
          <w14:textFill>
            <w14:solidFill>
              <w14:schemeClr w14:val="tx1"/>
            </w14:solidFill>
          </w14:textFill>
        </w:rPr>
      </w:pPr>
      <w:r>
        <w:rPr>
          <w:rFonts w:hint="eastAsia" w:ascii="仿宋" w:hAnsi="仿宋" w:eastAsia="仿宋" w:cs="仿宋"/>
          <w:b/>
          <w:bCs/>
          <w:color w:val="000000" w:themeColor="text1"/>
          <w:spacing w:val="-4"/>
          <w:sz w:val="24"/>
          <w:szCs w:val="24"/>
          <w:highlight w:val="none"/>
          <w14:textFill>
            <w14:solidFill>
              <w14:schemeClr w14:val="tx1"/>
            </w14:solidFill>
          </w14:textFill>
        </w:rPr>
        <w:t>A</w:t>
      </w:r>
      <w:r>
        <w:rPr>
          <w:rFonts w:hint="eastAsia" w:ascii="仿宋" w:hAnsi="仿宋" w:eastAsia="仿宋" w:cs="仿宋"/>
          <w:color w:val="000000" w:themeColor="text1"/>
          <w:spacing w:val="-40"/>
          <w:sz w:val="24"/>
          <w:szCs w:val="24"/>
          <w:highlight w:val="none"/>
          <w14:textFill>
            <w14:solidFill>
              <w14:schemeClr w14:val="tx1"/>
            </w14:solidFill>
          </w14:textFill>
        </w:rPr>
        <w:t xml:space="preserve"> </w:t>
      </w:r>
      <w:r>
        <w:rPr>
          <w:rFonts w:hint="eastAsia" w:ascii="仿宋" w:hAnsi="仿宋" w:eastAsia="仿宋" w:cs="仿宋"/>
          <w:b/>
          <w:bCs/>
          <w:color w:val="000000" w:themeColor="text1"/>
          <w:spacing w:val="-4"/>
          <w:sz w:val="24"/>
          <w:szCs w:val="24"/>
          <w:highlight w:val="none"/>
          <w14:textFill>
            <w14:solidFill>
              <w14:schemeClr w14:val="tx1"/>
            </w14:solidFill>
          </w14:textFill>
        </w:rPr>
        <w:t>类人员体检项目清单</w:t>
      </w:r>
    </w:p>
    <w:p w14:paraId="22600107">
      <w:pPr>
        <w:keepNext w:val="0"/>
        <w:keepLines w:val="0"/>
        <w:pageBreakBefore w:val="0"/>
        <w:widowControl/>
        <w:kinsoku/>
        <w:wordWrap/>
        <w:overflowPunct/>
        <w:topLinePunct w:val="0"/>
        <w:autoSpaceDE w:val="0"/>
        <w:autoSpaceDN w:val="0"/>
        <w:bidi w:val="0"/>
        <w:adjustRightInd w:val="0"/>
        <w:snapToGrid w:val="0"/>
        <w:spacing w:before="182" w:line="220" w:lineRule="auto"/>
        <w:ind w:left="503"/>
        <w:jc w:val="center"/>
        <w:rPr>
          <w:rFonts w:hint="default" w:ascii="仿宋" w:hAnsi="仿宋" w:eastAsia="仿宋" w:cs="仿宋"/>
          <w:b/>
          <w:bCs/>
          <w:color w:val="000000" w:themeColor="text1"/>
          <w:spacing w:val="-4"/>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pacing w:val="-4"/>
          <w:sz w:val="24"/>
          <w:szCs w:val="24"/>
          <w:highlight w:val="none"/>
          <w:lang w:val="en-US" w:eastAsia="zh-CN"/>
          <w14:textFill>
            <w14:solidFill>
              <w14:schemeClr w14:val="tx1"/>
            </w14:solidFill>
          </w14:textFill>
        </w:rPr>
        <w:t xml:space="preserve">                                                                         单位：元</w:t>
      </w:r>
    </w:p>
    <w:tbl>
      <w:tblPr>
        <w:tblStyle w:val="3"/>
        <w:tblW w:w="991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9"/>
        <w:gridCol w:w="609"/>
        <w:gridCol w:w="1484"/>
        <w:gridCol w:w="2234"/>
        <w:gridCol w:w="1283"/>
        <w:gridCol w:w="631"/>
        <w:gridCol w:w="632"/>
        <w:gridCol w:w="605"/>
        <w:gridCol w:w="579"/>
        <w:gridCol w:w="10"/>
        <w:gridCol w:w="648"/>
        <w:gridCol w:w="632"/>
      </w:tblGrid>
      <w:tr w14:paraId="56540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569" w:type="dxa"/>
            <w:vMerge w:val="restart"/>
            <w:tcBorders>
              <w:top w:val="single" w:color="000000" w:sz="4" w:space="0"/>
              <w:left w:val="single" w:color="000000" w:sz="4" w:space="0"/>
              <w:right w:val="single" w:color="000000" w:sz="4" w:space="0"/>
            </w:tcBorders>
            <w:shd w:val="clear" w:color="auto" w:fill="auto"/>
            <w:noWrap/>
            <w:vAlign w:val="center"/>
          </w:tcPr>
          <w:p w14:paraId="601BD3D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序号</w:t>
            </w:r>
          </w:p>
        </w:tc>
        <w:tc>
          <w:tcPr>
            <w:tcW w:w="609" w:type="dxa"/>
            <w:vMerge w:val="restart"/>
            <w:tcBorders>
              <w:top w:val="single" w:color="000000" w:sz="4" w:space="0"/>
              <w:left w:val="single" w:color="000000" w:sz="4" w:space="0"/>
              <w:right w:val="single" w:color="000000" w:sz="4" w:space="0"/>
            </w:tcBorders>
            <w:shd w:val="clear" w:color="auto" w:fill="auto"/>
            <w:noWrap/>
            <w:vAlign w:val="center"/>
          </w:tcPr>
          <w:p w14:paraId="073B678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基础项目</w:t>
            </w:r>
          </w:p>
        </w:tc>
        <w:tc>
          <w:tcPr>
            <w:tcW w:w="1484" w:type="dxa"/>
            <w:vMerge w:val="restart"/>
            <w:tcBorders>
              <w:top w:val="single" w:color="000000" w:sz="4" w:space="0"/>
              <w:left w:val="single" w:color="000000" w:sz="4" w:space="0"/>
              <w:right w:val="single" w:color="000000" w:sz="4" w:space="0"/>
            </w:tcBorders>
            <w:shd w:val="clear" w:color="auto" w:fill="auto"/>
            <w:noWrap/>
            <w:vAlign w:val="center"/>
          </w:tcPr>
          <w:p w14:paraId="27D9467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color w:val="000000" w:themeColor="text1"/>
                <w:sz w:val="22"/>
                <w:szCs w:val="22"/>
                <w:highlight w:val="none"/>
                <w:u w:val="none"/>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体检项目</w:t>
            </w:r>
          </w:p>
        </w:tc>
        <w:tc>
          <w:tcPr>
            <w:tcW w:w="3517" w:type="dxa"/>
            <w:gridSpan w:val="2"/>
            <w:vMerge w:val="restart"/>
            <w:tcBorders>
              <w:top w:val="single" w:color="000000" w:sz="4" w:space="0"/>
              <w:left w:val="single" w:color="000000" w:sz="4" w:space="0"/>
              <w:right w:val="single" w:color="000000" w:sz="4" w:space="0"/>
            </w:tcBorders>
            <w:shd w:val="clear" w:color="auto" w:fill="auto"/>
            <w:noWrap/>
            <w:vAlign w:val="center"/>
          </w:tcPr>
          <w:p w14:paraId="18D01BB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项目说明</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66FC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color w:val="000000" w:themeColor="text1"/>
                <w:sz w:val="22"/>
                <w:szCs w:val="22"/>
                <w:highlight w:val="none"/>
                <w:u w:val="none"/>
                <w:lang w:val="en-US"/>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男性</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BA6D1">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女性</w:t>
            </w:r>
          </w:p>
          <w:p w14:paraId="7642D66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（已婚）</w:t>
            </w:r>
          </w:p>
        </w:tc>
        <w:tc>
          <w:tcPr>
            <w:tcW w:w="12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6BD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女性</w:t>
            </w:r>
          </w:p>
          <w:p w14:paraId="6893486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color w:val="000000" w:themeColor="text1"/>
                <w:sz w:val="22"/>
                <w:szCs w:val="22"/>
                <w:highlight w:val="none"/>
                <w:u w:val="none"/>
                <w:lang w:val="en-US"/>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（未婚）</w:t>
            </w:r>
          </w:p>
        </w:tc>
      </w:tr>
      <w:tr w14:paraId="13B84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0" w:hRule="atLeast"/>
        </w:trPr>
        <w:tc>
          <w:tcPr>
            <w:tcW w:w="569" w:type="dxa"/>
            <w:vMerge w:val="continue"/>
            <w:tcBorders>
              <w:left w:val="single" w:color="000000" w:sz="4" w:space="0"/>
              <w:bottom w:val="single" w:color="000000" w:sz="4" w:space="0"/>
              <w:right w:val="single" w:color="000000" w:sz="4" w:space="0"/>
            </w:tcBorders>
            <w:shd w:val="clear" w:color="auto" w:fill="auto"/>
            <w:noWrap/>
            <w:vAlign w:val="center"/>
          </w:tcPr>
          <w:p w14:paraId="06F797A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9" w:type="dxa"/>
            <w:vMerge w:val="continue"/>
            <w:tcBorders>
              <w:left w:val="single" w:color="000000" w:sz="4" w:space="0"/>
              <w:right w:val="single" w:color="000000" w:sz="4" w:space="0"/>
            </w:tcBorders>
            <w:shd w:val="clear" w:color="auto" w:fill="auto"/>
            <w:noWrap/>
            <w:vAlign w:val="center"/>
          </w:tcPr>
          <w:p w14:paraId="3E9F5E2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vMerge w:val="continue"/>
            <w:tcBorders>
              <w:left w:val="single" w:color="000000" w:sz="4" w:space="0"/>
              <w:bottom w:val="single" w:color="000000" w:sz="4" w:space="0"/>
              <w:right w:val="single" w:color="000000" w:sz="4" w:space="0"/>
            </w:tcBorders>
            <w:shd w:val="clear" w:color="auto" w:fill="auto"/>
            <w:noWrap/>
            <w:vAlign w:val="center"/>
          </w:tcPr>
          <w:p w14:paraId="3E43E0D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3517" w:type="dxa"/>
            <w:gridSpan w:val="2"/>
            <w:vMerge w:val="continue"/>
            <w:tcBorders>
              <w:left w:val="single" w:color="000000" w:sz="4" w:space="0"/>
              <w:bottom w:val="single" w:color="000000" w:sz="4" w:space="0"/>
              <w:right w:val="single" w:color="000000" w:sz="4" w:space="0"/>
            </w:tcBorders>
            <w:shd w:val="clear" w:color="auto" w:fill="auto"/>
            <w:noWrap/>
            <w:vAlign w:val="center"/>
          </w:tcPr>
          <w:p w14:paraId="21C2D39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AE5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基础+肿瘤筛查套餐</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F6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基础+心血管筛查套餐</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D37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基础+肿瘤筛查套餐</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F2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基础+心血管筛查套餐</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113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基础+肿瘤筛查套餐</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AD3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基础+心血管筛查套餐</w:t>
            </w:r>
          </w:p>
        </w:tc>
      </w:tr>
      <w:tr w14:paraId="34E1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FE0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w:t>
            </w:r>
          </w:p>
        </w:tc>
        <w:tc>
          <w:tcPr>
            <w:tcW w:w="609" w:type="dxa"/>
            <w:vMerge w:val="continue"/>
            <w:tcBorders>
              <w:left w:val="single" w:color="000000" w:sz="4" w:space="0"/>
              <w:right w:val="single" w:color="000000" w:sz="4" w:space="0"/>
            </w:tcBorders>
            <w:shd w:val="clear" w:color="auto" w:fill="auto"/>
            <w:noWrap/>
            <w:vAlign w:val="center"/>
          </w:tcPr>
          <w:p w14:paraId="508F374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8A7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营养早餐</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46BA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面包、牛奶等丰富的早餐</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27E7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A662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0B0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1E5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D15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D24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5A55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B4D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w:t>
            </w:r>
          </w:p>
        </w:tc>
        <w:tc>
          <w:tcPr>
            <w:tcW w:w="609" w:type="dxa"/>
            <w:vMerge w:val="continue"/>
            <w:tcBorders>
              <w:left w:val="single" w:color="000000" w:sz="4" w:space="0"/>
              <w:right w:val="single" w:color="000000" w:sz="4" w:space="0"/>
            </w:tcBorders>
            <w:shd w:val="clear" w:color="auto" w:fill="auto"/>
            <w:noWrap/>
            <w:vAlign w:val="center"/>
          </w:tcPr>
          <w:p w14:paraId="63D1E5C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881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一般检查</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0C5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测定身高/体重、血压、腰围，体重指数等，初步筛查高血压</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59F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77DB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E412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DFF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716A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6E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09FF7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6116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3</w:t>
            </w:r>
          </w:p>
        </w:tc>
        <w:tc>
          <w:tcPr>
            <w:tcW w:w="609" w:type="dxa"/>
            <w:vMerge w:val="continue"/>
            <w:tcBorders>
              <w:left w:val="single" w:color="000000" w:sz="4" w:space="0"/>
              <w:right w:val="single" w:color="000000" w:sz="4" w:space="0"/>
            </w:tcBorders>
            <w:shd w:val="clear" w:color="auto" w:fill="auto"/>
            <w:noWrap/>
            <w:vAlign w:val="center"/>
          </w:tcPr>
          <w:p w14:paraId="4C3ADFF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B9D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眼底</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BAE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为眼科常规检查</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8AF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EEDF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C284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456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36C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625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055A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4CE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4</w:t>
            </w:r>
          </w:p>
        </w:tc>
        <w:tc>
          <w:tcPr>
            <w:tcW w:w="609" w:type="dxa"/>
            <w:vMerge w:val="continue"/>
            <w:tcBorders>
              <w:left w:val="single" w:color="000000" w:sz="4" w:space="0"/>
              <w:right w:val="single" w:color="000000" w:sz="4" w:space="0"/>
            </w:tcBorders>
            <w:shd w:val="clear" w:color="auto" w:fill="auto"/>
            <w:noWrap/>
            <w:vAlign w:val="center"/>
          </w:tcPr>
          <w:p w14:paraId="35C9D63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76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血细胞分析</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1C5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通过血液分析可发现有无贫血、细菌感染、病毒感染、白血病等血液方面疾病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766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85E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064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744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30D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2B2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63B9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5F0D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5</w:t>
            </w:r>
          </w:p>
        </w:tc>
        <w:tc>
          <w:tcPr>
            <w:tcW w:w="609" w:type="dxa"/>
            <w:vMerge w:val="continue"/>
            <w:tcBorders>
              <w:left w:val="single" w:color="000000" w:sz="4" w:space="0"/>
              <w:right w:val="single" w:color="000000" w:sz="4" w:space="0"/>
            </w:tcBorders>
            <w:shd w:val="clear" w:color="auto" w:fill="auto"/>
            <w:noWrap/>
            <w:vAlign w:val="center"/>
          </w:tcPr>
          <w:p w14:paraId="4781BAB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2B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肝功能10项</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ABBD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反映肝细胞的功能状态，可筛查肝脏炎症、胆道疾病、胆管结石等疾病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27E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03A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1D9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61A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95A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577A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FA1F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48AC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6</w:t>
            </w:r>
          </w:p>
        </w:tc>
        <w:tc>
          <w:tcPr>
            <w:tcW w:w="609" w:type="dxa"/>
            <w:vMerge w:val="continue"/>
            <w:tcBorders>
              <w:left w:val="single" w:color="000000" w:sz="4" w:space="0"/>
              <w:right w:val="single" w:color="000000" w:sz="4" w:space="0"/>
            </w:tcBorders>
            <w:shd w:val="clear" w:color="auto" w:fill="auto"/>
            <w:noWrap/>
            <w:vAlign w:val="center"/>
          </w:tcPr>
          <w:p w14:paraId="0490F96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B5BD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肾功能4项（含血糖）</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BFF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筛查肾脏是否受</w:t>
            </w:r>
            <w:bookmarkStart w:id="0" w:name="_GoBack"/>
            <w:bookmarkEnd w:id="0"/>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损，是否有肾功能减退或肾衰，有无痛风、高尿酸血症等疾病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803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940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7003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D1DE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788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D78F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C812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E2B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7</w:t>
            </w:r>
          </w:p>
        </w:tc>
        <w:tc>
          <w:tcPr>
            <w:tcW w:w="609" w:type="dxa"/>
            <w:vMerge w:val="continue"/>
            <w:tcBorders>
              <w:left w:val="single" w:color="000000" w:sz="4" w:space="0"/>
              <w:right w:val="single" w:color="000000" w:sz="4" w:space="0"/>
            </w:tcBorders>
            <w:shd w:val="clear" w:color="auto" w:fill="auto"/>
            <w:noWrap/>
            <w:vAlign w:val="center"/>
          </w:tcPr>
          <w:p w14:paraId="73DF2D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FC67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血脂4项</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D6F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筛查有无高脂血症、血脂异常等</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6B5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F80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C38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4480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6D3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2F0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1276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B89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8</w:t>
            </w:r>
          </w:p>
        </w:tc>
        <w:tc>
          <w:tcPr>
            <w:tcW w:w="609" w:type="dxa"/>
            <w:vMerge w:val="continue"/>
            <w:tcBorders>
              <w:left w:val="single" w:color="000000" w:sz="4" w:space="0"/>
              <w:right w:val="single" w:color="000000" w:sz="4" w:space="0"/>
            </w:tcBorders>
            <w:shd w:val="clear" w:color="auto" w:fill="auto"/>
            <w:noWrap/>
            <w:vAlign w:val="center"/>
          </w:tcPr>
          <w:p w14:paraId="5651363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AD9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心电图</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625E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筛查心律失常、心绞痛、心肌梗塞、冠心病、心肌缺血、心脏传导阻滞等心脏疾患</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D9D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98CB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3964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41B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7A54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7EF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F0B4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004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9</w:t>
            </w:r>
          </w:p>
        </w:tc>
        <w:tc>
          <w:tcPr>
            <w:tcW w:w="609" w:type="dxa"/>
            <w:vMerge w:val="continue"/>
            <w:tcBorders>
              <w:left w:val="single" w:color="000000" w:sz="4" w:space="0"/>
              <w:right w:val="single" w:color="000000" w:sz="4" w:space="0"/>
            </w:tcBorders>
            <w:shd w:val="clear" w:color="auto" w:fill="auto"/>
            <w:noWrap/>
            <w:vAlign w:val="center"/>
          </w:tcPr>
          <w:p w14:paraId="4561F55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3B4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尿液分析</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7F96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诊断泌尿系统疾病，如泌尿系感染、肿瘤、结石等，还可以协助诊断其他系统疾病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6584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5ADA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9086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A0C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6199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5C8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A81B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7DC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10</w:t>
            </w:r>
          </w:p>
        </w:tc>
        <w:tc>
          <w:tcPr>
            <w:tcW w:w="609" w:type="dxa"/>
            <w:vMerge w:val="continue"/>
            <w:tcBorders>
              <w:left w:val="single" w:color="000000" w:sz="4" w:space="0"/>
              <w:right w:val="single" w:color="000000" w:sz="4" w:space="0"/>
            </w:tcBorders>
            <w:shd w:val="clear" w:color="auto" w:fill="auto"/>
            <w:noWrap/>
            <w:vAlign w:val="center"/>
          </w:tcPr>
          <w:p w14:paraId="0686738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F68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胸部正位片</w:t>
            </w:r>
          </w:p>
        </w:tc>
        <w:tc>
          <w:tcPr>
            <w:tcW w:w="3517" w:type="dxa"/>
            <w:gridSpan w:val="2"/>
            <w:tcBorders>
              <w:top w:val="nil"/>
              <w:left w:val="single" w:color="000000" w:sz="4" w:space="0"/>
              <w:bottom w:val="single" w:color="000000" w:sz="4" w:space="0"/>
              <w:right w:val="single" w:color="000000" w:sz="4" w:space="0"/>
            </w:tcBorders>
            <w:shd w:val="clear" w:color="auto" w:fill="auto"/>
            <w:noWrap/>
            <w:vAlign w:val="center"/>
          </w:tcPr>
          <w:p w14:paraId="64AA9CA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筛查肺部结节、肿瘤、肺炎、慢阻肺等疾病，准确性较高，特别用于早期肺癌的诊断</w:t>
            </w:r>
          </w:p>
        </w:tc>
        <w:tc>
          <w:tcPr>
            <w:tcW w:w="631" w:type="dxa"/>
            <w:tcBorders>
              <w:top w:val="nil"/>
              <w:left w:val="single" w:color="000000" w:sz="4" w:space="0"/>
              <w:bottom w:val="single" w:color="000000" w:sz="4" w:space="0"/>
              <w:right w:val="single" w:color="000000" w:sz="4" w:space="0"/>
            </w:tcBorders>
            <w:shd w:val="clear" w:color="auto" w:fill="auto"/>
            <w:noWrap/>
            <w:vAlign w:val="center"/>
          </w:tcPr>
          <w:p w14:paraId="2E68800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nil"/>
              <w:left w:val="single" w:color="000000" w:sz="4" w:space="0"/>
              <w:bottom w:val="single" w:color="000000" w:sz="4" w:space="0"/>
              <w:right w:val="single" w:color="000000" w:sz="4" w:space="0"/>
            </w:tcBorders>
            <w:shd w:val="clear" w:color="auto" w:fill="auto"/>
            <w:noWrap/>
            <w:vAlign w:val="center"/>
          </w:tcPr>
          <w:p w14:paraId="460E863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nil"/>
              <w:left w:val="single" w:color="000000" w:sz="4" w:space="0"/>
              <w:bottom w:val="single" w:color="000000" w:sz="4" w:space="0"/>
              <w:right w:val="single" w:color="000000" w:sz="4" w:space="0"/>
            </w:tcBorders>
            <w:shd w:val="clear" w:color="auto" w:fill="auto"/>
            <w:noWrap/>
            <w:vAlign w:val="center"/>
          </w:tcPr>
          <w:p w14:paraId="0E7D7A6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nil"/>
              <w:left w:val="single" w:color="000000" w:sz="4" w:space="0"/>
              <w:bottom w:val="single" w:color="000000" w:sz="4" w:space="0"/>
              <w:right w:val="single" w:color="000000" w:sz="4" w:space="0"/>
            </w:tcBorders>
            <w:shd w:val="clear" w:color="auto" w:fill="auto"/>
            <w:noWrap/>
            <w:vAlign w:val="center"/>
          </w:tcPr>
          <w:p w14:paraId="2BC3DF6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nil"/>
              <w:left w:val="single" w:color="000000" w:sz="4" w:space="0"/>
              <w:bottom w:val="single" w:color="000000" w:sz="4" w:space="0"/>
              <w:right w:val="single" w:color="000000" w:sz="4" w:space="0"/>
            </w:tcBorders>
            <w:shd w:val="clear" w:color="auto" w:fill="auto"/>
            <w:noWrap/>
            <w:vAlign w:val="center"/>
          </w:tcPr>
          <w:p w14:paraId="2938D68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nil"/>
              <w:left w:val="single" w:color="000000" w:sz="4" w:space="0"/>
              <w:bottom w:val="single" w:color="000000" w:sz="4" w:space="0"/>
              <w:right w:val="single" w:color="000000" w:sz="4" w:space="0"/>
            </w:tcBorders>
            <w:shd w:val="clear" w:color="auto" w:fill="auto"/>
            <w:noWrap/>
            <w:vAlign w:val="center"/>
          </w:tcPr>
          <w:p w14:paraId="6D97C18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38E5F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DAB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11</w:t>
            </w:r>
          </w:p>
        </w:tc>
        <w:tc>
          <w:tcPr>
            <w:tcW w:w="609" w:type="dxa"/>
            <w:vMerge w:val="continue"/>
            <w:tcBorders>
              <w:left w:val="single" w:color="000000" w:sz="4" w:space="0"/>
              <w:right w:val="single" w:color="000000" w:sz="4" w:space="0"/>
            </w:tcBorders>
            <w:shd w:val="clear" w:color="auto" w:fill="auto"/>
            <w:noWrap/>
            <w:vAlign w:val="center"/>
          </w:tcPr>
          <w:p w14:paraId="7326279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97F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腹部超声（肝胆胰脾）</w:t>
            </w:r>
          </w:p>
        </w:tc>
        <w:tc>
          <w:tcPr>
            <w:tcW w:w="3517" w:type="dxa"/>
            <w:gridSpan w:val="2"/>
            <w:vMerge w:val="restart"/>
            <w:tcBorders>
              <w:top w:val="single" w:color="000000" w:sz="4" w:space="0"/>
              <w:left w:val="single" w:color="000000" w:sz="4" w:space="0"/>
              <w:right w:val="single" w:color="000000" w:sz="4" w:space="0"/>
            </w:tcBorders>
            <w:shd w:val="clear" w:color="auto" w:fill="auto"/>
            <w:noWrap/>
            <w:vAlign w:val="center"/>
          </w:tcPr>
          <w:p w14:paraId="2E4F543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p w14:paraId="797E185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p w14:paraId="0E2AE9B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p w14:paraId="04A11A6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p w14:paraId="04A7B57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p w14:paraId="16172BC6">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筛查脂肪肝、结石、肿瘤、囊肿、血管瘤等，是腹部脏器检查的重要项目</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CB0BC">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420E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A64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AFD6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97D9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77BD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99F4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C33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12</w:t>
            </w:r>
          </w:p>
        </w:tc>
        <w:tc>
          <w:tcPr>
            <w:tcW w:w="609" w:type="dxa"/>
            <w:vMerge w:val="continue"/>
            <w:tcBorders>
              <w:left w:val="single" w:color="000000" w:sz="4" w:space="0"/>
              <w:right w:val="single" w:color="000000" w:sz="4" w:space="0"/>
            </w:tcBorders>
            <w:shd w:val="clear" w:color="auto" w:fill="auto"/>
            <w:noWrap/>
            <w:vAlign w:val="center"/>
          </w:tcPr>
          <w:p w14:paraId="65B7F2D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78FD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腹部超声（双肾、输尿管膀胱前列腺）</w:t>
            </w:r>
          </w:p>
        </w:tc>
        <w:tc>
          <w:tcPr>
            <w:tcW w:w="3517" w:type="dxa"/>
            <w:gridSpan w:val="2"/>
            <w:vMerge w:val="continue"/>
            <w:tcBorders>
              <w:left w:val="single" w:color="000000" w:sz="4" w:space="0"/>
              <w:right w:val="single" w:color="000000" w:sz="4" w:space="0"/>
            </w:tcBorders>
            <w:shd w:val="clear" w:color="auto" w:fill="auto"/>
            <w:noWrap/>
            <w:vAlign w:val="center"/>
          </w:tcPr>
          <w:p w14:paraId="14235AE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6F6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896E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7AA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AE26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9F8E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B018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1CCFB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4E40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13</w:t>
            </w:r>
          </w:p>
        </w:tc>
        <w:tc>
          <w:tcPr>
            <w:tcW w:w="609" w:type="dxa"/>
            <w:vMerge w:val="continue"/>
            <w:tcBorders>
              <w:left w:val="single" w:color="000000" w:sz="4" w:space="0"/>
              <w:right w:val="single" w:color="000000" w:sz="4" w:space="0"/>
            </w:tcBorders>
            <w:shd w:val="clear" w:color="auto" w:fill="auto"/>
            <w:noWrap/>
            <w:vAlign w:val="center"/>
          </w:tcPr>
          <w:p w14:paraId="2C670B5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3D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腹部超声（双肾、输尿管膀胱）</w:t>
            </w:r>
          </w:p>
        </w:tc>
        <w:tc>
          <w:tcPr>
            <w:tcW w:w="3517" w:type="dxa"/>
            <w:gridSpan w:val="2"/>
            <w:vMerge w:val="continue"/>
            <w:tcBorders>
              <w:left w:val="single" w:color="000000" w:sz="4" w:space="0"/>
              <w:right w:val="single" w:color="000000" w:sz="4" w:space="0"/>
            </w:tcBorders>
            <w:shd w:val="clear" w:color="auto" w:fill="auto"/>
            <w:noWrap/>
            <w:vAlign w:val="center"/>
          </w:tcPr>
          <w:p w14:paraId="62C79866">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BFA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6888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FD2B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F9A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99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F3B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7207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406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14</w:t>
            </w:r>
          </w:p>
        </w:tc>
        <w:tc>
          <w:tcPr>
            <w:tcW w:w="609" w:type="dxa"/>
            <w:vMerge w:val="continue"/>
            <w:tcBorders>
              <w:left w:val="single" w:color="000000" w:sz="4" w:space="0"/>
              <w:right w:val="single" w:color="000000" w:sz="4" w:space="0"/>
            </w:tcBorders>
            <w:shd w:val="clear" w:color="auto" w:fill="auto"/>
            <w:noWrap/>
            <w:vAlign w:val="center"/>
          </w:tcPr>
          <w:p w14:paraId="485B80A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151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腹部超声（子宫附件经腹）</w:t>
            </w:r>
          </w:p>
        </w:tc>
        <w:tc>
          <w:tcPr>
            <w:tcW w:w="3517" w:type="dxa"/>
            <w:gridSpan w:val="2"/>
            <w:vMerge w:val="continue"/>
            <w:tcBorders>
              <w:left w:val="single" w:color="000000" w:sz="4" w:space="0"/>
              <w:bottom w:val="single" w:color="000000" w:sz="4" w:space="0"/>
              <w:right w:val="single" w:color="000000" w:sz="4" w:space="0"/>
            </w:tcBorders>
            <w:shd w:val="clear" w:color="auto" w:fill="auto"/>
            <w:noWrap/>
            <w:vAlign w:val="center"/>
          </w:tcPr>
          <w:p w14:paraId="52004C3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1DB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BFA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FE87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D32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606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E5C4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C27F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E861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15</w:t>
            </w:r>
          </w:p>
        </w:tc>
        <w:tc>
          <w:tcPr>
            <w:tcW w:w="609" w:type="dxa"/>
            <w:vMerge w:val="continue"/>
            <w:tcBorders>
              <w:left w:val="single" w:color="000000" w:sz="4" w:space="0"/>
              <w:bottom w:val="single" w:color="000000" w:sz="4" w:space="0"/>
              <w:right w:val="single" w:color="000000" w:sz="4" w:space="0"/>
            </w:tcBorders>
            <w:shd w:val="clear" w:color="auto" w:fill="auto"/>
            <w:noWrap/>
            <w:vAlign w:val="center"/>
          </w:tcPr>
          <w:p w14:paraId="0A15DC2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F14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甲功三项</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913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筛查甲状腺功能亢进/减退等内分泌代谢性疾病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C0F0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155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E757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86C8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D2BB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F991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1EA9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AF0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16</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766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AB4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糖化血红蛋白</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1501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是血液中葡萄糖和血红蛋白相结合的稳定化合物，可反映过去2-3月的平均血糖水平</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56D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8BBC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8AB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2FCE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BED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835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4C6E7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494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17</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222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4979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血同型半胱氨酸</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103E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高同型半胱氨酸血症易诱发高血压、心脑血管疾病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61B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2A2D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A5E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D57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9330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7524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4FCAF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6EC8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18</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96D3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586A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CA199</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A6C6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诊断消化道肿瘤、胰腺、胆道系统恶性肿瘤的重要指标</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DA3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2C39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FDC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CB6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D3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36E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0B29B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FDFF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19</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33BF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6B1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癌胚抗原CEA</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2D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筛查癌症，具有广谱、早期的特点，阳性对癌症的诊断有重要临床意义</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7909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69B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BC2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E5A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BC5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A10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70543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F0D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20</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0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80A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甲胎蛋白AFP</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D7F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通过血液筛查肝脏肿瘤</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F54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394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671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693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7E4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B38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5DD30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47D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21</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9E8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1BD0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CA125</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0F0A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筛查女士卵巢上皮癌，输卵管癌、子宫内膜癌、子宫颈腺癌等恶性肿瘤的重要指标</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C7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48A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AB62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0B3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60A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3B3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3993B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9594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22</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D2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369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甲状腺彩超</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1B1E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筛查甲状腺肿、甲状腺囊肿、甲状腺炎、甲状腺瘤、甲状腺癌等疾病</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EDE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347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256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6503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5D4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C27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4C911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4E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23</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DB5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251C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颈部血管彩超</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D1B6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筛查颈动脉粥样硬化、斑块形成及狭窄、闭塞等，评估心脑血管疾病风险的重要项目</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97BA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B7DC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D9D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C14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E6F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2C4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4939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309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24</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432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3E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心脏彩超</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480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筛查先天性心脏病、心脏瓣膜疾病、高血压性心脏病等的有效手段</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E70B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9C8C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641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3F29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D40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9A5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A72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7AA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25</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0F1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1FC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乳腺彩超</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4555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筛查有无乳腺炎、乳腺囊肿、乳腺结节、乳腺癌等</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95C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0D8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FAE5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FB6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9802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329E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733BB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947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26</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480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F580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骨密度</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73E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筛查有无骨量减少或骨质疏松症及其严重程度</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78B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1F9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61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DDE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2E3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99F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56C72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86E2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27</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808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CAA9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妇科普检+妇科微生态检测三项</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4F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筛查妇科炎症</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AE9E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95B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AA9C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308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DE76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EA6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3A6AC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61C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28</w:t>
            </w:r>
          </w:p>
        </w:tc>
        <w:tc>
          <w:tcPr>
            <w:tcW w:w="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8A37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C1A9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专家总检</w:t>
            </w:r>
          </w:p>
        </w:tc>
        <w:tc>
          <w:tcPr>
            <w:tcW w:w="35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F2C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总检医师出具专业、规范的主检报告，做出准确的健康结论，提供合理的保健建议</w:t>
            </w: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FFCF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9AEB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5A5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2BF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545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88C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C690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489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5216">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小计</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9BF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D0A1">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E6EF">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EF75">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A289">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c>
          <w:tcPr>
            <w:tcW w:w="6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4DA2A">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E06B">
            <w:pPr>
              <w:keepNext w:val="0"/>
              <w:keepLines w:val="0"/>
              <w:widowControl/>
              <w:suppressLineNumbers w:val="0"/>
              <w:jc w:val="center"/>
              <w:textAlignment w:val="center"/>
              <w:rPr>
                <w:rFonts w:hint="eastAsia" w:ascii="仿宋" w:hAnsi="仿宋" w:eastAsia="仿宋" w:cs="仿宋"/>
                <w:i w:val="0"/>
                <w:iCs w:val="0"/>
                <w:color w:val="000000" w:themeColor="text1"/>
                <w:sz w:val="22"/>
                <w:szCs w:val="22"/>
                <w:highlight w:val="none"/>
                <w:u w:val="none"/>
                <w14:textFill>
                  <w14:solidFill>
                    <w14:schemeClr w14:val="tx1"/>
                  </w14:solidFill>
                </w14:textFill>
              </w:rPr>
            </w:pPr>
          </w:p>
        </w:tc>
      </w:tr>
      <w:tr w14:paraId="4C98F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8636"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6CE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A类人员10100人，</w:t>
            </w:r>
            <w: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t>其中男性4247人，女性已婚5046人，未婚807人；</w:t>
            </w:r>
          </w:p>
          <w:p w14:paraId="576901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体检费合计大写：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元</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DF9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bl>
    <w:p w14:paraId="30F3D824">
      <w:pPr>
        <w:rPr>
          <w:rFonts w:hint="eastAsia" w:ascii="仿宋" w:hAnsi="仿宋" w:eastAsia="仿宋" w:cs="仿宋"/>
          <w:b/>
          <w:bCs/>
          <w:color w:val="000000" w:themeColor="text1"/>
          <w:spacing w:val="-4"/>
          <w:sz w:val="24"/>
          <w:szCs w:val="24"/>
          <w:highlight w:val="none"/>
          <w14:textFill>
            <w14:solidFill>
              <w14:schemeClr w14:val="tx1"/>
            </w14:solidFill>
          </w14:textFill>
        </w:rPr>
      </w:pPr>
      <w:r>
        <w:rPr>
          <w:rFonts w:hint="eastAsia" w:ascii="仿宋" w:hAnsi="仿宋" w:eastAsia="仿宋" w:cs="仿宋"/>
          <w:b/>
          <w:bCs/>
          <w:color w:val="000000" w:themeColor="text1"/>
          <w:spacing w:val="-4"/>
          <w:sz w:val="24"/>
          <w:szCs w:val="24"/>
          <w:highlight w:val="none"/>
          <w14:textFill>
            <w14:solidFill>
              <w14:schemeClr w14:val="tx1"/>
            </w14:solidFill>
          </w14:textFill>
        </w:rPr>
        <w:br w:type="page"/>
      </w:r>
    </w:p>
    <w:p w14:paraId="0C46A864">
      <w:pPr>
        <w:keepNext w:val="0"/>
        <w:keepLines w:val="0"/>
        <w:pageBreakBefore w:val="0"/>
        <w:widowControl/>
        <w:kinsoku/>
        <w:wordWrap/>
        <w:overflowPunct/>
        <w:topLinePunct w:val="0"/>
        <w:autoSpaceDE w:val="0"/>
        <w:autoSpaceDN w:val="0"/>
        <w:bidi w:val="0"/>
        <w:adjustRightInd w:val="0"/>
        <w:snapToGrid w:val="0"/>
        <w:spacing w:before="200" w:line="220" w:lineRule="auto"/>
        <w:rPr>
          <w:rFonts w:hint="eastAsia" w:ascii="仿宋" w:hAnsi="仿宋" w:eastAsia="仿宋" w:cs="仿宋"/>
          <w:b/>
          <w:bCs/>
          <w:color w:val="000000" w:themeColor="text1"/>
          <w:spacing w:val="-4"/>
          <w:sz w:val="24"/>
          <w:szCs w:val="24"/>
          <w:highlight w:val="none"/>
          <w14:textFill>
            <w14:solidFill>
              <w14:schemeClr w14:val="tx1"/>
            </w14:solidFill>
          </w14:textFill>
        </w:rPr>
      </w:pPr>
      <w:r>
        <w:rPr>
          <w:rFonts w:hint="eastAsia" w:ascii="仿宋" w:hAnsi="仿宋" w:eastAsia="仿宋" w:cs="仿宋"/>
          <w:b/>
          <w:bCs/>
          <w:color w:val="000000" w:themeColor="text1"/>
          <w:spacing w:val="-4"/>
          <w:sz w:val="24"/>
          <w:szCs w:val="24"/>
          <w:highlight w:val="none"/>
          <w14:textFill>
            <w14:solidFill>
              <w14:schemeClr w14:val="tx1"/>
            </w14:solidFill>
          </w14:textFill>
        </w:rPr>
        <w:t>B</w:t>
      </w:r>
      <w:r>
        <w:rPr>
          <w:rFonts w:hint="eastAsia" w:ascii="仿宋" w:hAnsi="仿宋" w:eastAsia="仿宋" w:cs="仿宋"/>
          <w:color w:val="000000" w:themeColor="text1"/>
          <w:spacing w:val="-42"/>
          <w:sz w:val="24"/>
          <w:szCs w:val="24"/>
          <w:highlight w:val="none"/>
          <w14:textFill>
            <w14:solidFill>
              <w14:schemeClr w14:val="tx1"/>
            </w14:solidFill>
          </w14:textFill>
        </w:rPr>
        <w:t xml:space="preserve"> </w:t>
      </w:r>
      <w:r>
        <w:rPr>
          <w:rFonts w:hint="eastAsia" w:ascii="仿宋" w:hAnsi="仿宋" w:eastAsia="仿宋" w:cs="仿宋"/>
          <w:b/>
          <w:bCs/>
          <w:color w:val="000000" w:themeColor="text1"/>
          <w:spacing w:val="-4"/>
          <w:sz w:val="24"/>
          <w:szCs w:val="24"/>
          <w:highlight w:val="none"/>
          <w14:textFill>
            <w14:solidFill>
              <w14:schemeClr w14:val="tx1"/>
            </w14:solidFill>
          </w14:textFill>
        </w:rPr>
        <w:t>类人员体检项目清单</w:t>
      </w:r>
    </w:p>
    <w:p w14:paraId="0AE00F7F">
      <w:pPr>
        <w:keepNext w:val="0"/>
        <w:keepLines w:val="0"/>
        <w:pageBreakBefore w:val="0"/>
        <w:widowControl/>
        <w:kinsoku/>
        <w:wordWrap/>
        <w:overflowPunct/>
        <w:topLinePunct w:val="0"/>
        <w:autoSpaceDE w:val="0"/>
        <w:autoSpaceDN w:val="0"/>
        <w:bidi w:val="0"/>
        <w:adjustRightInd w:val="0"/>
        <w:snapToGrid w:val="0"/>
        <w:spacing w:before="200" w:line="220" w:lineRule="auto"/>
        <w:ind w:left="505"/>
        <w:jc w:val="right"/>
        <w:rPr>
          <w:rFonts w:hint="eastAsia" w:ascii="仿宋" w:hAnsi="仿宋" w:eastAsia="仿宋" w:cs="仿宋"/>
          <w:b/>
          <w:bCs/>
          <w:color w:val="000000" w:themeColor="text1"/>
          <w:spacing w:val="-4"/>
          <w:sz w:val="24"/>
          <w:szCs w:val="24"/>
          <w:highlight w:val="none"/>
          <w14:textFill>
            <w14:solidFill>
              <w14:schemeClr w14:val="tx1"/>
            </w14:solidFill>
          </w14:textFill>
        </w:rPr>
      </w:pPr>
      <w:r>
        <w:rPr>
          <w:rFonts w:hint="eastAsia" w:ascii="仿宋" w:hAnsi="仿宋" w:eastAsia="仿宋" w:cs="仿宋"/>
          <w:b/>
          <w:bCs/>
          <w:color w:val="000000" w:themeColor="text1"/>
          <w:spacing w:val="-4"/>
          <w:sz w:val="24"/>
          <w:szCs w:val="24"/>
          <w:highlight w:val="none"/>
          <w:lang w:val="en-US" w:eastAsia="zh-CN"/>
          <w14:textFill>
            <w14:solidFill>
              <w14:schemeClr w14:val="tx1"/>
            </w14:solidFill>
          </w14:textFill>
        </w:rPr>
        <w:t>单位：元</w:t>
      </w:r>
    </w:p>
    <w:tbl>
      <w:tblPr>
        <w:tblStyle w:val="3"/>
        <w:tblW w:w="97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794"/>
        <w:gridCol w:w="5458"/>
        <w:gridCol w:w="886"/>
        <w:gridCol w:w="877"/>
      </w:tblGrid>
      <w:tr w14:paraId="29511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75"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A79AE">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序号</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E7A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color w:val="000000" w:themeColor="text1"/>
                <w:sz w:val="22"/>
                <w:szCs w:val="22"/>
                <w:highlight w:val="none"/>
                <w:u w:val="none"/>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体检项目</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B002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项目说明</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B38E">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color w:val="000000" w:themeColor="text1"/>
                <w:sz w:val="22"/>
                <w:szCs w:val="22"/>
                <w:highlight w:val="none"/>
                <w:u w:val="none"/>
                <w:lang w:val="en-US"/>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男性</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840F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color w:val="000000" w:themeColor="text1"/>
                <w:sz w:val="22"/>
                <w:szCs w:val="22"/>
                <w:highlight w:val="none"/>
                <w:u w:val="none"/>
                <w:lang w:val="en-US"/>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女性</w:t>
            </w:r>
          </w:p>
        </w:tc>
      </w:tr>
      <w:tr w14:paraId="257C6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F042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2513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营养早餐</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80B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面包、牛奶等丰富的早餐</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DF51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E7E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673F7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CB2D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2626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一般检查</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6448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测定身高/体重、血压、腰围，体重指数等，初步筛查高血压</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4966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69C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4FDD4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FB12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3</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F13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内科</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7F9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用于了解胸部、心肺听诊、肠鸣音、心率、杂音、心律、肝、脾腹壁静脉曲张等情况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44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ACDF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24236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1DA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4</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656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外科</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767F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主要用于甲状腺,淋巴结,乳腺,脊柱,四肢关节,肛门、直肠和皮肤等出现病症的人群</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98D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CA6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6C25C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DA6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5</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F939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耳鼻喉科</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E17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了解外耳道、鼓膜、听力、鼻腔、鼻窦、咽部、扁桃体等情况</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3A8D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6EF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0ABC5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747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6</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023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眼底</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B00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为眼科常规检查，主要用于玻璃体、视网膜、脉络膜、视神经疾病的筛查</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033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4576A">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74115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8F66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7</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D45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血细胞分析</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598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通过血液分析可发现有无贫血、细菌感染、病毒感染、白血病等血液方面疾病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45C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0226">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05E0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211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8</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535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肝功能10项</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D40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反映肝细胞的功能状态，可筛查肝脏炎症、胆道疾病、胆管结石等疾病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CB6B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4B75">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CC2C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7" w:hRule="atLeast"/>
        </w:trPr>
        <w:tc>
          <w:tcPr>
            <w:tcW w:w="70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378E7F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9</w:t>
            </w:r>
          </w:p>
        </w:tc>
        <w:tc>
          <w:tcPr>
            <w:tcW w:w="179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1D3B57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肾功能4项（含血糖）</w:t>
            </w:r>
          </w:p>
        </w:tc>
        <w:tc>
          <w:tcPr>
            <w:tcW w:w="545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B09F61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筛查肾脏是否受损，是否有肾功能减退或肾衰，有无痛风、高尿酸血症等疾病</w:t>
            </w:r>
          </w:p>
        </w:tc>
        <w:tc>
          <w:tcPr>
            <w:tcW w:w="88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A33534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09E3605">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72330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7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50027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10</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6CE02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血脂7项</w:t>
            </w:r>
          </w:p>
        </w:tc>
        <w:tc>
          <w:tcPr>
            <w:tcW w:w="545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7B73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筛查有无高脂血症、血脂异常等</w:t>
            </w:r>
          </w:p>
        </w:tc>
        <w:tc>
          <w:tcPr>
            <w:tcW w:w="8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346A3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5DA4E9">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3FA48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0665D5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11</w:t>
            </w:r>
          </w:p>
        </w:tc>
        <w:tc>
          <w:tcPr>
            <w:tcW w:w="1794"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3EF8CB4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糖化血红蛋白</w:t>
            </w:r>
          </w:p>
        </w:tc>
        <w:tc>
          <w:tcPr>
            <w:tcW w:w="5458"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139729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是血液中葡萄糖和血红蛋白相结合的稳定化合物，可反映过去2-3月的平均血糖水平</w:t>
            </w:r>
          </w:p>
        </w:tc>
        <w:tc>
          <w:tcPr>
            <w:tcW w:w="88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813C7B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AC652E8">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B94D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FFC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12</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FA3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CA199</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B03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诊断消化道肿瘤、胰腺、胆道系统恶性肿瘤的重要指标</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845A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D0CCB">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036D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D53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13</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B6F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甲功5项</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AC4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筛查甲状腺功能亢进/减退等内分泌代谢性疾病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48CB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00D7E">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9385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40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14</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977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癌胚抗原CEA</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766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筛查癌症，具有广谱、早期的特点，阳性对癌症的诊断有重要临床意义</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C63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BC388">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FC70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E99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15</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594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甲胎蛋白AFP</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DCF5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通过血液筛查肝脏肿瘤</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7FE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9C9CB">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6903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D8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16</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BDD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CA125</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0087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筛查女士卵巢上皮癌，输卵管癌、子宫内膜癌、子宫颈腺癌等恶性肿瘤的重要指标</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FCF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AABF">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6CAB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4"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E27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17</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8E9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C13</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48D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筛查幽门螺杆菌</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80C3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8388">
            <w:pPr>
              <w:keepNext w:val="0"/>
              <w:keepLines w:val="0"/>
              <w:widowControl/>
              <w:suppressLineNumbers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4"/>
                <w:szCs w:val="24"/>
                <w:highlight w:val="none"/>
                <w:u w:val="none"/>
                <w:lang w:val="en-US" w:eastAsia="zh-CN" w:bidi="ar"/>
              </w:rPr>
              <w:t>/</w:t>
            </w:r>
          </w:p>
        </w:tc>
      </w:tr>
      <w:tr w14:paraId="685E1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890A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18</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9B47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血同型半胱氨酸</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396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高同型半胱氨酸血症易诱发高血压、心脑血管疾病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D89C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ECB12">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6832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9E8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19</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F77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骨密度</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1958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筛查有无骨量减少或骨质疏松症及其严重程度</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A61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575E">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529A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CB1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20</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E14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TPSA/FPSA</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66F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属早期诊断和监测前列腺癌的重要指标之一，鉴别诊断前列腺炎及前列腺增生等</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11E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451C2">
            <w:pPr>
              <w:keepNext w:val="0"/>
              <w:keepLines w:val="0"/>
              <w:widowControl/>
              <w:suppressLineNumbers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4"/>
                <w:szCs w:val="24"/>
                <w:highlight w:val="none"/>
                <w:u w:val="none"/>
                <w:lang w:val="en-US" w:eastAsia="zh-CN" w:bidi="ar"/>
              </w:rPr>
              <w:t>/</w:t>
            </w:r>
          </w:p>
        </w:tc>
      </w:tr>
      <w:tr w14:paraId="42024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FBF7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21</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DF5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腹部超声（肝胆胰脾）</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ACB3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筛查脂肪肝、结石、肿瘤、囊肿、血管瘤等，是腹部脏器检查的重要项目</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D64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8592">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D6D1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9D8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22</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7129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腹部超声（双肾、输尿管膀胱前列腺）</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9CB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筛查甲状腺肿、甲状腺囊肿、甲状腺炎、甲状腺瘤、甲状腺癌等疾病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E62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61FF9">
            <w:pPr>
              <w:keepNext w:val="0"/>
              <w:keepLines w:val="0"/>
              <w:widowControl/>
              <w:suppressLineNumbers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宋体" w:hAnsi="宋体" w:eastAsia="宋体" w:cs="宋体"/>
                <w:i w:val="0"/>
                <w:iCs w:val="0"/>
                <w:color w:val="000000"/>
                <w:kern w:val="0"/>
                <w:sz w:val="24"/>
                <w:szCs w:val="24"/>
                <w:highlight w:val="none"/>
                <w:u w:val="none"/>
                <w:lang w:val="en-US" w:eastAsia="zh-CN" w:bidi="ar"/>
              </w:rPr>
              <w:t>/</w:t>
            </w:r>
          </w:p>
        </w:tc>
      </w:tr>
      <w:tr w14:paraId="10ABC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2FF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23</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75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腹部超声（子宫附件经腹）</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A9DC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筛查有无乳腺炎、乳腺囊肿、乳腺结节、乳腺癌等</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02F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44968">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480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5C9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24</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F593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甲状腺彩超</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D499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筛查颈动脉粥样硬化、斑块形成及狭窄、闭塞等，评估心脑血管疾病风险的重要项目</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D3A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8D607">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410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837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25</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8E02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乳腺彩超</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FB4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筛查先天性心脏病、心脏瓣膜疾病、高血压性心脏病等的有效手段</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419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5F4E">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A77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FD9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26</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A0B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颈部血管彩超</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9F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诊断泌尿系统疾病，如泌尿系感染、肿瘤、结石等，还可以协助诊断其他系统疾病</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41F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5107">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A47B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4"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C17E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27</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A1D7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心脏彩超</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50CE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筛查心律失常、心绞痛、心肌梗塞、冠心病、心肌缺血、心脏传导阻滞等心脏疾患</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2330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77CF">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77628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FEC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28</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22EE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尿常规+沉渣测定</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858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筛查肺部结节、肿瘤、肺炎、慢阻肺等疾病，准确性较高，特别用于早期肺癌的诊断</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F70D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110F6">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8524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623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29</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77F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心电图</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F96F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临床上主要用于宫颈病变的早期筛查、宫颈癌的诊断</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4C7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E78AC">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AF12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CD11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default"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30</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6C0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胸部CT</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3946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总检医师出具专业、规范的主检报告，做出准确的健康结论，提供合理的保健建议</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1FE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9023">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1904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E39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31</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F97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妇科普检+TCT（未婚不查）</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A2B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面包、牛奶等丰富的早餐</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454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7C3A8">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7625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EF9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32</w:t>
            </w:r>
          </w:p>
        </w:tc>
        <w:tc>
          <w:tcPr>
            <w:tcW w:w="1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183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专家总检</w:t>
            </w:r>
          </w:p>
        </w:tc>
        <w:tc>
          <w:tcPr>
            <w:tcW w:w="54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31E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测定身高/体重、血压、腰围，体重指数等，初步筛查高血压</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01F9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2A1CD">
            <w:pPr>
              <w:jc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3C9B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79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5C2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4"/>
                <w:szCs w:val="24"/>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小计</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5A19">
            <w:pPr>
              <w:keepNext w:val="0"/>
              <w:keepLines w:val="0"/>
              <w:widowControl/>
              <w:suppressLineNumbers w:val="0"/>
              <w:jc w:val="center"/>
              <w:textAlignment w:val="center"/>
              <w:rPr>
                <w:rFonts w:hint="eastAsia" w:ascii="仿宋" w:hAnsi="仿宋" w:eastAsia="仿宋" w:cs="仿宋"/>
                <w:color w:val="000000" w:themeColor="text1"/>
                <w:sz w:val="20"/>
                <w:highlight w:val="none"/>
                <w14:textFill>
                  <w14:solidFill>
                    <w14:schemeClr w14:val="tx1"/>
                  </w14:solidFill>
                </w14:textFill>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A4809">
            <w:pPr>
              <w:keepNext w:val="0"/>
              <w:keepLines w:val="0"/>
              <w:widowControl/>
              <w:suppressLineNumbers w:val="0"/>
              <w:jc w:val="center"/>
              <w:textAlignment w:val="center"/>
              <w:rPr>
                <w:rFonts w:hint="eastAsia" w:ascii="仿宋" w:hAnsi="仿宋" w:eastAsia="仿宋" w:cs="仿宋"/>
                <w:color w:val="000000" w:themeColor="text1"/>
                <w:sz w:val="20"/>
                <w:highlight w:val="none"/>
                <w14:textFill>
                  <w14:solidFill>
                    <w14:schemeClr w14:val="tx1"/>
                  </w14:solidFill>
                </w14:textFill>
              </w:rPr>
            </w:pPr>
          </w:p>
        </w:tc>
      </w:tr>
      <w:tr w14:paraId="15D6A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71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CE6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pPr>
            <w:r>
              <w:rPr>
                <w:rFonts w:hint="eastAsia" w:ascii="仿宋" w:hAnsi="仿宋" w:eastAsia="仿宋" w:cs="仿宋"/>
                <w:color w:val="000000" w:themeColor="text1"/>
                <w:spacing w:val="-5"/>
                <w:sz w:val="24"/>
                <w:szCs w:val="24"/>
                <w:highlight w:val="none"/>
                <w14:textFill>
                  <w14:solidFill>
                    <w14:schemeClr w14:val="tx1"/>
                  </w14:solidFill>
                </w14:textFill>
              </w:rPr>
              <w:t>B</w:t>
            </w:r>
            <w:r>
              <w:rPr>
                <w:rFonts w:hint="eastAsia" w:ascii="仿宋" w:hAnsi="仿宋" w:eastAsia="仿宋" w:cs="仿宋"/>
                <w:color w:val="000000" w:themeColor="text1"/>
                <w:spacing w:val="-4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5"/>
                <w:sz w:val="24"/>
                <w:szCs w:val="24"/>
                <w:highlight w:val="none"/>
                <w14:textFill>
                  <w14:solidFill>
                    <w14:schemeClr w14:val="tx1"/>
                  </w14:solidFill>
                </w14:textFill>
              </w:rPr>
              <w:t>类人员约</w:t>
            </w:r>
            <w:r>
              <w:rPr>
                <w:rFonts w:hint="eastAsia" w:ascii="仿宋" w:hAnsi="仿宋" w:eastAsia="仿宋" w:cs="仿宋"/>
                <w:color w:val="000000" w:themeColor="text1"/>
                <w:spacing w:val="-46"/>
                <w:sz w:val="24"/>
                <w:szCs w:val="24"/>
                <w:highlight w:val="none"/>
                <w14:textFill>
                  <w14:solidFill>
                    <w14:schemeClr w14:val="tx1"/>
                  </w14:solidFill>
                </w14:textFill>
              </w:rPr>
              <w:t xml:space="preserve"> </w:t>
            </w:r>
            <w:r>
              <w:rPr>
                <w:rFonts w:hint="eastAsia" w:ascii="仿宋" w:hAnsi="仿宋" w:eastAsia="仿宋" w:cs="仿宋"/>
                <w:color w:val="000000" w:themeColor="text1"/>
                <w:spacing w:val="-5"/>
                <w:sz w:val="24"/>
                <w:szCs w:val="24"/>
                <w:highlight w:val="none"/>
                <w14:textFill>
                  <w14:solidFill>
                    <w14:schemeClr w14:val="tx1"/>
                  </w14:solidFill>
                </w14:textFill>
              </w:rPr>
              <w:t>7</w:t>
            </w:r>
            <w: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t>10</w:t>
            </w:r>
            <w:r>
              <w:rPr>
                <w:rFonts w:hint="eastAsia" w:ascii="仿宋" w:hAnsi="仿宋" w:eastAsia="仿宋" w:cs="仿宋"/>
                <w:color w:val="000000" w:themeColor="text1"/>
                <w:spacing w:val="-41"/>
                <w:sz w:val="24"/>
                <w:szCs w:val="24"/>
                <w:highlight w:val="none"/>
                <w14:textFill>
                  <w14:solidFill>
                    <w14:schemeClr w14:val="tx1"/>
                  </w14:solidFill>
                </w14:textFill>
              </w:rPr>
              <w:t xml:space="preserve"> </w:t>
            </w:r>
            <w:r>
              <w:rPr>
                <w:rFonts w:hint="eastAsia" w:ascii="仿宋" w:hAnsi="仿宋" w:eastAsia="仿宋" w:cs="仿宋"/>
                <w:color w:val="000000" w:themeColor="text1"/>
                <w:spacing w:val="-5"/>
                <w:sz w:val="24"/>
                <w:szCs w:val="24"/>
                <w:highlight w:val="none"/>
                <w14:textFill>
                  <w14:solidFill>
                    <w14:schemeClr w14:val="tx1"/>
                  </w14:solidFill>
                </w14:textFill>
              </w:rPr>
              <w:t>人，</w:t>
            </w:r>
            <w: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t>其中男性521人，女性189人；</w:t>
            </w:r>
          </w:p>
          <w:p w14:paraId="772EDC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color w:val="000000" w:themeColor="text1"/>
                <w:sz w:val="20"/>
                <w:highlight w:val="none"/>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体检费合计大写：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元</w:t>
            </w:r>
          </w:p>
        </w:tc>
      </w:tr>
    </w:tbl>
    <w:p w14:paraId="33E5A11A">
      <w:pPr>
        <w:keepNext w:val="0"/>
        <w:keepLines w:val="0"/>
        <w:pageBreakBefore w:val="0"/>
        <w:widowControl/>
        <w:kinsoku/>
        <w:wordWrap/>
        <w:overflowPunct/>
        <w:topLinePunct w:val="0"/>
        <w:autoSpaceDE w:val="0"/>
        <w:autoSpaceDN w:val="0"/>
        <w:bidi w:val="0"/>
        <w:adjustRightInd w:val="0"/>
        <w:snapToGrid w:val="0"/>
        <w:spacing w:line="67" w:lineRule="exact"/>
        <w:rPr>
          <w:rFonts w:hint="eastAsia" w:ascii="仿宋" w:hAnsi="仿宋" w:eastAsia="仿宋" w:cs="仿宋"/>
          <w:color w:val="000000" w:themeColor="text1"/>
          <w:highlight w:val="none"/>
          <w14:textFill>
            <w14:solidFill>
              <w14:schemeClr w14:val="tx1"/>
            </w14:solidFill>
          </w14:textFill>
        </w:rPr>
      </w:pPr>
    </w:p>
    <w:p w14:paraId="15C77FC0">
      <w:pPr>
        <w:rPr>
          <w:rFonts w:hint="eastAsia" w:ascii="仿宋" w:hAnsi="仿宋" w:eastAsia="仿宋" w:cs="仿宋"/>
          <w:b/>
          <w:bCs/>
          <w:color w:val="000000" w:themeColor="text1"/>
          <w:spacing w:val="-5"/>
          <w:sz w:val="24"/>
          <w:szCs w:val="24"/>
          <w:highlight w:val="none"/>
          <w14:textFill>
            <w14:solidFill>
              <w14:schemeClr w14:val="tx1"/>
            </w14:solidFill>
          </w14:textFill>
        </w:rPr>
      </w:pPr>
      <w:r>
        <w:rPr>
          <w:rFonts w:hint="eastAsia" w:ascii="仿宋" w:hAnsi="仿宋" w:eastAsia="仿宋" w:cs="仿宋"/>
          <w:b/>
          <w:bCs/>
          <w:color w:val="000000" w:themeColor="text1"/>
          <w:spacing w:val="-5"/>
          <w:sz w:val="24"/>
          <w:szCs w:val="24"/>
          <w:highlight w:val="none"/>
          <w14:textFill>
            <w14:solidFill>
              <w14:schemeClr w14:val="tx1"/>
            </w14:solidFill>
          </w14:textFill>
        </w:rPr>
        <w:br w:type="page"/>
      </w:r>
    </w:p>
    <w:p w14:paraId="4DA4F513">
      <w:pPr>
        <w:keepNext w:val="0"/>
        <w:keepLines w:val="0"/>
        <w:pageBreakBefore w:val="0"/>
        <w:widowControl/>
        <w:kinsoku/>
        <w:wordWrap/>
        <w:overflowPunct/>
        <w:topLinePunct w:val="0"/>
        <w:autoSpaceDE w:val="0"/>
        <w:autoSpaceDN w:val="0"/>
        <w:bidi w:val="0"/>
        <w:adjustRightInd w:val="0"/>
        <w:snapToGrid w:val="0"/>
        <w:spacing w:before="114" w:line="220" w:lineRule="auto"/>
        <w:ind w:left="509"/>
        <w:rPr>
          <w:rFonts w:hint="eastAsia" w:ascii="仿宋" w:hAnsi="仿宋" w:eastAsia="仿宋" w:cs="仿宋"/>
          <w:b/>
          <w:bCs/>
          <w:color w:val="000000" w:themeColor="text1"/>
          <w:spacing w:val="-5"/>
          <w:sz w:val="24"/>
          <w:szCs w:val="24"/>
          <w:highlight w:val="none"/>
          <w14:textFill>
            <w14:solidFill>
              <w14:schemeClr w14:val="tx1"/>
            </w14:solidFill>
          </w14:textFill>
        </w:rPr>
      </w:pPr>
      <w:r>
        <w:rPr>
          <w:rFonts w:hint="eastAsia" w:ascii="仿宋" w:hAnsi="仿宋" w:eastAsia="仿宋" w:cs="仿宋"/>
          <w:b/>
          <w:bCs/>
          <w:color w:val="000000" w:themeColor="text1"/>
          <w:spacing w:val="-5"/>
          <w:sz w:val="24"/>
          <w:szCs w:val="24"/>
          <w:highlight w:val="none"/>
          <w14:textFill>
            <w14:solidFill>
              <w14:schemeClr w14:val="tx1"/>
            </w14:solidFill>
          </w14:textFill>
        </w:rPr>
        <w:t>C</w:t>
      </w:r>
      <w:r>
        <w:rPr>
          <w:rFonts w:hint="eastAsia" w:ascii="仿宋" w:hAnsi="仿宋" w:eastAsia="仿宋" w:cs="仿宋"/>
          <w:color w:val="000000" w:themeColor="text1"/>
          <w:spacing w:val="-36"/>
          <w:sz w:val="24"/>
          <w:szCs w:val="24"/>
          <w:highlight w:val="none"/>
          <w14:textFill>
            <w14:solidFill>
              <w14:schemeClr w14:val="tx1"/>
            </w14:solidFill>
          </w14:textFill>
        </w:rPr>
        <w:t xml:space="preserve"> </w:t>
      </w:r>
      <w:r>
        <w:rPr>
          <w:rFonts w:hint="eastAsia" w:ascii="仿宋" w:hAnsi="仿宋" w:eastAsia="仿宋" w:cs="仿宋"/>
          <w:b/>
          <w:bCs/>
          <w:color w:val="000000" w:themeColor="text1"/>
          <w:spacing w:val="-5"/>
          <w:sz w:val="24"/>
          <w:szCs w:val="24"/>
          <w:highlight w:val="none"/>
          <w14:textFill>
            <w14:solidFill>
              <w14:schemeClr w14:val="tx1"/>
            </w14:solidFill>
          </w14:textFill>
        </w:rPr>
        <w:t>类人员体检项目清单</w:t>
      </w:r>
    </w:p>
    <w:p w14:paraId="1B3CB22E">
      <w:pPr>
        <w:keepNext w:val="0"/>
        <w:keepLines w:val="0"/>
        <w:pageBreakBefore w:val="0"/>
        <w:widowControl/>
        <w:kinsoku/>
        <w:wordWrap/>
        <w:overflowPunct/>
        <w:topLinePunct w:val="0"/>
        <w:autoSpaceDE w:val="0"/>
        <w:autoSpaceDN w:val="0"/>
        <w:bidi w:val="0"/>
        <w:adjustRightInd w:val="0"/>
        <w:snapToGrid w:val="0"/>
        <w:spacing w:before="114" w:line="220" w:lineRule="auto"/>
        <w:ind w:left="509"/>
        <w:jc w:val="right"/>
        <w:rPr>
          <w:rFonts w:hint="eastAsia" w:ascii="仿宋" w:hAnsi="仿宋" w:eastAsia="仿宋" w:cs="仿宋"/>
          <w:b/>
          <w:bCs/>
          <w:color w:val="000000" w:themeColor="text1"/>
          <w:spacing w:val="-5"/>
          <w:sz w:val="24"/>
          <w:szCs w:val="24"/>
          <w:highlight w:val="none"/>
          <w14:textFill>
            <w14:solidFill>
              <w14:schemeClr w14:val="tx1"/>
            </w14:solidFill>
          </w14:textFill>
        </w:rPr>
      </w:pPr>
      <w:r>
        <w:rPr>
          <w:rFonts w:hint="eastAsia" w:ascii="仿宋" w:hAnsi="仿宋" w:eastAsia="仿宋" w:cs="仿宋"/>
          <w:b/>
          <w:bCs/>
          <w:color w:val="000000" w:themeColor="text1"/>
          <w:spacing w:val="-4"/>
          <w:sz w:val="24"/>
          <w:szCs w:val="24"/>
          <w:highlight w:val="none"/>
          <w:lang w:val="en-US" w:eastAsia="zh-CN"/>
          <w14:textFill>
            <w14:solidFill>
              <w14:schemeClr w14:val="tx1"/>
            </w14:solidFill>
          </w14:textFill>
        </w:rPr>
        <w:t>单位：元</w:t>
      </w:r>
    </w:p>
    <w:p w14:paraId="237A4D31">
      <w:pPr>
        <w:keepNext w:val="0"/>
        <w:keepLines w:val="0"/>
        <w:pageBreakBefore w:val="0"/>
        <w:widowControl/>
        <w:kinsoku/>
        <w:wordWrap/>
        <w:overflowPunct/>
        <w:topLinePunct w:val="0"/>
        <w:autoSpaceDE w:val="0"/>
        <w:autoSpaceDN w:val="0"/>
        <w:bidi w:val="0"/>
        <w:adjustRightInd w:val="0"/>
        <w:snapToGrid w:val="0"/>
        <w:spacing w:line="68" w:lineRule="exact"/>
        <w:rPr>
          <w:rFonts w:hint="eastAsia" w:ascii="仿宋" w:hAnsi="仿宋" w:eastAsia="仿宋" w:cs="仿宋"/>
          <w:color w:val="000000" w:themeColor="text1"/>
          <w:highlight w:val="none"/>
          <w14:textFill>
            <w14:solidFill>
              <w14:schemeClr w14:val="tx1"/>
            </w14:solidFill>
          </w14:textFill>
        </w:rPr>
      </w:pPr>
    </w:p>
    <w:tbl>
      <w:tblPr>
        <w:tblStyle w:val="3"/>
        <w:tblW w:w="972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0"/>
        <w:gridCol w:w="1914"/>
        <w:gridCol w:w="5140"/>
        <w:gridCol w:w="940"/>
        <w:gridCol w:w="1029"/>
      </w:tblGrid>
      <w:tr w14:paraId="5DD0E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9E9A2">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序号</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FA67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color w:val="000000" w:themeColor="text1"/>
                <w:sz w:val="22"/>
                <w:szCs w:val="22"/>
                <w:highlight w:val="none"/>
                <w:u w:val="none"/>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体检项目</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1DD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项目说明</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9CD0">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color w:val="000000" w:themeColor="text1"/>
                <w:sz w:val="22"/>
                <w:szCs w:val="22"/>
                <w:highlight w:val="none"/>
                <w:u w:val="none"/>
                <w:lang w:val="en-US"/>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男性</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7E3F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女性</w:t>
            </w:r>
          </w:p>
          <w:p w14:paraId="09A460F8">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bCs/>
                <w:i w:val="0"/>
                <w:iCs w:val="0"/>
                <w:color w:val="000000" w:themeColor="text1"/>
                <w:sz w:val="22"/>
                <w:szCs w:val="22"/>
                <w:highlight w:val="none"/>
                <w:u w:val="none"/>
                <w14:textFill>
                  <w14:solidFill>
                    <w14:schemeClr w14:val="tx1"/>
                  </w14:solidFill>
                </w14:textFill>
              </w:rPr>
            </w:pPr>
            <w:r>
              <w:rPr>
                <w:rFonts w:hint="eastAsia" w:ascii="仿宋" w:hAnsi="仿宋" w:eastAsia="仿宋" w:cs="仿宋"/>
                <w:b/>
                <w:bCs/>
                <w:i w:val="0"/>
                <w:iCs w:val="0"/>
                <w:snapToGrid w:val="0"/>
                <w:color w:val="000000" w:themeColor="text1"/>
                <w:kern w:val="0"/>
                <w:sz w:val="22"/>
                <w:szCs w:val="22"/>
                <w:highlight w:val="none"/>
                <w:u w:val="none"/>
                <w:lang w:val="en-US" w:eastAsia="zh-CN" w:bidi="ar"/>
                <w14:textFill>
                  <w14:solidFill>
                    <w14:schemeClr w14:val="tx1"/>
                  </w14:solidFill>
                </w14:textFill>
              </w:rPr>
              <w:t>（已婚）</w:t>
            </w:r>
          </w:p>
        </w:tc>
      </w:tr>
      <w:tr w14:paraId="5F90F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AC3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DC9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营养早餐</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9974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面包、牛奶等丰富的早餐</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AC1D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5AD0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0268D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FD5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FE00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一般检查</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3A6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测定身高/体重、血压、腰围，体重指数等，初步筛查高血压</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15EC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D2A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0B34C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C80B">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4C2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内科</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758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用于了解胸部、心肺听诊、肠鸣音、心率、杂音、心律、肝、脾腹壁静脉曲张等情况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5C3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5A13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74591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829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240B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外科</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DB77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主要用于甲状腺,淋巴结,乳腺,脊柱,四肢关节,肛门、直肠和皮肤等出现病症的人群</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7A4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2100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6BD7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5B20">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4C00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眼科</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9F8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包括一般视力检查、外眼及内眼检查</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E00D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1D7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2AACF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F01E0">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AAD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耳鼻喉科</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038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了解外耳道、鼓膜、听力、鼻腔、鼻窦、咽部、扁桃体等情况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D41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D2C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07A0C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C9FB">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7</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FFA5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口腔科</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95C1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口腔黏膜、牙齿、牙龈、颞颌关节、腮腺</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C21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BA1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赠送</w:t>
            </w:r>
          </w:p>
        </w:tc>
      </w:tr>
      <w:tr w14:paraId="67B78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FF3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B3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血细胞分析</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AE24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通过血液分析可发现有无贫血、细菌感染、病毒感染、白血病等血液方面疾病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B2A9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A41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0C75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0B1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D83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肝功能十项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6183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反映肝细胞的功能状态，可筛查肝脏炎症、胆道疾病、胆管结石等疾病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A47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09E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BC5F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9F0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5B7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肾功能4项（含血糖）</w:t>
            </w:r>
          </w:p>
        </w:tc>
        <w:tc>
          <w:tcPr>
            <w:tcW w:w="5140" w:type="dxa"/>
            <w:tcBorders>
              <w:top w:val="nil"/>
              <w:left w:val="single" w:color="000000" w:sz="4" w:space="0"/>
              <w:bottom w:val="single" w:color="000000" w:sz="4" w:space="0"/>
              <w:right w:val="single" w:color="000000" w:sz="4" w:space="0"/>
            </w:tcBorders>
            <w:shd w:val="clear" w:color="auto" w:fill="auto"/>
            <w:noWrap/>
            <w:vAlign w:val="center"/>
          </w:tcPr>
          <w:p w14:paraId="3CDC890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筛查肾脏是否受损，是否有肾功能减退或肾衰，有无痛风、高尿酸血症等疾病</w:t>
            </w:r>
          </w:p>
        </w:tc>
        <w:tc>
          <w:tcPr>
            <w:tcW w:w="940" w:type="dxa"/>
            <w:tcBorders>
              <w:top w:val="nil"/>
              <w:left w:val="single" w:color="000000" w:sz="4" w:space="0"/>
              <w:bottom w:val="single" w:color="000000" w:sz="4" w:space="0"/>
              <w:right w:val="single" w:color="000000" w:sz="4" w:space="0"/>
            </w:tcBorders>
            <w:shd w:val="clear" w:color="auto" w:fill="auto"/>
            <w:noWrap/>
            <w:vAlign w:val="center"/>
          </w:tcPr>
          <w:p w14:paraId="2B53447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nil"/>
              <w:left w:val="single" w:color="000000" w:sz="4" w:space="0"/>
              <w:bottom w:val="single" w:color="000000" w:sz="4" w:space="0"/>
              <w:right w:val="single" w:color="000000" w:sz="4" w:space="0"/>
            </w:tcBorders>
            <w:shd w:val="clear" w:color="auto" w:fill="auto"/>
            <w:noWrap/>
            <w:vAlign w:val="center"/>
          </w:tcPr>
          <w:p w14:paraId="67ABD26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D181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42029">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11</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B02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血脂七项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3FE1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筛查有无高脂血症、血脂异常等</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1E9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A13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EDD6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027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159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糖化血红蛋白</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07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是血液中葡萄糖和血红蛋白相结合的稳定化合物，可反映过去2-3月的平均血糖水平</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C8B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65C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5691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2037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C3B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同型半胱氨酸</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F4AB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高同型半胱氨酸血症易诱发高血压、心脑血管疾病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02A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184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79D8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02F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7B1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甲功3项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CE4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筛查甲状腺功能亢进/减退等内分泌代谢性疾病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985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92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21DAD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FA46C">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D0E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抗甲状腺过氧化物酶抗体检测</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4D9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筛查桥本氏甲状腺炎</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F47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AE5A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59D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B454">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9E1F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血清肌钙蛋白T测定</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4116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对心肌炎，急性心肌梗死有重要诊断意义</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6BA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815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B70F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0E8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17</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C129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B型钠尿肽前体测定</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C9E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心力衰竭的辅助诊断指标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E58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1D1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0959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7B44B">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D0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男性常见肿瘤标志物（12项）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2CD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肺癌、肝癌、结直肠癌、胃癌、前列腺癌的早期筛查</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BB04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395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44434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E329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19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9A1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女性常见肿瘤标志物（11项）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D2D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肺癌、肝癌、结直肠癌、胃癌、宫颈癌，乳腺癌的早期筛查</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6744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273E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E17C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9CC2">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9189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腹部超声（肝胆胰脾）</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763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筛查脂肪肝、结石、肿瘤、囊肿、血管瘤等，是腹部脏器检查的重要项目</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9FC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1C79">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C212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C61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21</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BB67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腹部超声（双肾、输尿管膀胱前列腺）</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663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评估骨骼健康状况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EBA5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B3B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62EA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477D6">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53E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腹部超声（双肾、输尿管膀胱）</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B30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评估人体内环境中离子的浓度</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422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CE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697F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51B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625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腹部超声（子宫附件经腹）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9C29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提示胃窦黏膜萎缩状况或是否存在异常增殖，升高可以提示存在胃癌发生风险</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38F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33B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E77B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311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EE7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25羟维生素D测定</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4B7A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评估炎症损伤和感染状况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955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33D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0F97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FFD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48A8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电解质五项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C9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判断有无肺通气功能障碍，协助诊断相关肺部疾病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3231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04DE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6B8CE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59ED">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C47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胃泌素-17</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703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筛查甲状腺肿、甲状腺囊肿、甲状腺炎、甲状腺瘤、甲状腺癌等疾病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3F01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7DCE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621B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9F3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27</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F9A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超敏C反应蛋白</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B6C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筛查有无乳腺炎、乳腺囊肿、乳腺结节、乳腺癌等</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868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A02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3B0F6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E425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5ED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肺通气功能</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AFCF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筛查颈动脉粥样硬化、斑块形成及狭窄、闭塞等，评估心脑血管疾病风险的重要项目</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922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BA8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34C94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1F8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29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261C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甲状腺彩超</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533B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筛查先天性心脏病、心脏瓣膜疾病、高血压性心脏病等的有效手段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455D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3CE8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376E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136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D3C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乳腺彩超</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9F6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诊断泌尿系统疾病，如泌尿系感染、肿瘤、结石等，还可以协助诊断其他系统疾病</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36AE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2C6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A571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D078">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31</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19D6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颈部血管彩超</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781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筛查心律失常、心绞痛、心肌梗塞、冠心病、心肌缺血、心脏传导阻滞等心脏疾患</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1F9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721E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729E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23E7">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7B8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心脏彩超</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9E2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呼吸道感染、传染性单核细胞增多和鼻咽癌的早期筛查</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CFD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1352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8CD2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309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4C56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尿常规+沉渣测定</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7A5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评估肝脏功能，脂肪肝、肝纤维化的程度评估</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E907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BD2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4C87C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C05F6">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1250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尿微量白蛋白/肌酐比值测定</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917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对脑血管性疾病、颅内肿瘤、颅内压增高、脑萎缩、颅内感染性疾病的诊断有重要意义</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5E5F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F38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3D80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2F0E2">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015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心电图</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E519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筛查肺部结节、肿瘤、肺炎、慢阻肺等疾病，准确性较高，特别用于早期肺癌的诊断</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0E50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FAE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5C90B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818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36</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7E0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EB病毒抗体检测四项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FD1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筛查有无骨量减少或骨质疏松症及其严重程度</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5A8B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FABD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731FE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31A01">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37</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1E19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肝纤维化指标五项</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64B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动脉血管壁僵硬度的改变常作为心血管疾病严重程度的重要评价指标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9375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9B58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1EC08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09EC">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38</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026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头颅MRI或者MRA（二选一）</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7CD76">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筛查有无幽门螺旋杆菌感染，长期感染可致慢性胃炎、溃疡甚至胃癌等</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20E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B0B8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C575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A58B">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39</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108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胸部CT</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F7C4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临床上主要用于宫颈病变的早期筛查、宫颈癌的诊断</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9A40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D2BB">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B708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1641">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40</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6044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骨密度</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D192">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高危型HPV是引起宫颈上皮病变的主要病因之一，TCT结合HPV可更好的评估病变风险</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53A2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CA04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D4B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A2A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41</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7AEA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无创肢体动脉检查</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17A3">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总检医师出具专业、规范的主检报告，做出准确的健康结论，提供合理的保健建议</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7B1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EB08">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7268E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11EC">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default"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42</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930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幽门螺旋杆菌抗体分型检测</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9A2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面包、牛奶等丰富的早餐</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ED2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E6CA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r>
      <w:tr w14:paraId="720F5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B372">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43</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D4DF">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妇科普检+TCT（未婚不查）</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620FA">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测定身高/体重、血压、腰围，体重指数等，初步筛查高血压</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1A13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9D0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681EE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4F2B">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44</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02555">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HPV（未婚不查）</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37541">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用于了解胸部、心肺听诊、肠鸣音、心率、杂音、心律、肝、脾腹壁静脉曲张等情况</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DC84">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711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12561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466A">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b w:val="0"/>
                <w:bCs w:val="0"/>
                <w:i w:val="0"/>
                <w:iCs w:val="0"/>
                <w:snapToGrid w:val="0"/>
                <w:color w:val="000000" w:themeColor="text1"/>
                <w:kern w:val="0"/>
                <w:sz w:val="22"/>
                <w:szCs w:val="22"/>
                <w:highlight w:val="none"/>
                <w:u w:val="none"/>
                <w:lang w:val="en-US" w:eastAsia="zh-CN" w:bidi="ar"/>
                <w14:textFill>
                  <w14:solidFill>
                    <w14:schemeClr w14:val="tx1"/>
                  </w14:solidFill>
                </w14:textFill>
              </w:rPr>
              <w:t>45</w:t>
            </w:r>
          </w:p>
        </w:tc>
        <w:tc>
          <w:tcPr>
            <w:tcW w:w="1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A1BD">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专家总检</w:t>
            </w:r>
          </w:p>
        </w:tc>
        <w:tc>
          <w:tcPr>
            <w:tcW w:w="5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5600">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主要用于甲状腺,淋巴结,乳腺,脊柱,四肢关节,肛门、直肠和皮肤等出现病症的人群</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F5E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068AE">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p>
        </w:tc>
      </w:tr>
      <w:tr w14:paraId="06AEE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77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A47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cente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小计</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2059">
            <w:pPr>
              <w:keepNext w:val="0"/>
              <w:keepLines w:val="0"/>
              <w:widowControl/>
              <w:suppressLineNumbers w:val="0"/>
              <w:jc w:val="center"/>
              <w:textAlignment w:val="center"/>
              <w:rPr>
                <w:rFonts w:hint="eastAsia" w:ascii="仿宋" w:hAnsi="仿宋" w:eastAsia="仿宋" w:cs="仿宋"/>
                <w:color w:val="000000" w:themeColor="text1"/>
                <w:sz w:val="20"/>
                <w:highlight w:val="none"/>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5009">
            <w:pPr>
              <w:keepNext w:val="0"/>
              <w:keepLines w:val="0"/>
              <w:widowControl/>
              <w:suppressLineNumbers w:val="0"/>
              <w:jc w:val="center"/>
              <w:textAlignment w:val="center"/>
              <w:rPr>
                <w:rFonts w:hint="eastAsia" w:ascii="仿宋" w:hAnsi="仿宋" w:eastAsia="仿宋" w:cs="仿宋"/>
                <w:color w:val="000000" w:themeColor="text1"/>
                <w:sz w:val="20"/>
                <w:highlight w:val="none"/>
                <w14:textFill>
                  <w14:solidFill>
                    <w14:schemeClr w14:val="tx1"/>
                  </w14:solidFill>
                </w14:textFill>
              </w:rPr>
            </w:pPr>
          </w:p>
        </w:tc>
      </w:tr>
      <w:tr w14:paraId="41A4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972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A063C">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C类人员</w:t>
            </w:r>
            <w: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t>28</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人，</w:t>
            </w:r>
            <w:r>
              <w:rPr>
                <w:rFonts w:hint="eastAsia" w:ascii="仿宋" w:hAnsi="仿宋" w:eastAsia="仿宋" w:cs="仿宋"/>
                <w:color w:val="000000" w:themeColor="text1"/>
                <w:spacing w:val="-5"/>
                <w:sz w:val="24"/>
                <w:szCs w:val="24"/>
                <w:highlight w:val="none"/>
                <w:lang w:val="en-US" w:eastAsia="zh-CN"/>
                <w14:textFill>
                  <w14:solidFill>
                    <w14:schemeClr w14:val="tx1"/>
                  </w14:solidFill>
                </w14:textFill>
              </w:rPr>
              <w:t>其中男性23人，女性5人；</w:t>
            </w:r>
          </w:p>
          <w:p w14:paraId="7EC0FF57">
            <w:pPr>
              <w:keepNext w:val="0"/>
              <w:keepLines w:val="0"/>
              <w:pageBreakBefore w:val="0"/>
              <w:widowControl/>
              <w:suppressLineNumbers w:val="0"/>
              <w:kinsoku/>
              <w:wordWrap/>
              <w:overflowPunct/>
              <w:topLinePunct w:val="0"/>
              <w:autoSpaceDE w:val="0"/>
              <w:autoSpaceDN w:val="0"/>
              <w:bidi w:val="0"/>
              <w:adjustRightInd w:val="0"/>
              <w:snapToGrid w:val="0"/>
              <w:jc w:val="left"/>
              <w:textAlignment w:val="center"/>
              <w:rPr>
                <w:rFonts w:hint="eastAsia" w:ascii="仿宋" w:hAnsi="仿宋" w:eastAsia="仿宋" w:cs="仿宋"/>
                <w:color w:val="000000" w:themeColor="text1"/>
                <w:sz w:val="20"/>
                <w:highlight w:val="none"/>
                <w14:textFill>
                  <w14:solidFill>
                    <w14:schemeClr w14:val="tx1"/>
                  </w14:solidFill>
                </w14:textFill>
              </w:rPr>
            </w:pP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体检费合计大写：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，小写：</w:t>
            </w:r>
            <w:r>
              <w:rPr>
                <w:rFonts w:hint="eastAsia" w:ascii="仿宋" w:hAnsi="仿宋" w:eastAsia="仿宋" w:cs="仿宋"/>
                <w:i w:val="0"/>
                <w:iCs w:val="0"/>
                <w:snapToGrid w:val="0"/>
                <w:color w:val="000000" w:themeColor="text1"/>
                <w:kern w:val="0"/>
                <w:sz w:val="22"/>
                <w:szCs w:val="22"/>
                <w:highlight w:val="none"/>
                <w:u w:val="single"/>
                <w:lang w:val="en-US" w:eastAsia="zh-CN" w:bidi="ar"/>
                <w14:textFill>
                  <w14:solidFill>
                    <w14:schemeClr w14:val="tx1"/>
                  </w14:solidFill>
                </w14:textFill>
              </w:rPr>
              <w:t xml:space="preserve">          </w:t>
            </w:r>
            <w:r>
              <w:rPr>
                <w:rFonts w:hint="eastAsia" w:ascii="仿宋" w:hAnsi="仿宋" w:eastAsia="仿宋" w:cs="仿宋"/>
                <w:i w:val="0"/>
                <w:iCs w:val="0"/>
                <w:snapToGrid w:val="0"/>
                <w:color w:val="000000" w:themeColor="text1"/>
                <w:kern w:val="0"/>
                <w:sz w:val="22"/>
                <w:szCs w:val="22"/>
                <w:highlight w:val="none"/>
                <w:u w:val="none"/>
                <w:lang w:val="en-US" w:eastAsia="zh-CN" w:bidi="ar"/>
                <w14:textFill>
                  <w14:solidFill>
                    <w14:schemeClr w14:val="tx1"/>
                  </w14:solidFill>
                </w14:textFill>
              </w:rPr>
              <w:t>元</w:t>
            </w:r>
          </w:p>
        </w:tc>
      </w:tr>
    </w:tbl>
    <w:p w14:paraId="6744F7D2">
      <w:pPr>
        <w:keepNext w:val="0"/>
        <w:keepLines w:val="0"/>
        <w:pageBreakBefore w:val="0"/>
        <w:widowControl/>
        <w:kinsoku/>
        <w:wordWrap/>
        <w:overflowPunct/>
        <w:topLinePunct w:val="0"/>
        <w:autoSpaceDE w:val="0"/>
        <w:autoSpaceDN w:val="0"/>
        <w:bidi w:val="0"/>
        <w:adjustRightInd w:val="0"/>
        <w:snapToGrid w:val="0"/>
        <w:spacing w:line="121" w:lineRule="exact"/>
        <w:rPr>
          <w:rFonts w:hint="eastAsia" w:ascii="仿宋" w:hAnsi="仿宋" w:eastAsia="仿宋" w:cs="仿宋"/>
          <w:color w:val="000000" w:themeColor="text1"/>
          <w:highlight w:val="none"/>
          <w14:textFill>
            <w14:solidFill>
              <w14:schemeClr w14:val="tx1"/>
            </w14:solidFill>
          </w14:textFill>
        </w:rPr>
      </w:pPr>
    </w:p>
    <w:p w14:paraId="365833CC">
      <w:pPr>
        <w:spacing w:before="242" w:line="230" w:lineRule="auto"/>
        <w:ind w:left="45"/>
        <w:rPr>
          <w:rFonts w:hint="eastAsia" w:ascii="仿宋" w:hAnsi="仿宋" w:eastAsia="仿宋" w:cs="仿宋"/>
          <w:spacing w:val="-12"/>
          <w:sz w:val="24"/>
          <w:szCs w:val="24"/>
          <w:highlight w:val="none"/>
        </w:rPr>
      </w:pPr>
    </w:p>
    <w:p w14:paraId="25AA438A">
      <w:pPr>
        <w:spacing w:before="242" w:line="230" w:lineRule="auto"/>
        <w:ind w:left="45"/>
        <w:rPr>
          <w:rFonts w:hint="eastAsia" w:ascii="仿宋" w:hAnsi="仿宋" w:eastAsia="仿宋" w:cs="仿宋"/>
          <w:sz w:val="24"/>
          <w:szCs w:val="24"/>
          <w:highlight w:val="none"/>
        </w:rPr>
      </w:pPr>
      <w:r>
        <w:rPr>
          <w:rFonts w:hint="eastAsia" w:ascii="仿宋" w:hAnsi="仿宋" w:eastAsia="仿宋" w:cs="仿宋"/>
          <w:spacing w:val="-12"/>
          <w:sz w:val="24"/>
          <w:szCs w:val="24"/>
          <w:highlight w:val="none"/>
        </w:rPr>
        <w:t>注：</w:t>
      </w:r>
    </w:p>
    <w:p w14:paraId="359D4FCE">
      <w:pPr>
        <w:spacing w:before="53" w:line="345" w:lineRule="auto"/>
        <w:ind w:left="37" w:right="113" w:firstLine="49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1.供应商必须按本表的格式详细报出投标总价的各</w:t>
      </w:r>
      <w:r>
        <w:rPr>
          <w:rFonts w:hint="eastAsia" w:ascii="仿宋" w:hAnsi="仿宋" w:eastAsia="仿宋" w:cs="仿宋"/>
          <w:sz w:val="24"/>
          <w:szCs w:val="24"/>
          <w:highlight w:val="none"/>
        </w:rPr>
        <w:t xml:space="preserve">个组成部分的报价，否则作无效投 </w:t>
      </w:r>
      <w:r>
        <w:rPr>
          <w:rFonts w:hint="eastAsia" w:ascii="仿宋" w:hAnsi="仿宋" w:eastAsia="仿宋" w:cs="仿宋"/>
          <w:spacing w:val="-1"/>
          <w:sz w:val="24"/>
          <w:szCs w:val="24"/>
          <w:highlight w:val="none"/>
        </w:rPr>
        <w:t>标处理；报价精确到小数点后两位；</w:t>
      </w:r>
    </w:p>
    <w:p w14:paraId="3D8CD3E2">
      <w:pPr>
        <w:spacing w:before="35" w:line="345" w:lineRule="auto"/>
        <w:ind w:left="38" w:right="113" w:firstLine="475"/>
        <w:rPr>
          <w:rFonts w:hint="eastAsia" w:ascii="仿宋" w:hAnsi="仿宋" w:eastAsia="仿宋" w:cs="仿宋"/>
          <w:sz w:val="24"/>
          <w:szCs w:val="24"/>
          <w:highlight w:val="none"/>
        </w:rPr>
      </w:pPr>
      <w:r>
        <w:rPr>
          <w:rFonts w:hint="eastAsia" w:ascii="仿宋" w:hAnsi="仿宋" w:eastAsia="仿宋" w:cs="仿宋"/>
          <w:sz w:val="24"/>
          <w:szCs w:val="24"/>
          <w:highlight w:val="none"/>
        </w:rPr>
        <w:t>2.本表各分项报价合计应当与“开标一览表</w:t>
      </w:r>
      <w:r>
        <w:rPr>
          <w:rFonts w:hint="eastAsia" w:ascii="仿宋" w:hAnsi="仿宋" w:eastAsia="仿宋" w:cs="仿宋"/>
          <w:spacing w:val="-82"/>
          <w:sz w:val="24"/>
          <w:szCs w:val="24"/>
          <w:highlight w:val="none"/>
        </w:rPr>
        <w:t xml:space="preserve"> </w:t>
      </w:r>
      <w:r>
        <w:rPr>
          <w:rFonts w:hint="eastAsia" w:ascii="仿宋" w:hAnsi="仿宋" w:eastAsia="仿宋" w:cs="仿宋"/>
          <w:sz w:val="24"/>
          <w:szCs w:val="24"/>
          <w:highlight w:val="none"/>
        </w:rPr>
        <w:t>”总报价相等；如果按单价计算的结果与</w:t>
      </w:r>
      <w:r>
        <w:rPr>
          <w:rFonts w:hint="eastAsia" w:ascii="仿宋" w:hAnsi="仿宋" w:eastAsia="仿宋" w:cs="仿宋"/>
          <w:spacing w:val="-3"/>
          <w:sz w:val="24"/>
          <w:szCs w:val="24"/>
          <w:highlight w:val="none"/>
        </w:rPr>
        <w:t>报价不一致时，以单价为准修正报价与合计报价。</w:t>
      </w:r>
    </w:p>
    <w:p w14:paraId="37DCE6D5">
      <w:pPr>
        <w:pStyle w:val="2"/>
        <w:spacing w:line="246" w:lineRule="auto"/>
        <w:rPr>
          <w:rFonts w:hint="eastAsia" w:ascii="仿宋" w:hAnsi="仿宋" w:eastAsia="仿宋" w:cs="仿宋"/>
          <w:highlight w:val="none"/>
        </w:rPr>
      </w:pPr>
    </w:p>
    <w:p w14:paraId="5C9E1F16">
      <w:pPr>
        <w:pStyle w:val="2"/>
        <w:spacing w:line="247" w:lineRule="auto"/>
        <w:rPr>
          <w:rFonts w:hint="eastAsia" w:ascii="仿宋" w:hAnsi="仿宋" w:eastAsia="仿宋" w:cs="仿宋"/>
          <w:highlight w:val="none"/>
        </w:rPr>
      </w:pPr>
    </w:p>
    <w:p w14:paraId="634997EB">
      <w:pPr>
        <w:pStyle w:val="2"/>
        <w:spacing w:line="247" w:lineRule="auto"/>
        <w:rPr>
          <w:rFonts w:hint="eastAsia" w:ascii="仿宋" w:hAnsi="仿宋" w:eastAsia="仿宋" w:cs="仿宋"/>
          <w:highlight w:val="none"/>
        </w:rPr>
      </w:pPr>
    </w:p>
    <w:p w14:paraId="1B2519A5">
      <w:pPr>
        <w:pStyle w:val="2"/>
        <w:spacing w:line="247" w:lineRule="auto"/>
        <w:rPr>
          <w:rFonts w:hint="eastAsia" w:ascii="仿宋" w:hAnsi="仿宋" w:eastAsia="仿宋" w:cs="仿宋"/>
          <w:highlight w:val="none"/>
        </w:rPr>
      </w:pPr>
    </w:p>
    <w:p w14:paraId="2C277E21">
      <w:pPr>
        <w:pStyle w:val="2"/>
        <w:spacing w:line="247" w:lineRule="auto"/>
        <w:rPr>
          <w:rFonts w:hint="eastAsia" w:ascii="仿宋" w:hAnsi="仿宋" w:eastAsia="仿宋" w:cs="仿宋"/>
          <w:highlight w:val="none"/>
        </w:rPr>
      </w:pPr>
    </w:p>
    <w:p w14:paraId="6D291EEA">
      <w:pPr>
        <w:keepLines w:val="0"/>
        <w:pageBreakBefore w:val="0"/>
        <w:widowControl w:val="0"/>
        <w:kinsoku/>
        <w:overflowPunct/>
        <w:bidi w:val="0"/>
        <w:spacing w:beforeAutospacing="0" w:afterAutospacing="0" w:line="360" w:lineRule="auto"/>
        <w:ind w:left="0" w:leftChars="0" w:right="0" w:rightChars="0" w:firstLine="4080" w:firstLineChars="17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投标人（盖章）</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u w:val="single"/>
        </w:rPr>
        <w:t xml:space="preserve">              </w:t>
      </w:r>
    </w:p>
    <w:p w14:paraId="634FCD39">
      <w:pPr>
        <w:keepLines w:val="0"/>
        <w:pageBreakBefore w:val="0"/>
        <w:widowControl w:val="0"/>
        <w:tabs>
          <w:tab w:val="left" w:pos="3045"/>
        </w:tabs>
        <w:kinsoku/>
        <w:overflowPunct/>
        <w:bidi w:val="0"/>
        <w:spacing w:beforeAutospacing="0" w:afterAutospacing="0" w:line="360" w:lineRule="auto"/>
        <w:ind w:right="0" w:rightChars="0" w:firstLine="4080" w:firstLineChars="17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val="en-US" w:eastAsia="zh-CN"/>
        </w:rPr>
        <w:tab/>
      </w:r>
      <w:r>
        <w:rPr>
          <w:rFonts w:hint="eastAsia" w:ascii="仿宋" w:hAnsi="仿宋" w:eastAsia="仿宋" w:cs="仿宋"/>
          <w:sz w:val="24"/>
          <w:szCs w:val="24"/>
          <w:highlight w:val="none"/>
          <w:lang w:val="en-US" w:eastAsia="zh-CN"/>
        </w:rPr>
        <w:t xml:space="preserve">         </w:t>
      </w:r>
      <w:r>
        <w:rPr>
          <w:rFonts w:hint="eastAsia" w:ascii="仿宋" w:hAnsi="仿宋" w:eastAsia="仿宋" w:cs="仿宋"/>
          <w:spacing w:val="4"/>
          <w:sz w:val="24"/>
          <w:szCs w:val="24"/>
          <w:highlight w:val="none"/>
        </w:rPr>
        <w:t>日期：</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w:t>
      </w:r>
    </w:p>
    <w:p w14:paraId="66B3E0A0">
      <w:pPr>
        <w:spacing w:before="39" w:line="222" w:lineRule="auto"/>
        <w:ind w:left="3139"/>
        <w:outlineLvl w:val="0"/>
        <w:rPr>
          <w:rFonts w:hint="eastAsia" w:ascii="仿宋" w:hAnsi="仿宋" w:eastAsia="仿宋" w:cs="仿宋"/>
          <w:sz w:val="24"/>
          <w:szCs w:val="24"/>
          <w:highlight w:val="none"/>
        </w:rPr>
      </w:pPr>
    </w:p>
    <w:p w14:paraId="54E4ADBE">
      <w:pPr>
        <w:spacing w:line="222" w:lineRule="auto"/>
        <w:rPr>
          <w:rFonts w:hint="eastAsia" w:ascii="仿宋" w:hAnsi="仿宋" w:eastAsia="仿宋" w:cs="仿宋"/>
          <w:sz w:val="24"/>
          <w:szCs w:val="24"/>
          <w:highlight w:val="none"/>
        </w:rPr>
        <w:sectPr>
          <w:footerReference r:id="rId3" w:type="default"/>
          <w:pgSz w:w="11906" w:h="16839"/>
          <w:pgMar w:top="1253" w:right="1134" w:bottom="1228" w:left="1225" w:header="0" w:footer="1066" w:gutter="0"/>
          <w:cols w:space="720" w:num="1"/>
        </w:sectPr>
      </w:pPr>
    </w:p>
    <w:p w14:paraId="7DF9C929">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5D4F">
    <w:pPr>
      <w:spacing w:line="176" w:lineRule="auto"/>
      <w:ind w:left="46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10E21"/>
    <w:rsid w:val="14D27A7A"/>
    <w:rsid w:val="1B050376"/>
    <w:rsid w:val="1EA756BF"/>
    <w:rsid w:val="285D0C15"/>
    <w:rsid w:val="2A5A71A5"/>
    <w:rsid w:val="3DCC00F6"/>
    <w:rsid w:val="57C94C59"/>
    <w:rsid w:val="59FB271C"/>
    <w:rsid w:val="5DF57FC6"/>
    <w:rsid w:val="7081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4"/>
      <w:lang w:val="zh-CN" w:bidi="zh-CN"/>
    </w:rPr>
  </w:style>
  <w:style w:type="character" w:customStyle="1" w:styleId="5">
    <w:name w:val="font11"/>
    <w:basedOn w:val="4"/>
    <w:uiPriority w:val="0"/>
    <w:rPr>
      <w:rFonts w:hint="eastAsia" w:ascii="宋体" w:hAnsi="宋体" w:eastAsia="宋体" w:cs="宋体"/>
      <w:color w:val="000000"/>
      <w:sz w:val="24"/>
      <w:szCs w:val="24"/>
      <w:u w:val="none"/>
    </w:rPr>
  </w:style>
  <w:style w:type="character" w:customStyle="1" w:styleId="6">
    <w:name w:val="font51"/>
    <w:basedOn w:val="4"/>
    <w:uiPriority w:val="0"/>
    <w:rPr>
      <w:rFonts w:ascii="Arial" w:hAnsi="Arial" w:cs="Arial"/>
      <w:color w:val="333333"/>
      <w:sz w:val="24"/>
      <w:szCs w:val="24"/>
      <w:u w:val="none"/>
    </w:rPr>
  </w:style>
  <w:style w:type="character" w:customStyle="1" w:styleId="7">
    <w:name w:val="font21"/>
    <w:basedOn w:val="4"/>
    <w:uiPriority w:val="0"/>
    <w:rPr>
      <w:rFonts w:hint="eastAsia" w:ascii="宋体" w:hAnsi="宋体" w:eastAsia="宋体" w:cs="宋体"/>
      <w:color w:val="333333"/>
      <w:sz w:val="24"/>
      <w:szCs w:val="24"/>
      <w:u w:val="none"/>
    </w:rPr>
  </w:style>
  <w:style w:type="character" w:customStyle="1" w:styleId="8">
    <w:name w:val="font61"/>
    <w:basedOn w:val="4"/>
    <w:uiPriority w:val="0"/>
    <w:rPr>
      <w:rFonts w:ascii="Arial" w:hAnsi="Arial" w:cs="Arial"/>
      <w:color w:val="333333"/>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2755</Words>
  <Characters>2879</Characters>
  <Lines>0</Lines>
  <Paragraphs>0</Paragraphs>
  <TotalTime>15</TotalTime>
  <ScaleCrop>false</ScaleCrop>
  <LinksUpToDate>false</LinksUpToDate>
  <CharactersWithSpaces>3004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2026-06-22T06:36:00Z</dcterms:created>
  <dc:creator>lz186</dc:creator>
  <cp:lastModifiedBy>SXLZ-招标</cp:lastModifiedBy>
  <dcterms:modified xsi:type="dcterms:W3CDTF">2026-06-25T07:04:49Z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eyJoZGlkIjoiMWMzMjhlZDRjY2M5NjNkN2ZkZDVlZjMwZjdlMWVkY2QiLCJ1c2VySWQiOiIyNzQyMjA1MjEifQ==</vt:lpwstr>
  </property>
  <property fmtid="{D5CDD505-2E9C-101B-9397-08002B2CF9AE}" pid="4" name="ICV">
    <vt:lpwstr>DBD3C4B284A84EA8ACDDAFA3E6C6CCD4_12</vt:lpwstr>
  </property>
</Properties>
</file>