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版本号：中昕CG招字SL(2026)00720260731003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商洛市镇安县重金属环境安全隐患排查整治工程测量及勘察项目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中昕CG招字SL(2026)007</w:t>
      </w:r>
      <w:r>
        <w:br/>
      </w:r>
      <w:r>
        <w:br/>
      </w:r>
      <w:r>
        <w:br/>
      </w:r>
    </w:p>
    <w:p>
      <w:pPr>
        <w:pStyle w:val="null3"/>
        <w:jc w:val="center"/>
        <w:outlineLvl w:val="2"/>
      </w:pPr>
      <w:r>
        <w:rPr>
          <w:rFonts w:ascii="仿宋_GB2312" w:hAnsi="仿宋_GB2312" w:cs="仿宋_GB2312" w:eastAsia="仿宋_GB2312"/>
          <w:sz w:val="28"/>
          <w:b/>
        </w:rPr>
        <w:t>商洛市生态环境局镇安县分局</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商洛市生态环境局镇安县分局</w:t>
      </w:r>
      <w:r>
        <w:rPr>
          <w:rFonts w:ascii="仿宋_GB2312" w:hAnsi="仿宋_GB2312" w:cs="仿宋_GB2312" w:eastAsia="仿宋_GB2312"/>
        </w:rPr>
        <w:t>委托，拟对</w:t>
      </w:r>
      <w:r>
        <w:rPr>
          <w:rFonts w:ascii="仿宋_GB2312" w:hAnsi="仿宋_GB2312" w:cs="仿宋_GB2312" w:eastAsia="仿宋_GB2312"/>
        </w:rPr>
        <w:t>商洛市镇安县重金属环境安全隐患排查整治工程测量及勘察项目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中昕CG招字SL(2026)007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商洛市镇安县重金属环境安全隐患排查整治工程测量及勘察项目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商洛市镇安县重金属环境安全隐患排查整治工程测量及勘察项目，主要是结合青铜关镇、米粮镇4个历史遗留矿山重金属污染源涉及的16处废渣、11个矿硐的实际情况，开展废渣堆体边界、分布、坡度及矿硐形态、周边地形等测量作业。拟采用钻探、物探等多种勘察手段开展工程地质勘察、涌水矿硐水文探查，形成工程、水文地质勘察报告。</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采购包1（商洛市镇安县重金属环境安全隐患排查整治工程测量服务）：属于专门面向中小企业采购。</w:t>
      </w:r>
    </w:p>
    <w:p>
      <w:pPr>
        <w:pStyle w:val="null3"/>
      </w:pPr>
      <w:r>
        <w:rPr>
          <w:rFonts w:ascii="仿宋_GB2312" w:hAnsi="仿宋_GB2312" w:cs="仿宋_GB2312" w:eastAsia="仿宋_GB2312"/>
        </w:rPr>
        <w:t>采购包2（商洛市镇安县重金属环境安全隐患排查整治工程地质勘察服务）：属于专门面向中小企业采购。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1、企业资质：具备自然资源主管部门颁发的测绘乙级及以上资质</w:t>
      </w:r>
    </w:p>
    <w:p>
      <w:pPr>
        <w:pStyle w:val="null3"/>
      </w:pPr>
      <w:r>
        <w:rPr>
          <w:rFonts w:ascii="仿宋_GB2312" w:hAnsi="仿宋_GB2312" w:cs="仿宋_GB2312" w:eastAsia="仿宋_GB2312"/>
        </w:rPr>
        <w:t>2、项目负责人：具备中级及以上测绘工程相关职称</w:t>
      </w:r>
    </w:p>
    <w:p>
      <w:pPr>
        <w:pStyle w:val="null3"/>
      </w:pPr>
      <w:r>
        <w:rPr>
          <w:rFonts w:ascii="仿宋_GB2312" w:hAnsi="仿宋_GB2312" w:cs="仿宋_GB2312" w:eastAsia="仿宋_GB2312"/>
        </w:rPr>
        <w:t>3、技术负责人：具备测绘相关专业中级及以上职称，熟悉CGCS2000坐标系、控制测量、数据平差等技术</w:t>
      </w:r>
    </w:p>
    <w:p>
      <w:pPr>
        <w:pStyle w:val="null3"/>
      </w:pPr>
      <w:r>
        <w:rPr>
          <w:rFonts w:ascii="仿宋_GB2312" w:hAnsi="仿宋_GB2312" w:cs="仿宋_GB2312" w:eastAsia="仿宋_GB2312"/>
        </w:rPr>
        <w:t>4、专业作业人员：配备持证专业测量作业人员（工程测量员、无人机测绘操作员等）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1、企业资质：供应商应同时具备岩土工程勘察专业资质和水文地质勘察专业资质乙级及以上</w:t>
      </w:r>
    </w:p>
    <w:p>
      <w:pPr>
        <w:pStyle w:val="null3"/>
      </w:pPr>
      <w:r>
        <w:rPr>
          <w:rFonts w:ascii="仿宋_GB2312" w:hAnsi="仿宋_GB2312" w:cs="仿宋_GB2312" w:eastAsia="仿宋_GB2312"/>
        </w:rPr>
        <w:t>2、项目负责人：具备注册土木工程师（岩土）或注册土木工程师（水利水电工程）</w:t>
      </w:r>
    </w:p>
    <w:p>
      <w:pPr>
        <w:pStyle w:val="null3"/>
      </w:pPr>
      <w:r>
        <w:rPr>
          <w:rFonts w:ascii="仿宋_GB2312" w:hAnsi="仿宋_GB2312" w:cs="仿宋_GB2312" w:eastAsia="仿宋_GB2312"/>
        </w:rPr>
        <w:t>3、技术负责人：具备注册土木工程师（岩土）或注册土木工程师（水利水电工程）（项目负责人和技术负责人专业资质须分开，不能同为注册土木工程师（岩土）或同为注册土木工程师（水利水电工程）。</w:t>
      </w:r>
    </w:p>
    <w:p>
      <w:pPr>
        <w:pStyle w:val="null3"/>
      </w:pPr>
      <w:r>
        <w:rPr>
          <w:rFonts w:ascii="仿宋_GB2312" w:hAnsi="仿宋_GB2312" w:cs="仿宋_GB2312" w:eastAsia="仿宋_GB2312"/>
        </w:rPr>
        <w:t>4、专业技术人员：为本项目配备专职人员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商洛市生态环境局镇安县分局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镇安县迎宾路东段火车站桥头</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商洛市生态环境局镇安县分局经办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15829132155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王梦雨，张工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18829841798，18329983350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刘根子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13154072255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采购包1：221,960.62元</w:t>
            </w:r>
          </w:p>
          <w:p>
            <w:pPr>
              <w:pStyle w:val="null3"/>
            </w:pPr>
            <w:r>
              <w:rPr>
                <w:rFonts w:ascii="仿宋_GB2312" w:hAnsi="仿宋_GB2312" w:cs="仿宋_GB2312" w:eastAsia="仿宋_GB2312"/>
              </w:rPr>
              <w:t>采购包2：638,016.40元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产品中没有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产品中没有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产品中没有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采购包2保证金金额：12,000.00元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开户名称：中昕国际项目管理有限公司</w:t>
            </w:r>
          </w:p>
          <w:p>
            <w:pPr>
              <w:pStyle w:val="null3"/>
            </w:pPr>
            <w:r>
              <w:rPr>
                <w:rFonts w:ascii="仿宋_GB2312" w:hAnsi="仿宋_GB2312" w:cs="仿宋_GB2312" w:eastAsia="仿宋_GB2312"/>
              </w:rPr>
              <w:t>开户银行：平安银行西安经济技术开发区支行</w:t>
            </w:r>
          </w:p>
          <w:p>
            <w:pPr>
              <w:pStyle w:val="null3"/>
            </w:pPr>
            <w:r>
              <w:rPr>
                <w:rFonts w:ascii="仿宋_GB2312" w:hAnsi="仿宋_GB2312" w:cs="仿宋_GB2312" w:eastAsia="仿宋_GB2312"/>
              </w:rPr>
              <w:t>银行账号：30201687008567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关于印发《招标代理业务收费管理暂行办法》的通知计价格[2002]1980号和国家发改委办公厅颁发的《关于招标代理服务收费有关问题的通知》(发改办价格[2003]857号)文件规定标准收取，及发改价格[2011]534号文件规定计算。按成交价的1.5%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商洛市生态环境局镇安县分局</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商洛市生态环境局镇安县分局</w:t>
      </w:r>
      <w:r>
        <w:rPr>
          <w:rFonts w:ascii="仿宋_GB2312" w:hAnsi="仿宋_GB2312" w:cs="仿宋_GB2312" w:eastAsia="仿宋_GB2312"/>
        </w:rPr>
        <w:t>负责解释。除上述磋商文件内容，其他内容由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商洛市生态环境局镇安县分局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满足设计、工程要求，符合国标《GB/T 24356-2023测绘成果质量检查与验收》和《工程测量通用规范》（GB55018-2021）。</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满足设计及工程需求，达到《涉金属矿产开发环境污染防治技术规范第6部分：矿硐勘察》（DB61/T 21640.6-2026）《岩土工程勘察规范》等政策规范要求，提交通过图审的勘察报告。</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联系电话：18329983350</w:t>
      </w:r>
    </w:p>
    <w:p>
      <w:pPr>
        <w:pStyle w:val="null3"/>
      </w:pPr>
      <w:r>
        <w:rPr>
          <w:rFonts w:ascii="仿宋_GB2312" w:hAnsi="仿宋_GB2312" w:cs="仿宋_GB2312" w:eastAsia="仿宋_GB2312"/>
        </w:rPr>
        <w:t>地址：镇安县盛邦华悦四单元2701</w:t>
      </w:r>
    </w:p>
    <w:p>
      <w:pPr>
        <w:pStyle w:val="null3"/>
      </w:pPr>
      <w:r>
        <w:rPr>
          <w:rFonts w:ascii="仿宋_GB2312" w:hAnsi="仿宋_GB2312" w:cs="仿宋_GB2312" w:eastAsia="仿宋_GB2312"/>
        </w:rPr>
        <w:t>邮编：711500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商洛市镇安县重金属环境安全隐患排查整治工程测量及勘察项目，主要是结合青铜关镇、米粮镇4个历史遗留矿山重金属污染源涉及的16处废渣、11个矿硐的实际情况，开展废渣堆体边界、分布、坡度及矿硐形态、周边地形等测量作业。拟采用钻探、物探等多种勘察手段开展工程地质勘察、涌水矿硐水文探查，形成工程、水文地质勘察报告。（合同及采购明细见附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221,960.62</w:t>
      </w:r>
    </w:p>
    <w:p>
      <w:pPr>
        <w:pStyle w:val="null3"/>
      </w:pPr>
      <w:r>
        <w:rPr>
          <w:rFonts w:ascii="仿宋_GB2312" w:hAnsi="仿宋_GB2312" w:cs="仿宋_GB2312" w:eastAsia="仿宋_GB2312"/>
        </w:rPr>
        <w:t>采购包最高限价（元）: 221,960.62</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商洛市镇安县重金属环境安全隐患排查整治工程测量服务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221,960.62</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638,016.40</w:t>
      </w:r>
    </w:p>
    <w:p>
      <w:pPr>
        <w:pStyle w:val="null3"/>
      </w:pPr>
      <w:r>
        <w:rPr>
          <w:rFonts w:ascii="仿宋_GB2312" w:hAnsi="仿宋_GB2312" w:cs="仿宋_GB2312" w:eastAsia="仿宋_GB2312"/>
        </w:rPr>
        <w:t>采购包最高限价（元）: 638,016.40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商洛市镇安县重金属环境安全隐患排查整治工程地质勘察服务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638,016.40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标的名称：商洛市镇安县重金属环境安全隐患排查整治工程测量服务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地形图测量（1：500），含废渣、矿硐等整治工程所需范围</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矿硐测量：11个矿硐雷达三维模型、矿硐断面图等</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标的名称：商洛市镇安县重金属环境安全隐患排查整治工程地质勘察服务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渣堆及矿硐工程勘察：钻探（0-10m）1690m、钻探（0-20m）845m，勘察16个渣堆，查明渣体分层厚度、基地底层、结构类型、风化程度，勘察点工程地质平面图、剖面图、钻孔柱状图等。11个矿硐示意图、剖面，各岩、土层的物理力学性质等。原位测试及室内试验：标准贯入实验、地下水位观测、重型圆锥动力触探试验、静力触探试验。含水率、密度、无侧限抗压等试验。</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个涌水矿硐水文地质勘察，查明硐内地下水类型和赋存状态及分布规律，区域性气候资料对硐内地下水的影响、硐内地下水的补给排泄条件、地表水与地下水的补排关系及其对地下水的影响;查明是否存在对硐内地下水污染源及其可能的污染程度、硐内地下水的埋藏条件、类型、流向及流量大小;查明矿硐内渗水点的位置及硐内积水面的尺寸、水深及排泄条件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1.企业资质具备自然资源主管部门颁发的测绘乙级及以上资质； 2.项目负责人具备中级及以上测绘工程相关职称； 3.技术负责⼈具备测绘相关专业中级及以上职称，熟悉CGCS2000坐标系、控制测量、数据平差等技术； 4.专业作业人员配备持证专业测量作业人员（工程测量员、无人机测绘操作员等）。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1.企业资质供应商应同时具备岩土工程勘察专业资质和水文地质勘察专业资质乙级及以上；2.项目负责人具备注册土木工程师（岩土）或注册土木工程师（水利水电工程）； 3.技术负责人具备注册土木工程师（岩土）或注册土木工程师（水利水电工程）（项目负责人和技术负责人专业资质须分开，不能同为注册土木工程师（岩土）或同为注册土木工程师（水利水电工程）； 4.专业技术人员为本项目配备专职人员。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配备GNSS RTK、高精度全站仪、数字水准仪、手持测距仪等常规测量设备； 2. 按需配备无人机航测设备、数据处理终端；3. 配备正版测绘成图、数据平差。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1.配备齐全履带钻机、静力触探、标贯、动力触探、水位观测、取样设备、测绘定位设备； 2.具备土木试验能力（自有CMA试验室优先，外送正规第三方试验室亦可）。</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15日历天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自合同签订之日起30日历天，勘察报告提交后12个月质保期，质保期服务不纳入本履行期限。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陕西省商洛市镇安县</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陕西省商洛市镇安县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符合国标《GB/T 24356-2023测绘成果质量检查与验收》、《工程测量通用规范》（GB55018-2021）及陕西省测绘质量管理细则等相关规范要求，满足工程设计需求，提交审核后成果报告。</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满足设计及工程需求，达到《涉金属矿产开发环境污染防治技术规范第6部分：矿硐勘察》（DB61/T 21640.6-2026）《岩土工程勘察规范》，提交图审后勘察报告。</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进度款，提供测量成果报告，达到付款条件起15个工作日内，支付合同总金额的80.0%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进度款，镇安县重金属环境安全隐患排查整治工程通过县级验收，达到付款条件起15个工作日内，支付合同总金额的20.0%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进度款，提交完成图审的勘察报告，达到付款条件起15个工作日内，支付合同总金额的80.0%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进度款，整治工程取得县级验收，达到付款条件起15个工作日内，支付合同总金额的20.0%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1.甲方逾期付款的，按应付未付金额每日万分之三支付违约金；因甲方资料、进场协调问题造成窝工、返工的，工期顺延并承担合理增补成本。 2.乙方逾期交付测绘成果，按日扣收合同价款；成果质量不合格须无偿返工，多次整改不达标的，甲方有权解除合同并追索损失。 3.乙方不得转包、擅自分包，严禁泄露涉密测绘成果，违者承担高额违约金及全部赔偿责任；野外安全事故全部由乙方负责。 4.违约金不足以弥补实际损失的，违约方补足差额，不可抗力按法律法规顺延工期。（二）争议解决 本合同履行发生争议，双方先行书面协商；协商不成，可向镇安县采购监管部门申请调解；调解未果的，任意一方可向镇安县人民法院提起诉讼。争议期间，合同无争议部分继续履行。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（一）违约责任 1.甲方逾期付款的，按应付未付金额每日万分之三支付违约金；因甲方资料、进场协调问题造成窝工、返工的，工期顺延并承担合理增补成本。 2.乙方逾期交付勘察成果，按日扣收合同价款；成果质量不合格须无偿返工，多次整改不达标的，甲方有权解除合同并追索损失。 3.乙方不得转包、擅自分包，严禁泄露涉密勘察成果，违者承担高额违约金及全部赔偿责任；野外安全事故全部由乙方负责。 4.违约金不足以弥补实际损失的，违约方补足差额，不可抗力按法律法规顺延工期。 （二）争议解决 本合同履行发生争议，双方先行书面协商；协商不成，可向镇安县采购监管部门申请调解；调解未果的，任意一方可向镇安县人民法院提起诉讼。争议期间，合同无争议部分继续履行。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残疾人福利性单位声明函 中小企业声明函 商务应答表 供应商应提交的相关资格证明材料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具备自然资源主管部门颁发的测绘乙级及以上资质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具备中级及以上测绘工程相关职称</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技术负责人</w:t>
            </w:r>
          </w:p>
        </w:tc>
        <w:tc>
          <w:tcPr>
            <w:tcW w:type="dxa" w:w="3322"/>
          </w:tcPr>
          <w:p>
            <w:pPr>
              <w:pStyle w:val="null3"/>
            </w:pPr>
            <w:r>
              <w:rPr>
                <w:rFonts w:ascii="仿宋_GB2312" w:hAnsi="仿宋_GB2312" w:cs="仿宋_GB2312" w:eastAsia="仿宋_GB2312"/>
              </w:rPr>
              <w:t>具备测绘相关专业中级及以上职称，熟悉CGCS2000坐标系、控制测量、数据平差等技术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专业作业人员</w:t>
            </w:r>
          </w:p>
        </w:tc>
        <w:tc>
          <w:tcPr>
            <w:tcW w:type="dxa" w:w="3322"/>
          </w:tcPr>
          <w:p>
            <w:pPr>
              <w:pStyle w:val="null3"/>
            </w:pPr>
            <w:r>
              <w:rPr>
                <w:rFonts w:ascii="仿宋_GB2312" w:hAnsi="仿宋_GB2312" w:cs="仿宋_GB2312" w:eastAsia="仿宋_GB2312"/>
              </w:rPr>
              <w:t>配备持证专业测量作业人员（工程测量员、无人机测绘操作员等）</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供应商应同时具备岩土工程勘察专业资质和水文地质勘察专业资质乙级及以上</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具备注册土木工程师（岩土）或注册土木工程师（水利水电工程）</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技术负责人</w:t>
            </w:r>
          </w:p>
        </w:tc>
        <w:tc>
          <w:tcPr>
            <w:tcW w:type="dxa" w:w="3322"/>
          </w:tcPr>
          <w:p>
            <w:pPr>
              <w:pStyle w:val="null3"/>
            </w:pPr>
            <w:r>
              <w:rPr>
                <w:rFonts w:ascii="仿宋_GB2312" w:hAnsi="仿宋_GB2312" w:cs="仿宋_GB2312" w:eastAsia="仿宋_GB2312"/>
              </w:rPr>
              <w:t>具备注册土木工程师（岩土）或注册土木工程师（水利水电工程）（项目负责人和技术负责人专业资质须分开，不能同为注册土木工程师（岩土）或同为注册土木工程师（水利水电工程）。</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专业技术人员</w:t>
            </w:r>
          </w:p>
        </w:tc>
        <w:tc>
          <w:tcPr>
            <w:tcW w:type="dxa" w:w="3322"/>
          </w:tcPr>
          <w:p>
            <w:pPr>
              <w:pStyle w:val="null3"/>
            </w:pPr>
            <w:r>
              <w:rPr>
                <w:rFonts w:ascii="仿宋_GB2312" w:hAnsi="仿宋_GB2312" w:cs="仿宋_GB2312" w:eastAsia="仿宋_GB2312"/>
              </w:rPr>
              <w:t>为本项目配备专职人员</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pPr>
      <w:r>
        <w:rPr>
          <w:rFonts w:ascii="仿宋_GB2312" w:hAnsi="仿宋_GB2312" w:cs="仿宋_GB2312" w:eastAsia="仿宋_GB2312"/>
        </w:rPr>
        <w:t>采购包2：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投标报价</w:t>
            </w:r>
          </w:p>
        </w:tc>
        <w:tc>
          <w:tcPr>
            <w:tcW w:type="dxa" w:w="2492"/>
          </w:tcPr>
          <w:p>
            <w:pPr>
              <w:pStyle w:val="null3"/>
            </w:pPr>
            <w:r>
              <w:rPr>
                <w:rFonts w:ascii="仿宋_GB2312" w:hAnsi="仿宋_GB2312" w:cs="仿宋_GB2312" w:eastAsia="仿宋_GB2312"/>
              </w:rPr>
              <w:t>1.以满足招标文件要求且投标价格最低的有效投标报价为评标基准价，其价格分为满分20分。 2.其他投标人价格得分＝（评标基准价÷投标报价）×20分。 3.投标报价高于采购预算的作无效投标处理。 4.评标委员会对明显低于市场合理成本的报价，有权要求投标人作出书面说明并提供佐证材料，无法合理解释的作无效投标或酌情扣分。 5.本项目落实政府采购中小企业扶持政策，小微企业按规定给予6%–10%价格扣除。</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响应函</w:t>
            </w:r>
          </w:p>
        </w:tc>
      </w:tr>
      <w:tr>
        <w:tc>
          <w:tcPr>
            <w:tcW w:type="dxa" w:w="831"/>
            <w:vMerge/>
          </w:tcPr>
          <w:p/>
        </w:tc>
        <w:tc>
          <w:tcPr>
            <w:tcW w:type="dxa" w:w="1661"/>
          </w:tcPr>
          <w:p>
            <w:pPr>
              <w:pStyle w:val="null3"/>
            </w:pPr>
            <w:r>
              <w:rPr>
                <w:rFonts w:ascii="仿宋_GB2312" w:hAnsi="仿宋_GB2312" w:cs="仿宋_GB2312" w:eastAsia="仿宋_GB2312"/>
              </w:rPr>
              <w:t>企业资信及业绩</w:t>
            </w:r>
          </w:p>
        </w:tc>
        <w:tc>
          <w:tcPr>
            <w:tcW w:type="dxa" w:w="2492"/>
          </w:tcPr>
          <w:p>
            <w:pPr>
              <w:pStyle w:val="null3"/>
            </w:pPr>
            <w:r>
              <w:rPr>
                <w:rFonts w:ascii="仿宋_GB2312" w:hAnsi="仿宋_GB2312" w:cs="仿宋_GB2312" w:eastAsia="仿宋_GB2312"/>
              </w:rPr>
              <w:t>企业资质：具备自然资源主管部门颁发的测绘乙级及以上资质得5分。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投标人近3年内承担过工程测量、地形测绘、地籍测绘、地质勘查配套测量、矿区测量、国土调查测量等同类政府或企事业单位测绘测量项目业绩： - 每提供1项完整有效业绩（含合同+佐证）得4分； - 最高20分。 备注：重复项目、无佐证材料、单一框架协议无具体执行证明不计分。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1.项目负责人（4分） 具备中级及以上测绘工程相关职称得4分； 2.技术负责人（11分） 具备测绘相关专业中级及以上职称，熟悉CGCS2000坐标系、控制测量、数据平差得11分；初级职称得5分。 3.专业作业人员（10分） 配备持证专业测量作业人员（工程测量员、无人机测绘操作员等）： - 每提供1名持证人员得2分； - 最多10分。 备注：所有人员需提供证书+近6个月社保，人员不得重复兼任多个岗位。</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仪器设备及软件配置</w:t>
            </w:r>
          </w:p>
        </w:tc>
        <w:tc>
          <w:tcPr>
            <w:tcW w:type="dxa" w:w="2492"/>
          </w:tcPr>
          <w:p>
            <w:pPr>
              <w:pStyle w:val="null3"/>
            </w:pPr>
            <w:r>
              <w:rPr>
                <w:rFonts w:ascii="仿宋_GB2312" w:hAnsi="仿宋_GB2312" w:cs="仿宋_GB2312" w:eastAsia="仿宋_GB2312"/>
              </w:rPr>
              <w:t>根据投标人投入本项目自有设备情况打分： 1. 配备GNSS RTK、高精度全站仪、数字水准仪、手持测距仪等常规测量设备； 2. 按需配备无人机航测设备、数据处理终端； 3. 配备正版测绘成图、数据平差。 - 设备齐全、全部在检定有效期内、清单清晰得8–10分； - 设备基本满足但不齐全得4–7分； - 设备简陋无法满足高精度测量需求得1–3分。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技术服务实施方案</w:t>
            </w:r>
          </w:p>
        </w:tc>
        <w:tc>
          <w:tcPr>
            <w:tcW w:type="dxa" w:w="2492"/>
          </w:tcPr>
          <w:p>
            <w:pPr>
              <w:pStyle w:val="null3"/>
            </w:pPr>
            <w:r>
              <w:rPr>
                <w:rFonts w:ascii="仿宋_GB2312" w:hAnsi="仿宋_GB2312" w:cs="仿宋_GB2312" w:eastAsia="仿宋_GB2312"/>
              </w:rPr>
              <w:t>评标委员会根据投标文件技术方案完整性、针对性、可行性综合打分： 1.项目总体理解及测区概况分析（0–3分） 对项目测量范围、精度要求、作业规范、地质地形特点理解清晰、贴合项目实际得满分。 2.总体作业技术路线与工作流程（0–4分） 含踏勘、控制测量、碎部测量、数据采集、内业处理、成果成图、三级检查流程完整规范。 3.重难点分析及应对措施（0–4分） 针对山地、林地、矿区、复杂地物、隐蔽管线、地形起伏大等难点有具体可行解决方案。 4.质量保证体系与精度控制措施（0–3分） 严格按照国家现行测量规范执行，具备完整自检、复检、终审质量体系。 5.工期进度计划、人员设备进场计划（0–2分） 进度安排合理、阶段节点清晰、可落地性强。</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售后服务、成果交付及履约保障</w:t>
            </w:r>
          </w:p>
        </w:tc>
        <w:tc>
          <w:tcPr>
            <w:tcW w:type="dxa" w:w="2492"/>
          </w:tcPr>
          <w:p>
            <w:pPr>
              <w:pStyle w:val="null3"/>
            </w:pPr>
            <w:r>
              <w:rPr>
                <w:rFonts w:ascii="仿宋_GB2312" w:hAnsi="仿宋_GB2312" w:cs="仿宋_GB2312" w:eastAsia="仿宋_GB2312"/>
              </w:rPr>
              <w:t>1. 具备完整成果交付清单、资料汇交、坐标系统合规、成果归档方案； 2. 提供质保期免费复测、修改、技术答疑服务；</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投标报价</w:t>
            </w:r>
          </w:p>
        </w:tc>
        <w:tc>
          <w:tcPr>
            <w:tcW w:type="dxa" w:w="2492"/>
          </w:tcPr>
          <w:p>
            <w:pPr>
              <w:pStyle w:val="null3"/>
            </w:pPr>
            <w:r>
              <w:rPr>
                <w:rFonts w:ascii="仿宋_GB2312" w:hAnsi="仿宋_GB2312" w:cs="仿宋_GB2312" w:eastAsia="仿宋_GB2312"/>
              </w:rPr>
              <w:t>1.以满足招标文件要求且投标价格最低的有效投标报价为评标基准价，其价格分为满分20分。 2.其他投标人价格得分=（评标基准价÷投标报价）×20分。 3.投标报价高于采购预算的作无效投标处理。 4.评标委员会对明显低于市场合理成本的报价，有权要求投标人作出书面说明并提供佐证材料，无法合理解释的作无效投标或酌情扣分。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响应函</w:t>
            </w:r>
          </w:p>
        </w:tc>
      </w:tr>
      <w:tr>
        <w:tc>
          <w:tcPr>
            <w:tcW w:type="dxa" w:w="831"/>
            <w:vMerge/>
          </w:tcPr>
          <w:p/>
        </w:tc>
        <w:tc>
          <w:tcPr>
            <w:tcW w:type="dxa" w:w="1661"/>
          </w:tcPr>
          <w:p>
            <w:pPr>
              <w:pStyle w:val="null3"/>
            </w:pPr>
            <w:r>
              <w:rPr>
                <w:rFonts w:ascii="仿宋_GB2312" w:hAnsi="仿宋_GB2312" w:cs="仿宋_GB2312" w:eastAsia="仿宋_GB2312"/>
              </w:rPr>
              <w:t>企业资质</w:t>
            </w:r>
          </w:p>
        </w:tc>
        <w:tc>
          <w:tcPr>
            <w:tcW w:type="dxa" w:w="2492"/>
          </w:tcPr>
          <w:p>
            <w:pPr>
              <w:pStyle w:val="null3"/>
            </w:pPr>
            <w:r>
              <w:rPr>
                <w:rFonts w:ascii="仿宋_GB2312" w:hAnsi="仿宋_GB2312" w:cs="仿宋_GB2312" w:eastAsia="仿宋_GB2312"/>
              </w:rPr>
              <w:t>供应商须具备岩土工程勘察专业资质和水文地质勘察专业资质乙级及以上</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同类勘察业绩</w:t>
            </w:r>
          </w:p>
        </w:tc>
        <w:tc>
          <w:tcPr>
            <w:tcW w:type="dxa" w:w="2492"/>
          </w:tcPr>
          <w:p>
            <w:pPr>
              <w:pStyle w:val="null3"/>
            </w:pPr>
            <w:r>
              <w:rPr>
                <w:rFonts w:ascii="仿宋_GB2312" w:hAnsi="仿宋_GB2312" w:cs="仿宋_GB2312" w:eastAsia="仿宋_GB2312"/>
              </w:rPr>
              <w:t>投标人近3年内承担过房屋建筑、市政工程、岩土工程详勘、初勘、地质灾害勘察、水文地质勘察等同类地质勘察项目业绩： 无法体现勘察内容的不计分；同一项目不重复计分。 - 每提供1项完整有效业绩（合同+中标通知书+勘察报告关键页）得3.5分； - 最高14分。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项目管理团队</w:t>
            </w:r>
          </w:p>
        </w:tc>
        <w:tc>
          <w:tcPr>
            <w:tcW w:type="dxa" w:w="2492"/>
          </w:tcPr>
          <w:p>
            <w:pPr>
              <w:pStyle w:val="null3"/>
            </w:pPr>
            <w:r>
              <w:rPr>
                <w:rFonts w:ascii="仿宋_GB2312" w:hAnsi="仿宋_GB2312" w:cs="仿宋_GB2312" w:eastAsia="仿宋_GB2312"/>
              </w:rPr>
              <w:t>（一）项目负责人（12分） 1.具备注册土木工程师（岩土）或注册土木工程师（水利水电工程）高级职称得12分； 2.具备注册土木工程师（岩土）或注册土木工程师（水利水电工程）中级职称得8分； 3.仅具备注册土木工程师（岩土）或注册土木工程师（水利水电工程）得5分； 4.无注册土木工程师（岩土）或注册土木工程师（水利水电工程）不得分。 （二）技术负责人（8分） 具备注册土木工程师（岩土）或注册土木工程师（水利水电工程），且具备地质工程、岩土工程、水工环地质中级及以上职称、熟悉勘察规范、地基评价、不良地质分析得8分；具备注册土木工程师（岩土）或注册土木工程师（水利水电工程）且具备初级职称得6分；仅具备注册土木工程师（岩土）或注册土木工程师（水利水电工程）得4分。 （三）专业技术人员（8分） 为本项目配备专职人员 - 每提供1名相关专业持证/职称人员得2分； - 最高8分。 注：人员统一要求：提供有效证书+近6个月社保，一人一岗、不得兼任。</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设备配置与试验能力</w:t>
            </w:r>
          </w:p>
        </w:tc>
        <w:tc>
          <w:tcPr>
            <w:tcW w:type="dxa" w:w="2492"/>
          </w:tcPr>
          <w:p>
            <w:pPr>
              <w:pStyle w:val="null3"/>
            </w:pPr>
            <w:r>
              <w:rPr>
                <w:rFonts w:ascii="仿宋_GB2312" w:hAnsi="仿宋_GB2312" w:cs="仿宋_GB2312" w:eastAsia="仿宋_GB2312"/>
              </w:rPr>
              <w:t>根据投标人投入本项目自有设备、检测试验条件综合评分： 1.配备齐全履带钻机、静力触探、标贯、动力触探、水位观测、取样设备、测绘定位设备； 2.具备土工试验能力（自有CMA试验室优先，外送正规第三方试验室亦可）； 3.设备齐全、检定有效、试验体系完善得6–8分； 4.设备基本满足、试验条件一般得3–5分； 5.设备简陋、无稳定试验渠道得1–2分。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勘察技术实施方案</w:t>
            </w:r>
          </w:p>
        </w:tc>
        <w:tc>
          <w:tcPr>
            <w:tcW w:type="dxa" w:w="2492"/>
          </w:tcPr>
          <w:p>
            <w:pPr>
              <w:pStyle w:val="null3"/>
            </w:pPr>
            <w:r>
              <w:rPr>
                <w:rFonts w:ascii="仿宋_GB2312" w:hAnsi="仿宋_GB2312" w:cs="仿宋_GB2312" w:eastAsia="仿宋_GB2312"/>
              </w:rPr>
              <w:t>评标专家根据方案针对性、合规性、可落地性综合打分： 1.项目理解与场地分析（0–3分） 对场地地形、废渣堆、地层特点、地下水、不良地质、矿硐涌水扩散分析、拟整治工程特点等理解准确、分析全面。 2.勘察布置与工作思路（0–4分） 勘探孔布置、孔深、取样、原位测试、勘察工作量布置完全符合《岩土工程勘察规范》，布点合理、工作量匹配项目等级。 3.野外作业与试验方案（0–4分） 钻探工艺、取样封存、现场记录、原位测试操作、室内土工试验流程完整规范，质控措施完善。 4. 重难点及应对措施（0–3分） 针对废渣堆、软弱土层、填土区、边坡、矿硐涌水、施工干扰等难点有具体、可行的专项处理方案。 5.进度计划、质量、安全保障（0–2分） 工期节点清晰、三级质检制度完整、野外钻探安全生产、文明施工、环保泥浆处置方案齐全。</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成果交付、后期服务与履约保障</w:t>
            </w:r>
          </w:p>
        </w:tc>
        <w:tc>
          <w:tcPr>
            <w:tcW w:type="dxa" w:w="2492"/>
          </w:tcPr>
          <w:p>
            <w:pPr>
              <w:pStyle w:val="null3"/>
            </w:pPr>
            <w:r>
              <w:rPr>
                <w:rFonts w:ascii="仿宋_GB2312" w:hAnsi="仿宋_GB2312" w:cs="仿宋_GB2312" w:eastAsia="仿宋_GB2312"/>
              </w:rPr>
              <w:t>1.成果交付内容完整，满足初步设计、施工图审查、归档、验收、备案要求； 2.承诺免费配合验槽、图纸会审、基础施工答疑、补充勘察、报告修改完善； 3.质保服务、现场响应、资料归档方案完善得5–6分；基本满足得3–4分。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详见附件：1包-工程测量服务合同.docx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