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版本号：ZRZB-2026-20420260624001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2026年澄城县庄头镇林川村温室大棚项目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ZRZB-2026-204</w:t>
      </w:r>
      <w:r>
        <w:br/>
      </w:r>
      <w:r>
        <w:br/>
      </w:r>
      <w:r>
        <w:br/>
      </w:r>
    </w:p>
    <w:p>
      <w:pPr>
        <w:pStyle w:val="null3"/>
        <w:jc w:val="center"/>
        <w:outlineLvl w:val="2"/>
      </w:pPr>
      <w:r>
        <w:rPr>
          <w:rFonts w:ascii="仿宋_GB2312" w:hAnsi="仿宋_GB2312" w:cs="仿宋_GB2312" w:eastAsia="仿宋_GB2312"/>
          <w:sz w:val="28"/>
          <w:b/>
        </w:rPr>
        <w:t>澄城县庄头镇人民政府</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澄城县庄头镇人民政府</w:t>
      </w:r>
      <w:r>
        <w:rPr>
          <w:rFonts w:ascii="仿宋_GB2312" w:hAnsi="仿宋_GB2312" w:cs="仿宋_GB2312" w:eastAsia="仿宋_GB2312"/>
        </w:rPr>
        <w:t>委托，拟对</w:t>
      </w:r>
      <w:r>
        <w:rPr>
          <w:rFonts w:ascii="仿宋_GB2312" w:hAnsi="仿宋_GB2312" w:cs="仿宋_GB2312" w:eastAsia="仿宋_GB2312"/>
        </w:rPr>
        <w:t>2026年澄城县庄头镇林川村温室大棚项目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ZRZB-2026-204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2026年澄城县庄头镇林川村温室大棚项目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新建蔬菜坑棚4座（主体轻型镀锌钢管结构，规格：长136米*宽18米*高6米，每座大棚面积2448平方米）并配套防滴流膜、卷帘机、棉被、耳房、背墙台阶等，具体详见工程量清单。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采购包1（2026年澄城县庄头镇林川村温室大棚项目）：属于专门面向中小企业采购。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1、营业执照：具有独立承担民事责任能力，提供供应商合法注册的法人或其他组织的营业执照</w:t>
      </w:r>
    </w:p>
    <w:p>
      <w:pPr>
        <w:pStyle w:val="null3"/>
      </w:pPr>
      <w:r>
        <w:rPr>
          <w:rFonts w:ascii="仿宋_GB2312" w:hAnsi="仿宋_GB2312" w:cs="仿宋_GB2312" w:eastAsia="仿宋_GB2312"/>
        </w:rPr>
        <w:t>2、法定代表人授权书：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p>
      <w:pPr>
        <w:pStyle w:val="null3"/>
      </w:pPr>
      <w:r>
        <w:rPr>
          <w:rFonts w:ascii="仿宋_GB2312" w:hAnsi="仿宋_GB2312" w:cs="仿宋_GB2312" w:eastAsia="仿宋_GB2312"/>
        </w:rPr>
        <w:t>3、财务状况报告：提供2025年度或2026年度经审计的财务审计报告（成立时间至提交投标文件截止时间不足一年的可提供成立后任意时段的资产负债表）或投标截止时间前三个月内其基本账户开户银行出具的资信证明及开户许可证</w:t>
      </w:r>
    </w:p>
    <w:p>
      <w:pPr>
        <w:pStyle w:val="null3"/>
      </w:pPr>
      <w:r>
        <w:rPr>
          <w:rFonts w:ascii="仿宋_GB2312" w:hAnsi="仿宋_GB2312" w:cs="仿宋_GB2312" w:eastAsia="仿宋_GB2312"/>
        </w:rPr>
        <w:t>4、税收缴纳证明：提供投标截止时间前六个月内任意一个月的纳税证明或完税证明；（以税款所属期为准，依法免税的应提供相关证明材料）</w:t>
      </w:r>
    </w:p>
    <w:p>
      <w:pPr>
        <w:pStyle w:val="null3"/>
      </w:pPr>
      <w:r>
        <w:rPr>
          <w:rFonts w:ascii="仿宋_GB2312" w:hAnsi="仿宋_GB2312" w:cs="仿宋_GB2312" w:eastAsia="仿宋_GB2312"/>
        </w:rPr>
        <w:t>5、社会保障资金缴纳证明：供应商提供本单位2026年01月至今已缴纳的至少一个月的社会保障资金缴存单据或社保机构开具的社会保险参保缴费情况证明；（依法不需要缴纳社会保障资金的投标人应提供相关证明）</w:t>
      </w:r>
    </w:p>
    <w:p>
      <w:pPr>
        <w:pStyle w:val="null3"/>
      </w:pPr>
      <w:r>
        <w:rPr>
          <w:rFonts w:ascii="仿宋_GB2312" w:hAnsi="仿宋_GB2312" w:cs="仿宋_GB2312" w:eastAsia="仿宋_GB2312"/>
        </w:rPr>
        <w:t>6、承诺：提供具有履行合同所必需的设备和专业技术能力的说明及承诺；（加盖投标人公章）</w:t>
      </w:r>
    </w:p>
    <w:p>
      <w:pPr>
        <w:pStyle w:val="null3"/>
      </w:pPr>
      <w:r>
        <w:rPr>
          <w:rFonts w:ascii="仿宋_GB2312" w:hAnsi="仿宋_GB2312" w:cs="仿宋_GB2312" w:eastAsia="仿宋_GB2312"/>
        </w:rPr>
        <w:t>7、声明：提供参加政府采购活动前三年内在经营活动中没有重大违法记录的书面声明，（提供声明，加盖投标人公章）</w:t>
      </w:r>
    </w:p>
    <w:p>
      <w:pPr>
        <w:pStyle w:val="null3"/>
      </w:pPr>
      <w:r>
        <w:rPr>
          <w:rFonts w:ascii="仿宋_GB2312" w:hAnsi="仿宋_GB2312" w:cs="仿宋_GB2312" w:eastAsia="仿宋_GB2312"/>
        </w:rPr>
        <w:t>8、供应商资质：具有建筑工程施工总承包三级或以上资质，具有有效的安全生产许可证</w:t>
      </w:r>
    </w:p>
    <w:p>
      <w:pPr>
        <w:pStyle w:val="null3"/>
      </w:pPr>
      <w:r>
        <w:rPr>
          <w:rFonts w:ascii="仿宋_GB2312" w:hAnsi="仿宋_GB2312" w:cs="仿宋_GB2312" w:eastAsia="仿宋_GB2312"/>
        </w:rPr>
        <w:t>9、项目经理：项目经理必须具有建筑工程专业二级及以上注册建造师执业资格和有效的安全生产考核合格证书，且未担任其他在建工程</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10、控股、管理关系：单位负责人为同一人或者存在直接控股、管理关系的不同供应商，不得参加同一合同项下的政府采购活动；（提供书面承诺函，加盖投标人公章）</w:t>
      </w:r>
    </w:p>
    <w:p>
      <w:pPr>
        <w:pStyle w:val="null3"/>
      </w:pPr>
      <w:r>
        <w:rPr>
          <w:rFonts w:ascii="仿宋_GB2312" w:hAnsi="仿宋_GB2312" w:cs="仿宋_GB2312" w:eastAsia="仿宋_GB2312"/>
        </w:rPr>
        <w:t>11、信用截图：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p>
      <w:pPr>
        <w:pStyle w:val="null3"/>
      </w:pPr>
      <w:r>
        <w:rPr>
          <w:rFonts w:ascii="仿宋_GB2312" w:hAnsi="仿宋_GB2312" w:cs="仿宋_GB2312" w:eastAsia="仿宋_GB2312"/>
        </w:rPr>
        <w:t>12、非联合体声明：本项目不接受联合体投标；（提供非联合体声明，加盖投标人公章）</w:t>
      </w:r>
    </w:p>
    <w:p>
      <w:pPr>
        <w:pStyle w:val="null3"/>
      </w:pPr>
      <w:r>
        <w:rPr>
          <w:rFonts w:ascii="仿宋_GB2312" w:hAnsi="仿宋_GB2312" w:cs="仿宋_GB2312" w:eastAsia="仿宋_GB2312"/>
        </w:rPr>
        <w:t>13、中小企业声明函：本项目专门面向中小企业采购。（提供中小企业声明函并加盖投标人公章）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澄城县庄头镇人民政府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澄城县庄头镇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澄城县庄头镇人民政府经办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0913-2298560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陕西省西安市莲湖区唐延路北段20号太和时代广场A座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19723017018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开户名称：中泓泽润工程管理咨询有限公司</w:t>
            </w:r>
          </w:p>
          <w:p>
            <w:pPr>
              <w:pStyle w:val="null3"/>
            </w:pPr>
            <w:r>
              <w:rPr>
                <w:rFonts w:ascii="仿宋_GB2312" w:hAnsi="仿宋_GB2312" w:cs="仿宋_GB2312" w:eastAsia="仿宋_GB2312"/>
              </w:rPr>
              <w:t>开户银行：交通银行股份有限公司西安航天城神舟四路支行</w:t>
            </w:r>
          </w:p>
          <w:p>
            <w:pPr>
              <w:pStyle w:val="null3"/>
            </w:pPr>
            <w:r>
              <w:rPr>
                <w:rFonts w:ascii="仿宋_GB2312" w:hAnsi="仿宋_GB2312" w:cs="仿宋_GB2312" w:eastAsia="仿宋_GB2312"/>
              </w:rPr>
              <w:t>银行账号：611301038018000928764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为计算依据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澄城县庄头镇人民政府</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澄城县庄头镇人民政府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澄城县庄头镇人民政府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澄城县庄头镇人民政府</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澄城县庄头镇人民政府</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联系人：庄头镇人民政府经办</w:t>
      </w:r>
    </w:p>
    <w:p>
      <w:pPr>
        <w:pStyle w:val="null3"/>
      </w:pPr>
      <w:r>
        <w:rPr>
          <w:rFonts w:ascii="仿宋_GB2312" w:hAnsi="仿宋_GB2312" w:cs="仿宋_GB2312" w:eastAsia="仿宋_GB2312"/>
        </w:rPr>
        <w:t>联系电话：0913-2298560</w:t>
      </w:r>
    </w:p>
    <w:p>
      <w:pPr>
        <w:pStyle w:val="null3"/>
      </w:pPr>
      <w:r>
        <w:rPr>
          <w:rFonts w:ascii="仿宋_GB2312" w:hAnsi="仿宋_GB2312" w:cs="仿宋_GB2312" w:eastAsia="仿宋_GB2312"/>
        </w:rPr>
        <w:t>地址：澄城县庄头镇</w:t>
      </w:r>
    </w:p>
    <w:p>
      <w:pPr>
        <w:pStyle w:val="null3"/>
      </w:pPr>
      <w:r>
        <w:rPr>
          <w:rFonts w:ascii="仿宋_GB2312" w:hAnsi="仿宋_GB2312" w:cs="仿宋_GB2312" w:eastAsia="仿宋_GB2312"/>
        </w:rPr>
        <w:t>邮编：715200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1,798,177.84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2026年澄城县庄头镇林川村温室大棚项目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标的名称：2026年澄城县庄头镇林川村温室大棚项目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r>
              <w:br/>
            </w:r>
            <w:r>
              <w:rPr>
                <w:rFonts w:ascii="仿宋_GB2312" w:hAnsi="仿宋_GB2312" w:cs="仿宋_GB2312" w:eastAsia="仿宋_GB2312"/>
              </w:rPr>
              <w:t xml:space="preserve"> 工程名称：2026年澄城县庄头镇林川村温室大棚项目</w:t>
            </w:r>
            <w:r>
              <w:br/>
            </w:r>
            <w:r>
              <w:rPr>
                <w:rFonts w:ascii="仿宋_GB2312" w:hAnsi="仿宋_GB2312" w:cs="仿宋_GB2312" w:eastAsia="仿宋_GB2312"/>
              </w:rPr>
              <w:t xml:space="preserve"> 建设地点：澄城县庄头镇林川村</w:t>
            </w:r>
            <w:r>
              <w:br/>
            </w:r>
            <w:r>
              <w:rPr>
                <w:rFonts w:ascii="仿宋_GB2312" w:hAnsi="仿宋_GB2312" w:cs="仿宋_GB2312" w:eastAsia="仿宋_GB2312"/>
              </w:rPr>
              <w:t xml:space="preserve"> 工程内容：新建蔬菜坑棚4座（主体轻型镀锌钢管结构，规格：长136米*宽18米*高6米，每座大棚面积2448平方米）并配套防滴流膜、卷帘机、棉被、耳房、背墙台阶等，具体详见工程量清单。</w:t>
            </w:r>
            <w:r>
              <w:br/>
            </w:r>
            <w:r>
              <w:rPr>
                <w:rFonts w:ascii="仿宋_GB2312" w:hAnsi="仿宋_GB2312" w:cs="仿宋_GB2312" w:eastAsia="仿宋_GB2312"/>
              </w:rPr>
              <w:t xml:space="preserve"> 二、计划工期</w:t>
            </w:r>
            <w:r>
              <w:br/>
            </w:r>
            <w:r>
              <w:rPr>
                <w:rFonts w:ascii="仿宋_GB2312" w:hAnsi="仿宋_GB2312" w:cs="仿宋_GB2312" w:eastAsia="仿宋_GB2312"/>
              </w:rPr>
              <w:t xml:space="preserve"> 自合同签订之日起90日历天</w:t>
            </w:r>
            <w:r>
              <w:br/>
            </w:r>
            <w:r>
              <w:rPr>
                <w:rFonts w:ascii="仿宋_GB2312" w:hAnsi="仿宋_GB2312" w:cs="仿宋_GB2312" w:eastAsia="仿宋_GB2312"/>
              </w:rPr>
              <w:t xml:space="preserve"> 三、商务要求</w:t>
            </w:r>
            <w:r>
              <w:br/>
            </w:r>
            <w:r>
              <w:rPr>
                <w:rFonts w:ascii="仿宋_GB2312" w:hAnsi="仿宋_GB2312" w:cs="仿宋_GB2312" w:eastAsia="仿宋_GB2312"/>
              </w:rPr>
              <w:t xml:space="preserve"> 合同签订后,达到付款条件起30日内,支付合同总金额的30%，施工过程中根据施工进度，达到付款条件起 30 日内，支付合同总金额的67%，工程竣工验收合格并办理竣工结算评审后,达到付款条件起 30 日内，支付剩余3%。</w:t>
            </w:r>
            <w:r>
              <w:br/>
            </w:r>
            <w:r>
              <w:rPr>
                <w:rFonts w:ascii="仿宋_GB2312" w:hAnsi="仿宋_GB2312" w:cs="仿宋_GB2312" w:eastAsia="仿宋_GB2312"/>
              </w:rPr>
              <w:t xml:space="preserve"> 四、其他</w:t>
            </w:r>
            <w:r>
              <w:br/>
            </w:r>
            <w:r>
              <w:rPr>
                <w:rFonts w:ascii="仿宋_GB2312" w:hAnsi="仿宋_GB2312" w:cs="仿宋_GB2312" w:eastAsia="仿宋_GB2312"/>
              </w:rPr>
              <w:t xml:space="preserve"> 1.质量验收标准或规范：工程符合竣工验收条件后，供应商应向招标人申请验收。招标人自收到申请后，对于符合验收条件的，应自收到申请文件之日起3个工作日内组织竣工验收。验收、交付标准:合格工程;施工应当遵守的或指导施工的国家、行业或地方的技术标准和要求，以及合同约定的技术标准和要求。</w:t>
            </w:r>
            <w:r>
              <w:br/>
            </w:r>
            <w:r>
              <w:rPr>
                <w:rFonts w:ascii="仿宋_GB2312" w:hAnsi="仿宋_GB2312" w:cs="仿宋_GB2312" w:eastAsia="仿宋_GB2312"/>
              </w:rPr>
              <w:t xml:space="preserve"> 2.质保期：竣工验收合格之日起，防水质保5年，其他质保2年。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供应商针对本项目的施工，必须达到国家及行业现行技术规范标准，符合国家及行业验收合格标准《建筑工程施工质量验收统一标准》(GB50300-2024)。</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具体内容详见项目评审办法及合同要求。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具有独立承担民事责任能力，提供供应商合法注册的法人或其他组织的营业执照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法定代表人直接参加的不提供,但须出具本人身份证原件及复印件，被授权人身份证原件及复印件）；（注：被授权人须为本单位在职员工并提供投标截止日前三个月社会保障资金凭证并加盖投标人公章）</w:t>
            </w:r>
          </w:p>
        </w:tc>
        <w:tc>
          <w:tcPr>
            <w:tcW w:type="dxa" w:w="1661"/>
          </w:tcPr>
          <w:p>
            <w:pPr>
              <w:pStyle w:val="null3"/>
            </w:pPr>
            <w:r>
              <w:rPr>
                <w:rFonts w:ascii="仿宋_GB2312" w:hAnsi="仿宋_GB2312" w:cs="仿宋_GB2312" w:eastAsia="仿宋_GB2312"/>
              </w:rPr>
              <w:t>法人授权委托书.docx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提供2025年度或2026年度经审计的财务审计报告（成立时间至提交投标文件截止时间不足一年的可提供成立后任意时段的资产负债表）或投标截止时间前三个月内其基本账户开户银行出具的资信证明及开户许可证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提供投标截止时间前六个月内任意一个月的纳税证明或完税证明；（以税款所属期为准，依法免税的应提供相关证明材料）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供应商提供本单位2026年01月至今已缴纳的至少一个月的社会保障资金缴存单据或社保机构开具的社会保险参保缴费情况证明；（依法不需要缴纳社会保障资金的投标人应提供相关证明）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提供具有履行合同所必需的设备和专业技术能力的说明及承诺；（加盖投标人公章）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具有建筑工程施工总承包三级或以上资质，具有有效的安全生产许可证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项目经理必须具有建筑工程专业二级及以上注册建造师执业资格和有效的安全生产考核合格证书，且未担任其他在建工程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网页截图时间为发售招标文件至开标当日，并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本项目不接受联合体投标；（提供非联合体声明，加盖投标人公章）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本项目专门面向中小企业采购。（提供中小企业声明函并加盖投标人公章）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响应⽂件的签章均符合磋商⽂件要求，且⽆遗漏。</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自磋商响应文件递交之日起不少于90日历天。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符合磋商文件的格式要求无重大偏离。</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陕西省政府采购供应商拒绝政府采购领域商业贿赂承诺书(1).docx 中小企业声明函 技术服务合同条款及其他商务要求应答表 供应商应提交的相关资格证明材料 强制优先采购产品承诺函 技术响应文件(1).docx 响应文件封面 项目管理机构组成表 残疾人福利性单位声明函 报价函 法人授权委托书.docx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根据针对本项目的特点，制定施工方案（项目整体设想及总体规划、项目重点难点、施工实施的流程）： 总体施工方案非常合理、条理清晰、计划安排合理有效：[10-16] 分；总体施工方案合理，可行性较高：[5-10] 分；总体施工方案合理性差，可行性不高：[1-5]分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确保工程质量的技术措施</w:t>
            </w:r>
          </w:p>
        </w:tc>
        <w:tc>
          <w:tcPr>
            <w:tcW w:type="dxa" w:w="2492"/>
          </w:tcPr>
          <w:p>
            <w:pPr>
              <w:pStyle w:val="null3"/>
            </w:pPr>
            <w:r>
              <w:rPr>
                <w:rFonts w:ascii="仿宋_GB2312" w:hAnsi="仿宋_GB2312" w:cs="仿宋_GB2312" w:eastAsia="仿宋_GB2312"/>
              </w:rPr>
              <w:t>质量目标明确，管理体系健全，预控和动态控制措施完整，实施工艺、手段先进、可靠、科学，管理体系和组织措施功能完善、管理幅度适宜，得[4-7]分； 目标基本明确，控制措施基本全面得[2-4]分； 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安全生产目标明确，预防和动态控制措施及制度完整、到位，管理体系和组织措施功能完善，得[4-7]分；目标基本明确，控制措施基本全面得[2-4]分；目标不明确，控制措施不全面得[1-2]分。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工期满足招标文件要求且工期控制合理，施工横道图或施工网络图工序搭配逻辑关系和关键线路清晰、合理、并能指导施工得[4-7]分；总工期满足招标文件要求，工期控制基本合理工序搭配逻辑关系和关键线路较清晰，得[2-4]分。总工期满足招标文件要求，逻辑关系混乱、不合理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文明施工保证体系健全，预防和动态控制措施及制度完整、到位，管理体系和组织措施功能完善，得[5-8]分；安全生产目标基本明确，控制措施基本全面得[3-5]分。安全生产目标不明确，控制措施不全面得[1-3]分。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对拟投入的机具、设备和材料进行描述。机械配备与材料投入完全适配施工要求，没有不需要机械和材料得[4-6]分；机械与材料投入基本满足施工要求，有明显不适用机械和材料。酌情得[2-4]分，表述不清得[1-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项目管理机构配备及职责</w:t>
            </w:r>
          </w:p>
        </w:tc>
        <w:tc>
          <w:tcPr>
            <w:tcW w:type="dxa" w:w="2492"/>
          </w:tcPr>
          <w:p>
            <w:pPr>
              <w:pStyle w:val="null3"/>
            </w:pPr>
            <w:r>
              <w:rPr>
                <w:rFonts w:ascii="仿宋_GB2312" w:hAnsi="仿宋_GB2312" w:cs="仿宋_GB2312" w:eastAsia="仿宋_GB2312"/>
              </w:rPr>
              <w:t>机构人员健全，资格适合，安排合理完整，职责明确，完全满足施工要求得[4-7]分，机构人员健全，资格基本满足施工要求得[2-4]分，机构人员不健全但满足施工要求得[1-2]分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售后服务方案（有详细的针对本项目工程的售后服务承诺及说明，工程竣工验收合格后使用过程中因质量问题而产生的补救措施、应急预案 、响应时间及措施。）售后服务方案非常合理、条理清晰、计划安排合理有效：[4-6] 分；售后服务方案合理，可行性 较高：[2-4] 分；售后服务方案合理性差，可行性不高：[1-2]分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技术响应文件(1).docx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提供2023年6月至今类似项目业绩（以合同签订时间或中标通知书为准），每一个类似项目业绩计2分，满分6分。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详见附件：技术响应文件(1).docx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