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2086C">
      <w:pPr>
        <w:pStyle w:val="11"/>
        <w:rPr>
          <w:rFonts w:hint="eastAsia" w:hAnsi="宋体" w:eastAsia="宋体" w:cs="宋体"/>
          <w:b/>
          <w:bCs/>
          <w:szCs w:val="36"/>
        </w:rPr>
      </w:pPr>
      <w:r>
        <w:rPr>
          <w:rFonts w:hint="eastAsia" w:hAnsi="宋体" w:eastAsia="宋体" w:cs="宋体"/>
          <w:b/>
          <w:bCs/>
          <w:szCs w:val="36"/>
        </w:rPr>
        <w:t>采购内容及要求</w:t>
      </w:r>
    </w:p>
    <w:p w14:paraId="62213DBC">
      <w:pPr>
        <w:pStyle w:val="11"/>
        <w:rPr>
          <w:rFonts w:hint="eastAsia" w:hAnsi="宋体" w:eastAsia="宋体" w:cs="宋体"/>
          <w:b/>
          <w:bCs/>
          <w:sz w:val="28"/>
          <w:szCs w:val="28"/>
        </w:rPr>
      </w:pPr>
      <w:r>
        <w:rPr>
          <w:rFonts w:hint="eastAsia" w:hAnsi="宋体" w:eastAsia="宋体" w:cs="宋体"/>
          <w:b/>
          <w:bCs/>
          <w:sz w:val="28"/>
          <w:szCs w:val="28"/>
        </w:rPr>
        <w:t>（以下内容由采购单位提供）</w:t>
      </w:r>
    </w:p>
    <w:p w14:paraId="4ED64D27">
      <w:pPr>
        <w:rPr>
          <w:rFonts w:hint="default" w:ascii="宋体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hAnsi="宋体" w:eastAsia="宋体" w:cs="宋体"/>
          <w:b/>
          <w:bCs/>
          <w:i w:val="0"/>
          <w:iCs w:val="0"/>
          <w:color w:val="auto"/>
          <w:kern w:val="0"/>
          <w:sz w:val="28"/>
          <w:szCs w:val="28"/>
          <w:u w:val="none"/>
          <w:lang w:val="en-US" w:eastAsia="zh-CN" w:bidi="ar"/>
        </w:rPr>
        <w:t>一、规格：</w:t>
      </w:r>
    </w:p>
    <w:tbl>
      <w:tblPr>
        <w:tblStyle w:val="8"/>
        <w:tblW w:w="0" w:type="auto"/>
        <w:tblInd w:w="14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5"/>
        <w:gridCol w:w="2040"/>
        <w:gridCol w:w="5721"/>
      </w:tblGrid>
      <w:tr w14:paraId="3BD965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D0B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591B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有机房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载货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电梯</w:t>
            </w:r>
          </w:p>
        </w:tc>
      </w:tr>
      <w:tr w14:paraId="169E7A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C39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曳引比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55A1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4:1</w:t>
            </w:r>
          </w:p>
        </w:tc>
      </w:tr>
      <w:tr w14:paraId="41A96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2898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DEDFC">
            <w:pPr>
              <w:jc w:val="center"/>
              <w:rPr>
                <w:rFonts w:hint="default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2台</w:t>
            </w:r>
          </w:p>
        </w:tc>
      </w:tr>
      <w:tr w14:paraId="3C2C63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685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载重（kg）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4EC04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5000</w:t>
            </w:r>
          </w:p>
        </w:tc>
      </w:tr>
      <w:tr w14:paraId="0BE9BB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274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速度（m/s）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C8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0.5</w:t>
            </w:r>
          </w:p>
        </w:tc>
      </w:tr>
      <w:tr w14:paraId="52FCAA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E93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提升高度（m）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A3623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16</w:t>
            </w:r>
          </w:p>
        </w:tc>
      </w:tr>
      <w:tr w14:paraId="424BC4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3DA5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楼层数（层）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BD23F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</w:tr>
      <w:tr w14:paraId="17680B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E2F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停站数（站）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D52CB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</w:tr>
      <w:tr w14:paraId="7DDEF6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E9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井道尺寸（mm）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F951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sz w:val="24"/>
                <w:szCs w:val="24"/>
                <w:rtl w:val="0"/>
                <w:lang w:val="en-US" w:eastAsia="zh-CN"/>
              </w:rPr>
              <w:t>445</w:t>
            </w:r>
            <w:r>
              <w:rPr>
                <w:rFonts w:hint="eastAsia" w:ascii="宋体" w:hAnsi="宋体" w:eastAsia="宋体" w:cs="宋体"/>
                <w:i w:val="0"/>
                <w:sz w:val="24"/>
                <w:szCs w:val="24"/>
                <w:rtl w:val="0"/>
              </w:rPr>
              <w:t>0×</w:t>
            </w:r>
            <w:r>
              <w:rPr>
                <w:rFonts w:hint="eastAsia" w:ascii="宋体" w:hAnsi="宋体" w:eastAsia="宋体" w:cs="宋体"/>
                <w:i w:val="0"/>
                <w:sz w:val="24"/>
                <w:szCs w:val="24"/>
                <w:rtl w:val="0"/>
                <w:lang w:val="en-US" w:eastAsia="zh-CN"/>
              </w:rPr>
              <w:t>445</w:t>
            </w:r>
            <w:r>
              <w:rPr>
                <w:rFonts w:hint="eastAsia" w:ascii="宋体" w:hAnsi="宋体" w:eastAsia="宋体" w:cs="宋体"/>
                <w:i w:val="0"/>
                <w:sz w:val="24"/>
                <w:szCs w:val="24"/>
                <w:rtl w:val="0"/>
              </w:rPr>
              <w:t>0</w:t>
            </w:r>
          </w:p>
        </w:tc>
      </w:tr>
      <w:tr w14:paraId="15D568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05E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基坑深（mm）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5F8D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1800</w:t>
            </w:r>
          </w:p>
        </w:tc>
      </w:tr>
      <w:tr w14:paraId="3FEB1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E4B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顶层高度（mm）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028C0B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7500</w:t>
            </w:r>
          </w:p>
        </w:tc>
      </w:tr>
      <w:tr w14:paraId="295DD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02DB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轿厢宽（mm）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F9A06F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2280</w:t>
            </w:r>
          </w:p>
        </w:tc>
      </w:tr>
      <w:tr w14:paraId="6F65C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91D4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轿厢深（mm）</w:t>
            </w:r>
          </w:p>
        </w:tc>
        <w:tc>
          <w:tcPr>
            <w:tcW w:w="57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467C0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3700</w:t>
            </w:r>
          </w:p>
        </w:tc>
      </w:tr>
      <w:tr w14:paraId="7C3174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AD8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轿厢高（mm）</w:t>
            </w:r>
          </w:p>
        </w:tc>
        <w:tc>
          <w:tcPr>
            <w:tcW w:w="57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E899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2500</w:t>
            </w:r>
          </w:p>
        </w:tc>
      </w:tr>
      <w:tr w14:paraId="0A42C9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EBF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门宽（mm）</w:t>
            </w:r>
          </w:p>
        </w:tc>
        <w:tc>
          <w:tcPr>
            <w:tcW w:w="5721" w:type="dxa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C03D6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2200</w:t>
            </w:r>
          </w:p>
        </w:tc>
      </w:tr>
      <w:tr w14:paraId="783670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EC4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门高（mm)</w:t>
            </w:r>
          </w:p>
        </w:tc>
        <w:tc>
          <w:tcPr>
            <w:tcW w:w="5721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8625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2400</w:t>
            </w:r>
          </w:p>
        </w:tc>
      </w:tr>
      <w:tr w14:paraId="5FCA68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7C8D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轿门数量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B7539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</w:tr>
      <w:tr w14:paraId="494EA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E89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厅门数量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7C79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</w:tr>
      <w:tr w14:paraId="1F8087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10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16C26">
            <w:pPr>
              <w:keepNext w:val="0"/>
              <w:keepLines w:val="0"/>
              <w:widowControl/>
              <w:suppressLineNumbers w:val="0"/>
              <w:ind w:left="452" w:leftChars="133" w:firstLine="1200" w:firstLineChars="5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 w14:paraId="0B017898">
            <w:pPr>
              <w:keepNext w:val="0"/>
              <w:keepLines w:val="0"/>
              <w:widowControl/>
              <w:suppressLineNumbers w:val="0"/>
              <w:ind w:left="452" w:leftChars="133" w:firstLine="1200" w:firstLineChars="50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轿厢内装饰</w:t>
            </w: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EEFE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轿门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0F33F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喷涂钢板烤漆</w:t>
            </w:r>
          </w:p>
        </w:tc>
      </w:tr>
      <w:tr w14:paraId="4C9BA9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exact"/>
        </w:trPr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E90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A19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前壁板/门楣饰板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F2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喷涂钢板烤漆</w:t>
            </w:r>
          </w:p>
        </w:tc>
      </w:tr>
      <w:tr w14:paraId="0EAF6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9AA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F3E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侧壁板装饰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52987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喷涂钢板烤漆</w:t>
            </w:r>
          </w:p>
        </w:tc>
      </w:tr>
      <w:tr w14:paraId="117B33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5D7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922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后壁板装饰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8FD5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喷涂钢板烤漆</w:t>
            </w:r>
          </w:p>
        </w:tc>
      </w:tr>
      <w:tr w14:paraId="71A38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5260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2D4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轿内操作面板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091C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喷涂钢板烤漆</w:t>
            </w:r>
          </w:p>
        </w:tc>
      </w:tr>
      <w:tr w14:paraId="54FFCC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C1EBD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95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轿内显示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5DE8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有数字式楼层指示器及方向箭头</w:t>
            </w:r>
          </w:p>
        </w:tc>
      </w:tr>
      <w:tr w14:paraId="2E948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D78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20D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吊顶装修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243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标准装修吊顶</w:t>
            </w:r>
          </w:p>
        </w:tc>
      </w:tr>
      <w:tr w14:paraId="5D29F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148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门厅装饰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D1E3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全部为钢板烤漆</w:t>
            </w:r>
          </w:p>
        </w:tc>
      </w:tr>
      <w:tr w14:paraId="285B9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590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厅外显示类型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244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eastAsia="zh-CN"/>
              </w:rPr>
              <w:t>有数字式楼层指示器及方向箭头</w:t>
            </w:r>
          </w:p>
        </w:tc>
      </w:tr>
      <w:tr w14:paraId="6C915E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75C0C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厅外显示面板材质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72B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发纹不锈钢</w:t>
            </w:r>
          </w:p>
        </w:tc>
      </w:tr>
      <w:tr w14:paraId="1223B4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exact"/>
        </w:trPr>
        <w:tc>
          <w:tcPr>
            <w:tcW w:w="31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46C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群控方式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17CE59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并联</w:t>
            </w:r>
          </w:p>
        </w:tc>
      </w:tr>
    </w:tbl>
    <w:p w14:paraId="2F233DE7">
      <w:pPr>
        <w:numPr>
          <w:ilvl w:val="0"/>
          <w:numId w:val="1"/>
        </w:numPr>
        <w:jc w:val="both"/>
        <w:rPr>
          <w:rFonts w:hint="eastAsia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hAnsi="宋体" w:eastAsia="宋体" w:cs="宋体"/>
          <w:b/>
          <w:bCs/>
          <w:color w:val="auto"/>
          <w:sz w:val="28"/>
          <w:szCs w:val="28"/>
          <w:lang w:eastAsia="zh-CN"/>
        </w:rPr>
        <w:t>设备参数要求</w:t>
      </w:r>
    </w:p>
    <w:tbl>
      <w:tblPr>
        <w:tblStyle w:val="8"/>
        <w:tblW w:w="0" w:type="auto"/>
        <w:tblInd w:w="14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5"/>
        <w:gridCol w:w="5721"/>
      </w:tblGrid>
      <w:tr w14:paraId="5B411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F680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曳引机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8AE3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1、所投电梯曳引机整机提供特种设备研究院或具有CNAS标志的第三方出具的试验（检验）报告并加盖投标人公章。</w:t>
            </w:r>
          </w:p>
          <w:p w14:paraId="364634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2、电动机外壳防护等级不低于IP41、绝缘等级不低于F级；</w:t>
            </w:r>
          </w:p>
        </w:tc>
      </w:tr>
      <w:tr w14:paraId="52227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952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制动器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942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投标电梯制动器提供特种设备研究院或具有CNAS标志的第三方出具的试验（检验）报告并加盖投标人公章，且在运行50万次以后，依旧能正常使用。</w:t>
            </w:r>
          </w:p>
        </w:tc>
      </w:tr>
      <w:tr w14:paraId="14FB31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6BE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控制柜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4DD786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所投电梯的控制柜（含控制装置和调速装置）电压波动范围≥20%（380V±20%）；</w:t>
            </w:r>
          </w:p>
          <w:p w14:paraId="28F1950E"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外壳防护等级不低于IP55；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注：提供特种设备研究院或具有CNAS标志的第三方出具的试验（检验）报告并加盖投标人公章。</w:t>
            </w:r>
          </w:p>
        </w:tc>
      </w:tr>
      <w:tr w14:paraId="582F0B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6FD0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3498ED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所投电梯门电机防护等级≥IP65，绝缘等级≥F级；</w:t>
            </w:r>
          </w:p>
          <w:p w14:paraId="41ED4489"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门机运行寿命试验次数≥50万次；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注：提供特种设备研究院或具有CNAS标志的第三方出具的试验（检验）报告并加盖投标人公章。</w:t>
            </w:r>
          </w:p>
        </w:tc>
      </w:tr>
      <w:tr w14:paraId="3B45E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212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光幕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799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1、最大扫描光束数≥190束、外壳防护等级≥IP65；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2、在0~4000mm探测区域内，在照度不低于100000 lx的太阳光的干扰下，电梯轿厢出入口电子探测装置应能正常工作；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注：提供特种设备研究院或具有CNAS标志的第三方出具的试验（检验）报告并加盖投标人公章。</w:t>
            </w:r>
          </w:p>
        </w:tc>
      </w:tr>
      <w:tr w14:paraId="1EBB0C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CB97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轿门门锁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4899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1、门锁（轿门锁和层门锁）运行寿命达到50万次以上时机械部件依旧运行良好。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注：提供特种设备研究院或具有CNAS标志的第三方出具的试验（检验）报告并加盖投标人公章。</w:t>
            </w:r>
          </w:p>
        </w:tc>
      </w:tr>
      <w:tr w14:paraId="67511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C22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安全部件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C365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所投电梯的限速器、安全钳、缓冲器、安全电路提供特种设备研究院或具有CNAS标志的第三方出具的试验（检验）报告并加盖投标人公章。</w:t>
            </w:r>
          </w:p>
        </w:tc>
      </w:tr>
      <w:tr w14:paraId="0DBAC6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21F0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整机性能要求</w:t>
            </w:r>
          </w:p>
        </w:tc>
        <w:tc>
          <w:tcPr>
            <w:tcW w:w="5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46A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1、轿厢内载有 110%额定载重量的载荷，启动-全程运行-停止-正常开关门，连续正常运行 60 次，电梯无故障。</w:t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snapToGrid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注：提供特种设备研究院或具有CNAS标志的第三方出具的试验（检验）报告并加盖投标人公章。</w:t>
            </w:r>
          </w:p>
        </w:tc>
      </w:tr>
    </w:tbl>
    <w:p w14:paraId="1DEF3288">
      <w:pPr>
        <w:numPr>
          <w:ilvl w:val="0"/>
          <w:numId w:val="0"/>
        </w:numPr>
        <w:jc w:val="both"/>
        <w:rPr>
          <w:rFonts w:hint="eastAsia" w:hAnsi="宋体" w:eastAsia="宋体" w:cs="宋体"/>
          <w:b/>
          <w:bCs/>
          <w:sz w:val="28"/>
          <w:szCs w:val="28"/>
          <w:lang w:eastAsia="zh-CN"/>
        </w:rPr>
      </w:pPr>
    </w:p>
    <w:p w14:paraId="2288253F">
      <w:pPr>
        <w:jc w:val="center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旬阳高新区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 xml:space="preserve"> 19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#厂房电梯土建配合施工清单</w:t>
      </w:r>
    </w:p>
    <w:p w14:paraId="076FB816">
      <w:pPr>
        <w:jc w:val="center"/>
        <w:rPr>
          <w:rFonts w:hint="eastAsia" w:ascii="宋体" w:hAnsi="宋体" w:eastAsia="宋体" w:cs="宋体"/>
          <w:sz w:val="28"/>
          <w:szCs w:val="28"/>
        </w:rPr>
      </w:pPr>
    </w:p>
    <w:tbl>
      <w:tblPr>
        <w:tblStyle w:val="8"/>
        <w:tblW w:w="0" w:type="auto"/>
        <w:tblInd w:w="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0"/>
        <w:gridCol w:w="6411"/>
      </w:tblGrid>
      <w:tr w14:paraId="75046F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exac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561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井道整改及预埋件施工</w:t>
            </w:r>
          </w:p>
        </w:tc>
        <w:tc>
          <w:tcPr>
            <w:tcW w:w="6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FDAAB9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井道尺寸、垂直度、平整度整改，满足电梯安装规范</w:t>
            </w:r>
          </w:p>
          <w:p w14:paraId="38FCCFE7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导轨支架、对重架等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部件得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预埋件精准预埋与固定</w:t>
            </w:r>
          </w:p>
          <w:p w14:paraId="5036FFB7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3、</w:t>
            </w:r>
            <w:r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井道照明、检修管线预留预埋</w:t>
            </w:r>
          </w:p>
          <w:p w14:paraId="79F5F38A">
            <w:pPr>
              <w:jc w:val="both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1384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exac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A8D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机房基础、开孔及防水封堵</w:t>
            </w:r>
          </w:p>
        </w:tc>
        <w:tc>
          <w:tcPr>
            <w:tcW w:w="6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3022D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1、曳引机、控制柜基础浇筑，满足5000kg荷载要求</w:t>
            </w:r>
          </w:p>
          <w:p w14:paraId="31CEE6C5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2、设备基础及管线预留孔开孔</w:t>
            </w:r>
          </w:p>
          <w:p w14:paraId="58C5663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3、管线孔、钢丝绳孔洞防火封堵</w:t>
            </w:r>
          </w:p>
          <w:p w14:paraId="422C10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  <w:p w14:paraId="24FC06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- 设备周边防水台制作及闭水试验</w:t>
            </w:r>
          </w:p>
        </w:tc>
      </w:tr>
      <w:tr w14:paraId="6631F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exac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79D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底坑整改与防水处理</w:t>
            </w:r>
          </w:p>
        </w:tc>
        <w:tc>
          <w:tcPr>
            <w:tcW w:w="6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2EBA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1、底坑深度、结构整改加固</w:t>
            </w:r>
          </w:p>
          <w:p w14:paraId="6865F54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2、底坑防水施工及排水设施预留</w:t>
            </w:r>
          </w:p>
          <w:p w14:paraId="6CE8F588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3、底坑防护设施预埋件施工</w:t>
            </w:r>
          </w:p>
        </w:tc>
      </w:tr>
      <w:tr w14:paraId="48AA7C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exac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90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厅门门套及过门石安装</w:t>
            </w:r>
          </w:p>
        </w:tc>
        <w:tc>
          <w:tcPr>
            <w:tcW w:w="6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7E8F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1、厅门门套基础预埋与安装，确保与井道、墙体结合牢固</w:t>
            </w:r>
          </w:p>
          <w:p w14:paraId="41D97F19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2、过门石安装及地面标高衔接</w:t>
            </w:r>
          </w:p>
          <w:p w14:paraId="398F498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3、厅门外墙面平整及面板预留孔处理</w:t>
            </w:r>
          </w:p>
        </w:tc>
      </w:tr>
      <w:tr w14:paraId="358A7A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exac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AC7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配电箱主电缆铺设</w:t>
            </w:r>
          </w:p>
        </w:tc>
        <w:tc>
          <w:tcPr>
            <w:tcW w:w="6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152FF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1、配电箱至曳引机、控制柜主电源电缆敷设</w:t>
            </w:r>
          </w:p>
          <w:p w14:paraId="5203954C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2、电源线路布置规范、接线安全可靠</w:t>
            </w:r>
          </w:p>
        </w:tc>
      </w:tr>
      <w:tr w14:paraId="4C7952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4" w:hRule="exact"/>
        </w:trPr>
        <w:tc>
          <w:tcPr>
            <w:tcW w:w="2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0A3A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垃圾清理</w:t>
            </w:r>
          </w:p>
        </w:tc>
        <w:tc>
          <w:tcPr>
            <w:tcW w:w="64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A0929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1、施工全过程建筑垃圾分类收集、定点堆放</w:t>
            </w:r>
          </w:p>
          <w:p w14:paraId="05E5112F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2、井道、机房、底坑、厅门区域杂物、废料清运</w:t>
            </w:r>
          </w:p>
          <w:p w14:paraId="6D6D099A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3、施工完成后场地全面清扫，恢复整洁原貌</w:t>
            </w:r>
          </w:p>
        </w:tc>
      </w:tr>
    </w:tbl>
    <w:p w14:paraId="13B5DCF4">
      <w:pPr>
        <w:spacing w:line="440" w:lineRule="exact"/>
        <w:ind w:firstLine="562" w:firstLineChars="200"/>
        <w:rPr>
          <w:rFonts w:hint="eastAsia" w:hAnsi="宋体" w:cs="宋体"/>
          <w:sz w:val="28"/>
          <w:szCs w:val="28"/>
        </w:rPr>
      </w:pPr>
      <w:r>
        <w:rPr>
          <w:rFonts w:hint="eastAsia" w:hAnsi="宋体" w:cs="宋体"/>
          <w:b/>
          <w:bCs/>
          <w:sz w:val="28"/>
          <w:szCs w:val="28"/>
          <w:lang w:bidi="ar"/>
        </w:rPr>
        <w:t>三、供货、安装调试期：</w:t>
      </w:r>
      <w:r>
        <w:rPr>
          <w:rFonts w:hint="eastAsia" w:hAnsi="宋体" w:cs="宋体"/>
          <w:sz w:val="28"/>
          <w:szCs w:val="28"/>
        </w:rPr>
        <w:t>不超过30天。</w:t>
      </w:r>
    </w:p>
    <w:p w14:paraId="35B394C8">
      <w:pPr>
        <w:spacing w:line="440" w:lineRule="exact"/>
        <w:ind w:firstLine="562" w:firstLineChars="200"/>
        <w:rPr>
          <w:rFonts w:hint="eastAsia" w:hAnsi="宋体" w:cs="宋体"/>
          <w:sz w:val="28"/>
          <w:szCs w:val="28"/>
        </w:rPr>
      </w:pPr>
      <w:r>
        <w:rPr>
          <w:rFonts w:hint="eastAsia" w:hAnsi="宋体" w:cs="宋体"/>
          <w:b/>
          <w:bCs/>
          <w:sz w:val="28"/>
          <w:szCs w:val="28"/>
          <w:lang w:bidi="ar"/>
        </w:rPr>
        <w:t>四、</w:t>
      </w:r>
      <w:r>
        <w:rPr>
          <w:rFonts w:hint="eastAsia" w:hAnsi="宋体" w:cs="宋体"/>
          <w:b/>
          <w:bCs/>
          <w:sz w:val="28"/>
          <w:szCs w:val="28"/>
        </w:rPr>
        <w:t>付款方式：</w:t>
      </w:r>
      <w:r>
        <w:rPr>
          <w:rFonts w:hint="eastAsia" w:hAnsi="宋体" w:cs="宋体"/>
          <w:sz w:val="28"/>
          <w:szCs w:val="28"/>
        </w:rPr>
        <w:t>本项目无预付款</w:t>
      </w:r>
    </w:p>
    <w:tbl>
      <w:tblPr>
        <w:tblStyle w:val="9"/>
        <w:tblW w:w="0" w:type="auto"/>
        <w:tblInd w:w="4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5"/>
        <w:gridCol w:w="3988"/>
      </w:tblGrid>
      <w:tr w14:paraId="130B2E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5" w:type="dxa"/>
            <w:noWrap w:val="0"/>
            <w:vAlign w:val="top"/>
          </w:tcPr>
          <w:p w14:paraId="099FF042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工程进度</w:t>
            </w:r>
          </w:p>
        </w:tc>
        <w:tc>
          <w:tcPr>
            <w:tcW w:w="3988" w:type="dxa"/>
            <w:noWrap w:val="0"/>
            <w:vAlign w:val="top"/>
          </w:tcPr>
          <w:p w14:paraId="6CDD21A8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拨付工程款额度</w:t>
            </w:r>
          </w:p>
        </w:tc>
      </w:tr>
      <w:tr w14:paraId="1B03C4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5" w:type="dxa"/>
            <w:noWrap w:val="0"/>
            <w:vAlign w:val="top"/>
          </w:tcPr>
          <w:p w14:paraId="5275AB2E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安装调试完成后</w:t>
            </w:r>
          </w:p>
        </w:tc>
        <w:tc>
          <w:tcPr>
            <w:tcW w:w="3988" w:type="dxa"/>
            <w:noWrap w:val="0"/>
            <w:vAlign w:val="top"/>
          </w:tcPr>
          <w:p w14:paraId="6A9EF337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90%</w:t>
            </w:r>
          </w:p>
        </w:tc>
      </w:tr>
      <w:tr w14:paraId="46527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5" w:type="dxa"/>
            <w:noWrap w:val="0"/>
            <w:vAlign w:val="top"/>
          </w:tcPr>
          <w:p w14:paraId="12508272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竣工验收后</w:t>
            </w:r>
          </w:p>
        </w:tc>
        <w:tc>
          <w:tcPr>
            <w:tcW w:w="3988" w:type="dxa"/>
            <w:noWrap w:val="0"/>
            <w:vAlign w:val="top"/>
          </w:tcPr>
          <w:p w14:paraId="3FF7D7D6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7%</w:t>
            </w:r>
          </w:p>
        </w:tc>
      </w:tr>
      <w:tr w14:paraId="3899A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5" w:type="dxa"/>
            <w:noWrap w:val="0"/>
            <w:vAlign w:val="top"/>
          </w:tcPr>
          <w:p w14:paraId="50AC3950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合同约定内容完成后</w:t>
            </w:r>
          </w:p>
        </w:tc>
        <w:tc>
          <w:tcPr>
            <w:tcW w:w="3988" w:type="dxa"/>
            <w:noWrap w:val="0"/>
            <w:vAlign w:val="top"/>
          </w:tcPr>
          <w:p w14:paraId="63BB63A0">
            <w:pPr>
              <w:widowControl w:val="0"/>
              <w:jc w:val="center"/>
              <w:rPr>
                <w:rFonts w:hAnsi="宋体" w:cs="宋体"/>
                <w:color w:val="000000"/>
                <w:sz w:val="24"/>
                <w:szCs w:val="24"/>
              </w:rPr>
            </w:pPr>
            <w:r>
              <w:rPr>
                <w:rFonts w:hint="eastAsia" w:hAnsi="宋体" w:cs="宋体"/>
                <w:color w:val="000000"/>
                <w:sz w:val="24"/>
                <w:szCs w:val="24"/>
              </w:rPr>
              <w:t>3%</w:t>
            </w:r>
          </w:p>
        </w:tc>
      </w:tr>
    </w:tbl>
    <w:p w14:paraId="0FD008E7">
      <w:pPr>
        <w:numPr>
          <w:ilvl w:val="0"/>
          <w:numId w:val="4"/>
        </w:numPr>
        <w:spacing w:line="440" w:lineRule="exact"/>
        <w:ind w:firstLine="562" w:firstLineChars="200"/>
        <w:rPr>
          <w:rFonts w:hint="eastAsia" w:hAnsi="宋体" w:cs="宋体"/>
          <w:b/>
          <w:bCs/>
          <w:sz w:val="28"/>
          <w:szCs w:val="28"/>
        </w:rPr>
      </w:pPr>
      <w:r>
        <w:rPr>
          <w:rFonts w:hint="eastAsia" w:hAnsi="宋体" w:cs="宋体"/>
          <w:b/>
          <w:bCs/>
          <w:sz w:val="28"/>
          <w:szCs w:val="28"/>
        </w:rPr>
        <w:t>售后服务及服务要求：</w:t>
      </w:r>
    </w:p>
    <w:p w14:paraId="63383D82">
      <w:pPr>
        <w:spacing w:line="440" w:lineRule="exact"/>
        <w:ind w:firstLine="560" w:firstLineChars="200"/>
        <w:rPr>
          <w:rFonts w:hint="eastAsia" w:hAnsi="宋体" w:cs="宋体"/>
          <w:sz w:val="28"/>
          <w:szCs w:val="28"/>
        </w:rPr>
      </w:pPr>
      <w:r>
        <w:rPr>
          <w:rFonts w:hint="eastAsia" w:hAnsi="宋体" w:cs="宋体"/>
          <w:sz w:val="28"/>
          <w:szCs w:val="28"/>
        </w:rPr>
        <w:t>（1）乙方应具备与本项目匹配的服务能力。乙方在质保期满后应继续向甲方提供技术支持，以维持系统正常运作。</w:t>
      </w:r>
    </w:p>
    <w:p w14:paraId="0C885522">
      <w:pPr>
        <w:spacing w:line="440" w:lineRule="exact"/>
        <w:ind w:firstLine="560" w:firstLineChars="200"/>
        <w:rPr>
          <w:rFonts w:hint="eastAsia" w:hAnsi="宋体" w:cs="宋体"/>
          <w:sz w:val="28"/>
          <w:szCs w:val="28"/>
        </w:rPr>
      </w:pPr>
      <w:r>
        <w:rPr>
          <w:rFonts w:hint="eastAsia" w:hAnsi="宋体" w:cs="宋体"/>
          <w:sz w:val="28"/>
          <w:szCs w:val="28"/>
        </w:rPr>
        <w:t>（2）供应商应保证保修的及时性，在接到采购人故障报修通知后应立即做出答复，保证维修服务电话处于24 小时正常开通状态，如遇电话无法解决的问题，供应商须派员在30分钟内赶到现场。</w:t>
      </w:r>
    </w:p>
    <w:p w14:paraId="75591B01">
      <w:pPr>
        <w:spacing w:line="440" w:lineRule="exact"/>
        <w:ind w:firstLine="562" w:firstLineChars="200"/>
        <w:rPr>
          <w:rFonts w:hint="eastAsia" w:hAnsi="宋体" w:cs="宋体"/>
          <w:sz w:val="28"/>
          <w:szCs w:val="28"/>
        </w:rPr>
      </w:pPr>
      <w:r>
        <w:rPr>
          <w:rFonts w:hint="eastAsia" w:hAnsi="宋体" w:cs="宋体"/>
          <w:b/>
          <w:bCs/>
          <w:sz w:val="28"/>
          <w:szCs w:val="28"/>
        </w:rPr>
        <w:t>六、质保要求：</w:t>
      </w:r>
      <w:r>
        <w:rPr>
          <w:rFonts w:hint="eastAsia" w:hAnsi="宋体" w:cs="宋体"/>
          <w:sz w:val="28"/>
          <w:szCs w:val="28"/>
        </w:rPr>
        <w:t>质量保证期自验收合格之日起不少于1年。</w:t>
      </w:r>
    </w:p>
    <w:p w14:paraId="17F00F20">
      <w:pPr>
        <w:pStyle w:val="6"/>
        <w:rPr>
          <w:rFonts w:hint="eastAsia"/>
        </w:rPr>
      </w:pPr>
      <w:r>
        <w:rPr>
          <w:rFonts w:hint="eastAsia" w:hAnsi="宋体" w:cs="宋体"/>
          <w:b/>
          <w:bCs/>
          <w:sz w:val="28"/>
          <w:szCs w:val="28"/>
          <w:lang w:val="en-US" w:eastAsia="zh-CN"/>
        </w:rPr>
        <w:t xml:space="preserve"> 七、勘察现场：</w:t>
      </w:r>
      <w:r>
        <w:rPr>
          <w:rFonts w:hint="eastAsia" w:hAnsi="宋体" w:cs="宋体"/>
          <w:b w:val="0"/>
          <w:bCs w:val="0"/>
          <w:sz w:val="28"/>
          <w:szCs w:val="28"/>
          <w:lang w:val="en-US" w:eastAsia="zh-CN"/>
        </w:rPr>
        <w:t>要求投标人必须进行现场勘察，确保施工现场满足设备的安装要求。</w:t>
      </w:r>
    </w:p>
    <w:p w14:paraId="797ADC8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黑体 ..K..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0A9591"/>
    <w:multiLevelType w:val="singleLevel"/>
    <w:tmpl w:val="9D0A9591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23AAFD5"/>
    <w:multiLevelType w:val="singleLevel"/>
    <w:tmpl w:val="A23AAFD5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AD98F810"/>
    <w:multiLevelType w:val="singleLevel"/>
    <w:tmpl w:val="AD98F810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813C09"/>
    <w:multiLevelType w:val="singleLevel"/>
    <w:tmpl w:val="73813C0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FF5FCE"/>
    <w:rsid w:val="09FF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  <w:rPr>
      <w:rFonts w:eastAsia="宋体"/>
      <w:kern w:val="2"/>
      <w:sz w:val="21"/>
      <w:szCs w:val="24"/>
      <w:lang w:val="en-US" w:eastAsia="zh-CN" w:bidi="ar-SA"/>
    </w:rPr>
  </w:style>
  <w:style w:type="paragraph" w:styleId="3">
    <w:name w:val="Body Text 2"/>
    <w:basedOn w:val="1"/>
    <w:qFormat/>
    <w:uiPriority w:val="0"/>
    <w:rPr>
      <w:rFonts w:hint="eastAsia" w:ascii="楷体_GB2312" w:eastAsia="楷体_GB2312"/>
      <w:b/>
      <w:bCs/>
      <w:sz w:val="32"/>
    </w:rPr>
  </w:style>
  <w:style w:type="paragraph" w:styleId="4">
    <w:name w:val="Body Text Indent"/>
    <w:basedOn w:val="1"/>
    <w:next w:val="5"/>
    <w:qFormat/>
    <w:uiPriority w:val="0"/>
    <w:pPr>
      <w:spacing w:after="120" w:afterLines="0"/>
      <w:ind w:left="420" w:leftChars="200"/>
    </w:pPr>
    <w:rPr>
      <w:rFonts w:eastAsia="宋体"/>
      <w:kern w:val="2"/>
      <w:sz w:val="21"/>
      <w:szCs w:val="24"/>
      <w:lang w:val="en-US" w:eastAsia="zh-CN" w:bidi="ar-SA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 ..K.." w:hAnsi="Times New Roman" w:eastAsia="黑体 ..K.." w:cs="黑体 ..K.."/>
      <w:color w:val="000000"/>
      <w:sz w:val="24"/>
      <w:szCs w:val="24"/>
      <w:lang w:val="en-US" w:eastAsia="zh-CN" w:bidi="ar-SA"/>
    </w:rPr>
  </w:style>
  <w:style w:type="paragraph" w:styleId="6">
    <w:name w:val="Body Text First Indent"/>
    <w:basedOn w:val="2"/>
    <w:next w:val="7"/>
    <w:qFormat/>
    <w:uiPriority w:val="0"/>
    <w:pPr>
      <w:spacing w:line="312" w:lineRule="auto"/>
      <w:ind w:firstLine="420"/>
    </w:pPr>
  </w:style>
  <w:style w:type="paragraph" w:styleId="7">
    <w:name w:val="Body Text First Indent 2"/>
    <w:basedOn w:val="4"/>
    <w:next w:val="1"/>
    <w:unhideWhenUsed/>
    <w:qFormat/>
    <w:uiPriority w:val="99"/>
    <w:pPr>
      <w:ind w:firstLine="420" w:firstLineChars="200"/>
    </w:pPr>
  </w:style>
  <w:style w:type="table" w:styleId="9">
    <w:name w:val="Table Grid"/>
    <w:basedOn w:val="8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11">
    <w:name w:val="※章节标题（第X章）"/>
    <w:basedOn w:val="1"/>
    <w:qFormat/>
    <w:uiPriority w:val="0"/>
    <w:pPr>
      <w:spacing w:line="240" w:lineRule="auto"/>
      <w:jc w:val="center"/>
      <w:outlineLvl w:val="0"/>
    </w:pPr>
    <w:rPr>
      <w:rFonts w:eastAsia="黑体"/>
      <w:sz w:val="3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2026-08-06T08:31:00Z</dcterms:created>
  <dc:creator>新晴</dc:creator>
  <cp:lastModifiedBy>新晴</cp:lastModifiedBy>
  <dcterms:modified xsi:type="dcterms:W3CDTF">2026-08-06T08:32:12Z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3A3EB241E7FF4C74AB56BF399DDD0E31_11</vt:lpwstr>
  </property>
  <property fmtid="{D5CDD505-2E9C-101B-9397-08002B2CF9AE}" pid="4" name="KSOTemplateDocerSaveRecord">
    <vt:lpwstr>eyJoZGlkIjoiOGRlODFjYzQ1OWU0NTY0MTIzZGZlNWMxMGExZGMxMTciLCJ1c2VySWQiOiIzNTk5ODE1MDIifQ==</vt:lpwstr>
  </property>
</Properties>
</file>