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313C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20"/>
          <w:szCs w:val="20"/>
          <w:lang w:eastAsia="zh-CN"/>
        </w:rPr>
      </w:pPr>
      <w:bookmarkStart w:id="0" w:name="_Hlk196316158"/>
      <w:r>
        <w:rPr>
          <w:rFonts w:hint="eastAsia" w:ascii="仿宋" w:hAnsi="仿宋" w:eastAsia="仿宋" w:cs="仿宋"/>
          <w:color w:val="auto"/>
          <w:sz w:val="20"/>
          <w:szCs w:val="20"/>
        </w:rPr>
        <w:t>本合同模板仅供参考，正式合同以双方盖章版为准</w:t>
      </w:r>
      <w:r>
        <w:rPr>
          <w:rFonts w:hint="eastAsia" w:ascii="仿宋" w:hAnsi="仿宋" w:eastAsia="仿宋" w:cs="仿宋"/>
          <w:color w:val="auto"/>
          <w:sz w:val="20"/>
          <w:szCs w:val="20"/>
          <w:lang w:eastAsia="zh-CN"/>
        </w:rPr>
        <w:t>。</w:t>
      </w:r>
      <w:bookmarkStart w:id="1" w:name="_GoBack"/>
      <w:bookmarkEnd w:id="1"/>
    </w:p>
    <w:p w14:paraId="43E84A12">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项目名称：</w:t>
      </w:r>
    </w:p>
    <w:p w14:paraId="3A5A1122">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项目编号：</w:t>
      </w:r>
    </w:p>
    <w:p w14:paraId="559B4EAA">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746F4A77">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291C88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color w:val="auto"/>
          <w:sz w:val="52"/>
          <w:szCs w:val="52"/>
          <w:lang w:val="en-US" w:eastAsia="zh-CN"/>
        </w:rPr>
      </w:pPr>
      <w:r>
        <w:rPr>
          <w:rFonts w:hint="eastAsia" w:ascii="仿宋" w:hAnsi="仿宋" w:eastAsia="仿宋" w:cs="仿宋"/>
          <w:b/>
          <w:color w:val="auto"/>
          <w:sz w:val="52"/>
          <w:szCs w:val="52"/>
          <w:lang w:val="en-US" w:eastAsia="zh-CN"/>
        </w:rPr>
        <w:t>项目名称</w:t>
      </w:r>
    </w:p>
    <w:p w14:paraId="3E08BA0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b/>
          <w:color w:val="auto"/>
          <w:sz w:val="52"/>
          <w:szCs w:val="52"/>
          <w:lang w:val="en-US" w:eastAsia="zh-CN"/>
        </w:rPr>
      </w:pPr>
      <w:r>
        <w:rPr>
          <w:rFonts w:hint="eastAsia" w:ascii="仿宋" w:hAnsi="仿宋" w:eastAsia="仿宋" w:cs="仿宋"/>
          <w:b/>
          <w:color w:val="auto"/>
          <w:sz w:val="52"/>
          <w:szCs w:val="52"/>
          <w:lang w:val="en-US" w:eastAsia="zh-CN"/>
        </w:rPr>
        <w:t>服务合同</w:t>
      </w:r>
    </w:p>
    <w:p w14:paraId="451C673E">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03D79D94">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290DB42D">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29FA247B">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bookmarkEnd w:id="0"/>
    <w:p w14:paraId="3B7C4A03">
      <w:pPr>
        <w:pageBreakBefore w:val="0"/>
        <w:kinsoku/>
        <w:wordWrap/>
        <w:overflowPunct/>
        <w:topLinePunct w:val="0"/>
        <w:autoSpaceDN/>
        <w:bidi w:val="0"/>
        <w:adjustRightInd w:val="0"/>
        <w:snapToGrid w:val="0"/>
        <w:spacing w:beforeAutospacing="0" w:after="0" w:afterAutospacing="0" w:line="360" w:lineRule="auto"/>
        <w:jc w:val="both"/>
        <w:rPr>
          <w:rFonts w:hint="eastAsia" w:ascii="华文仿宋" w:hAnsi="华文仿宋" w:eastAsia="华文仿宋"/>
          <w:sz w:val="24"/>
        </w:rPr>
      </w:pPr>
    </w:p>
    <w:p w14:paraId="78647BD5">
      <w:pPr>
        <w:pageBreakBefore w:val="0"/>
        <w:kinsoku/>
        <w:wordWrap/>
        <w:overflowPunct/>
        <w:topLinePunct w:val="0"/>
        <w:autoSpaceDN/>
        <w:bidi w:val="0"/>
        <w:adjustRightInd w:val="0"/>
        <w:snapToGrid w:val="0"/>
        <w:spacing w:beforeAutospacing="0" w:after="0" w:afterAutospacing="0" w:line="360" w:lineRule="auto"/>
        <w:jc w:val="both"/>
        <w:rPr>
          <w:rFonts w:hint="eastAsia" w:ascii="华文仿宋" w:hAnsi="华文仿宋" w:eastAsia="华文仿宋"/>
          <w:sz w:val="24"/>
        </w:rPr>
      </w:pPr>
    </w:p>
    <w:p w14:paraId="16D45540">
      <w:pPr>
        <w:keepNext w:val="0"/>
        <w:keepLines w:val="0"/>
        <w:pageBreakBefore w:val="0"/>
        <w:widowControl w:val="0"/>
        <w:kinsoku/>
        <w:wordWrap/>
        <w:overflowPunct/>
        <w:topLinePunct w:val="0"/>
        <w:autoSpaceDE/>
        <w:autoSpaceDN/>
        <w:bidi w:val="0"/>
        <w:adjustRightInd/>
        <w:snapToGrid/>
        <w:spacing w:line="578" w:lineRule="exact"/>
        <w:ind w:firstLine="2080" w:firstLineChars="65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甲  方：</w:t>
      </w:r>
    </w:p>
    <w:p w14:paraId="376129F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乙  方：</w:t>
      </w:r>
    </w:p>
    <w:p w14:paraId="40F1C180">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 w:hAnsi="仿宋" w:eastAsia="仿宋" w:cs="仿宋"/>
          <w:color w:val="auto"/>
          <w:sz w:val="32"/>
          <w:szCs w:val="32"/>
        </w:rPr>
      </w:pPr>
    </w:p>
    <w:p w14:paraId="6F752BC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rPr>
      </w:pPr>
    </w:p>
    <w:p w14:paraId="09569A9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rPr>
      </w:pPr>
    </w:p>
    <w:p w14:paraId="6C5CBB7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u w:val="single"/>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月</w:t>
      </w:r>
    </w:p>
    <w:p w14:paraId="04B2C148">
      <w:pPr>
        <w:jc w:val="both"/>
        <w:rPr>
          <w:rFonts w:hint="eastAsia" w:ascii="仿宋" w:hAnsi="仿宋" w:eastAsia="仿宋" w:cs="仿宋"/>
          <w:b/>
          <w:color w:val="auto"/>
          <w:sz w:val="28"/>
          <w:szCs w:val="28"/>
        </w:rPr>
      </w:pPr>
    </w:p>
    <w:p w14:paraId="6BBC1A30">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服 务 合 同</w:t>
      </w:r>
    </w:p>
    <w:p w14:paraId="2C208BA2">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甲方：</w:t>
      </w:r>
    </w:p>
    <w:p w14:paraId="258A3F33">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乙方：</w:t>
      </w:r>
    </w:p>
    <w:p w14:paraId="2C43BE3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就所需服务，按照采购程序组织公开招标，确定乙方为中标供应商。依据《中华人民共和国招标投标法》及实施条例、《中华人民共和国政府采购法》及实施条例、《中华人民共和国民法典》、中标供应商投标文件正本、中标通知书，经甲、乙双方协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确认，达成如下</w:t>
      </w:r>
      <w:r>
        <w:rPr>
          <w:rFonts w:hint="eastAsia" w:ascii="仿宋" w:hAnsi="仿宋" w:eastAsia="仿宋" w:cs="仿宋"/>
          <w:color w:val="auto"/>
          <w:sz w:val="28"/>
          <w:szCs w:val="28"/>
          <w:lang w:val="en-US" w:eastAsia="zh-CN"/>
        </w:rPr>
        <w:t>合同</w:t>
      </w:r>
      <w:r>
        <w:rPr>
          <w:rFonts w:hint="eastAsia" w:ascii="仿宋" w:hAnsi="仿宋" w:eastAsia="仿宋" w:cs="仿宋"/>
          <w:color w:val="auto"/>
          <w:sz w:val="28"/>
          <w:szCs w:val="28"/>
        </w:rPr>
        <w:t>条款。</w:t>
      </w:r>
    </w:p>
    <w:p w14:paraId="5B7F1611">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合同标的物内容</w:t>
      </w:r>
      <w:r>
        <w:rPr>
          <w:rFonts w:hint="eastAsia" w:ascii="仿宋" w:hAnsi="仿宋" w:eastAsia="仿宋" w:cs="仿宋"/>
          <w:b/>
          <w:bCs/>
          <w:color w:val="auto"/>
          <w:sz w:val="28"/>
          <w:szCs w:val="28"/>
          <w:lang w:val="en-US" w:eastAsia="zh-CN"/>
        </w:rPr>
        <w:t>与数量</w:t>
      </w:r>
    </w:p>
    <w:tbl>
      <w:tblPr>
        <w:tblStyle w:val="4"/>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625"/>
        <w:gridCol w:w="1710"/>
        <w:gridCol w:w="885"/>
        <w:gridCol w:w="2400"/>
      </w:tblGrid>
      <w:tr w14:paraId="358D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59" w:type="dxa"/>
            <w:noWrap w:val="0"/>
            <w:vAlign w:val="center"/>
          </w:tcPr>
          <w:p w14:paraId="02D6C40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2625" w:type="dxa"/>
            <w:noWrap w:val="0"/>
            <w:vAlign w:val="center"/>
          </w:tcPr>
          <w:p w14:paraId="5904007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产品</w:t>
            </w:r>
            <w:r>
              <w:rPr>
                <w:rFonts w:hint="eastAsia" w:ascii="仿宋" w:hAnsi="仿宋" w:eastAsia="仿宋" w:cs="仿宋"/>
                <w:color w:val="auto"/>
                <w:szCs w:val="21"/>
              </w:rPr>
              <w:t>名称</w:t>
            </w:r>
          </w:p>
        </w:tc>
        <w:tc>
          <w:tcPr>
            <w:tcW w:w="1710" w:type="dxa"/>
            <w:noWrap w:val="0"/>
            <w:vAlign w:val="center"/>
          </w:tcPr>
          <w:p w14:paraId="5CE1824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85" w:type="dxa"/>
            <w:noWrap w:val="0"/>
            <w:vAlign w:val="center"/>
          </w:tcPr>
          <w:p w14:paraId="2A9CBD8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2400" w:type="dxa"/>
            <w:noWrap w:val="0"/>
            <w:vAlign w:val="center"/>
          </w:tcPr>
          <w:p w14:paraId="53702BF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金额合计（小写）</w:t>
            </w:r>
          </w:p>
        </w:tc>
      </w:tr>
      <w:tr w14:paraId="4C1A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59" w:type="dxa"/>
            <w:noWrap w:val="0"/>
            <w:vAlign w:val="center"/>
          </w:tcPr>
          <w:p w14:paraId="1007560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1</w:t>
            </w:r>
          </w:p>
        </w:tc>
        <w:tc>
          <w:tcPr>
            <w:tcW w:w="2625" w:type="dxa"/>
            <w:noWrap w:val="0"/>
            <w:vAlign w:val="center"/>
          </w:tcPr>
          <w:p w14:paraId="4EE4C90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p>
        </w:tc>
        <w:tc>
          <w:tcPr>
            <w:tcW w:w="1710" w:type="dxa"/>
            <w:noWrap w:val="0"/>
            <w:vAlign w:val="center"/>
          </w:tcPr>
          <w:p w14:paraId="4B048D2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p>
        </w:tc>
        <w:tc>
          <w:tcPr>
            <w:tcW w:w="885" w:type="dxa"/>
            <w:noWrap w:val="0"/>
            <w:vAlign w:val="center"/>
          </w:tcPr>
          <w:p w14:paraId="4EF6C3F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p>
        </w:tc>
        <w:tc>
          <w:tcPr>
            <w:tcW w:w="2400" w:type="dxa"/>
            <w:noWrap w:val="0"/>
            <w:vAlign w:val="center"/>
          </w:tcPr>
          <w:p w14:paraId="13386FA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元</w:t>
            </w:r>
          </w:p>
        </w:tc>
      </w:tr>
      <w:tr w14:paraId="672B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8679" w:type="dxa"/>
            <w:gridSpan w:val="5"/>
            <w:noWrap w:val="0"/>
            <w:vAlign w:val="center"/>
          </w:tcPr>
          <w:p w14:paraId="63A43ED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合同金额人民币（大写）：       元整（￥           ）</w:t>
            </w:r>
          </w:p>
        </w:tc>
      </w:tr>
    </w:tbl>
    <w:p w14:paraId="3937DC5A">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备注：上述采购金额包括：</w:t>
      </w:r>
    </w:p>
    <w:p w14:paraId="079386F1">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软件产品采购费；</w:t>
      </w:r>
    </w:p>
    <w:p w14:paraId="62E99B82">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支撑环境产品采购费；</w:t>
      </w:r>
    </w:p>
    <w:p w14:paraId="3DCA94AA">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数据迁移及网络线路改造相关费用；</w:t>
      </w:r>
    </w:p>
    <w:p w14:paraId="7B4DFA03">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乙方应付税费；</w:t>
      </w:r>
    </w:p>
    <w:p w14:paraId="51AFE878">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实施项目方案的制定、需求调研、初始化、安装调试、培训费；</w:t>
      </w:r>
    </w:p>
    <w:p w14:paraId="6470C707">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乙方承担的软件接口开发费用；</w:t>
      </w:r>
    </w:p>
    <w:p w14:paraId="3E742780">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项目验收通过后三年内的售后服务（包括远程维护、电话指导、现场维护）等；</w:t>
      </w:r>
    </w:p>
    <w:p w14:paraId="70D3368C">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乙方提供的软件三年内免费升级；</w:t>
      </w:r>
    </w:p>
    <w:p w14:paraId="7316FA33">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ind w:left="0" w:leftChars="0" w:firstLine="0" w:firstLineChars="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明细报价表</w:t>
      </w:r>
    </w:p>
    <w:p w14:paraId="11F4956F">
      <w:pPr>
        <w:keepNext w:val="0"/>
        <w:keepLines w:val="0"/>
        <w:pageBreakBefore w:val="0"/>
        <w:widowControl w:val="0"/>
        <w:numPr>
          <w:ilvl w:val="0"/>
          <w:numId w:val="3"/>
        </w:numPr>
        <w:tabs>
          <w:tab w:val="left" w:pos="480"/>
          <w:tab w:val="clear" w:pos="312"/>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软件</w:t>
      </w:r>
    </w:p>
    <w:tbl>
      <w:tblPr>
        <w:tblStyle w:val="4"/>
        <w:tblW w:w="9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875"/>
        <w:gridCol w:w="1757"/>
        <w:gridCol w:w="851"/>
        <w:gridCol w:w="807"/>
        <w:gridCol w:w="1155"/>
        <w:gridCol w:w="1230"/>
      </w:tblGrid>
      <w:tr w14:paraId="51A1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72AB0F4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2875" w:type="dxa"/>
            <w:noWrap w:val="0"/>
            <w:vAlign w:val="center"/>
          </w:tcPr>
          <w:p w14:paraId="61A595A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产品名称</w:t>
            </w:r>
          </w:p>
        </w:tc>
        <w:tc>
          <w:tcPr>
            <w:tcW w:w="1757" w:type="dxa"/>
            <w:noWrap w:val="0"/>
            <w:vAlign w:val="center"/>
          </w:tcPr>
          <w:p w14:paraId="05170ED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rPr>
              <w:t>功能</w:t>
            </w:r>
            <w:r>
              <w:rPr>
                <w:rFonts w:hint="eastAsia" w:ascii="仿宋" w:hAnsi="仿宋" w:eastAsia="仿宋" w:cs="仿宋"/>
                <w:color w:val="auto"/>
                <w:szCs w:val="21"/>
                <w:lang w:val="en-US" w:eastAsia="zh-CN"/>
              </w:rPr>
              <w:t>模块</w:t>
            </w:r>
          </w:p>
        </w:tc>
        <w:tc>
          <w:tcPr>
            <w:tcW w:w="851" w:type="dxa"/>
            <w:noWrap w:val="0"/>
            <w:vAlign w:val="center"/>
          </w:tcPr>
          <w:p w14:paraId="41A2252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07" w:type="dxa"/>
            <w:noWrap w:val="0"/>
            <w:vAlign w:val="top"/>
          </w:tcPr>
          <w:p w14:paraId="749EE1A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1155" w:type="dxa"/>
            <w:noWrap w:val="0"/>
            <w:vAlign w:val="top"/>
          </w:tcPr>
          <w:p w14:paraId="53B013D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单价（元）</w:t>
            </w:r>
          </w:p>
        </w:tc>
        <w:tc>
          <w:tcPr>
            <w:tcW w:w="1230" w:type="dxa"/>
            <w:noWrap w:val="0"/>
            <w:vAlign w:val="center"/>
          </w:tcPr>
          <w:p w14:paraId="1AFA64E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合计（元）</w:t>
            </w:r>
          </w:p>
        </w:tc>
      </w:tr>
      <w:tr w14:paraId="124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00CF156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1C021F9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517DAFD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4F785CB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3D0AE18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3DFE76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5240F8B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1A95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50D37DA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5930E32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07A0DCD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5E81C2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0759685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2077384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7F66D8B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FA5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549FE15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550A28D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0383359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00BF6F3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259DA3B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5C41516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42E2237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28E3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514B694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06F061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2A9519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6AB579F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0FFF69D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444F31A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0EEC8F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03C0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5AF182E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7749356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03B20DC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0C5A957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31C4095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E6634D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50E7E6A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B95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1984A01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701C6B7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20097B9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33BC79B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177FB82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15088C8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208FF0F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50F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7F0C637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5B82F7F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5320842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5266457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64FF5AD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CCA911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75BF335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741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5C7A8C1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434154D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7294412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0024EEE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69672C7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2DA515E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62F7D8D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bl>
    <w:p w14:paraId="69DF4581">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p>
    <w:p w14:paraId="14B427EA">
      <w:pPr>
        <w:keepNext w:val="0"/>
        <w:keepLines w:val="0"/>
        <w:pageBreakBefore w:val="0"/>
        <w:widowControl w:val="0"/>
        <w:numPr>
          <w:ilvl w:val="0"/>
          <w:numId w:val="3"/>
        </w:numPr>
        <w:tabs>
          <w:tab w:val="left" w:pos="480"/>
          <w:tab w:val="clear" w:pos="312"/>
        </w:tabs>
        <w:kinsoku/>
        <w:wordWrap/>
        <w:overflowPunct/>
        <w:topLinePunct w:val="0"/>
        <w:autoSpaceDE/>
        <w:autoSpaceDN/>
        <w:bidi w:val="0"/>
        <w:adjustRightInd/>
        <w:snapToGrid/>
        <w:spacing w:line="578" w:lineRule="exact"/>
        <w:ind w:left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支撑环境（硬件）</w:t>
      </w:r>
    </w:p>
    <w:tbl>
      <w:tblPr>
        <w:tblStyle w:val="4"/>
        <w:tblpPr w:leftFromText="180" w:rightFromText="180" w:vertAnchor="text" w:horzAnchor="page" w:tblpXSpec="center" w:tblpY="103"/>
        <w:tblOverlap w:val="never"/>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247"/>
        <w:gridCol w:w="1140"/>
        <w:gridCol w:w="1527"/>
        <w:gridCol w:w="709"/>
        <w:gridCol w:w="859"/>
        <w:gridCol w:w="859"/>
        <w:gridCol w:w="914"/>
        <w:gridCol w:w="2032"/>
      </w:tblGrid>
      <w:tr w14:paraId="7183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60A35E7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1247" w:type="dxa"/>
            <w:tcBorders>
              <w:top w:val="single" w:color="auto" w:sz="4" w:space="0"/>
              <w:left w:val="nil"/>
              <w:bottom w:val="single" w:color="auto" w:sz="4" w:space="0"/>
              <w:right w:val="single" w:color="auto" w:sz="4" w:space="0"/>
            </w:tcBorders>
            <w:noWrap w:val="0"/>
            <w:vAlign w:val="center"/>
          </w:tcPr>
          <w:p w14:paraId="2ABD9E6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产品</w:t>
            </w:r>
            <w:r>
              <w:rPr>
                <w:rFonts w:hint="eastAsia" w:ascii="仿宋" w:hAnsi="仿宋" w:eastAsia="仿宋" w:cs="仿宋"/>
                <w:color w:val="auto"/>
                <w:szCs w:val="21"/>
              </w:rPr>
              <w:t>名称</w:t>
            </w:r>
          </w:p>
        </w:tc>
        <w:tc>
          <w:tcPr>
            <w:tcW w:w="1140" w:type="dxa"/>
            <w:tcBorders>
              <w:top w:val="single" w:color="auto" w:sz="4" w:space="0"/>
              <w:left w:val="nil"/>
              <w:bottom w:val="single" w:color="auto" w:sz="4" w:space="0"/>
              <w:right w:val="single" w:color="auto" w:sz="4" w:space="0"/>
            </w:tcBorders>
            <w:noWrap w:val="0"/>
            <w:vAlign w:val="center"/>
          </w:tcPr>
          <w:p w14:paraId="20121F0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规格型号</w:t>
            </w:r>
          </w:p>
        </w:tc>
        <w:tc>
          <w:tcPr>
            <w:tcW w:w="1527" w:type="dxa"/>
            <w:tcBorders>
              <w:top w:val="single" w:color="auto" w:sz="4" w:space="0"/>
              <w:left w:val="nil"/>
              <w:bottom w:val="single" w:color="auto" w:sz="4" w:space="0"/>
              <w:right w:val="single" w:color="auto" w:sz="4" w:space="0"/>
            </w:tcBorders>
            <w:noWrap w:val="0"/>
            <w:vAlign w:val="center"/>
          </w:tcPr>
          <w:p w14:paraId="0FB148B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生产厂家</w:t>
            </w:r>
          </w:p>
        </w:tc>
        <w:tc>
          <w:tcPr>
            <w:tcW w:w="709" w:type="dxa"/>
            <w:tcBorders>
              <w:top w:val="single" w:color="auto" w:sz="4" w:space="0"/>
              <w:left w:val="nil"/>
              <w:bottom w:val="single" w:color="auto" w:sz="4" w:space="0"/>
              <w:right w:val="single" w:color="auto" w:sz="4" w:space="0"/>
            </w:tcBorders>
            <w:noWrap w:val="0"/>
            <w:vAlign w:val="center"/>
          </w:tcPr>
          <w:p w14:paraId="64D6742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59" w:type="dxa"/>
            <w:tcBorders>
              <w:top w:val="single" w:color="auto" w:sz="4" w:space="0"/>
              <w:left w:val="nil"/>
              <w:bottom w:val="single" w:color="auto" w:sz="4" w:space="0"/>
              <w:right w:val="single" w:color="auto" w:sz="4" w:space="0"/>
            </w:tcBorders>
            <w:noWrap w:val="0"/>
            <w:vAlign w:val="center"/>
          </w:tcPr>
          <w:p w14:paraId="55D0F20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859" w:type="dxa"/>
            <w:tcBorders>
              <w:top w:val="single" w:color="auto" w:sz="4" w:space="0"/>
              <w:left w:val="nil"/>
              <w:bottom w:val="single" w:color="auto" w:sz="4" w:space="0"/>
              <w:right w:val="single" w:color="auto" w:sz="4" w:space="0"/>
            </w:tcBorders>
            <w:noWrap w:val="0"/>
            <w:vAlign w:val="center"/>
          </w:tcPr>
          <w:p w14:paraId="5EFABE4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单价（元）</w:t>
            </w:r>
          </w:p>
        </w:tc>
        <w:tc>
          <w:tcPr>
            <w:tcW w:w="914" w:type="dxa"/>
            <w:tcBorders>
              <w:top w:val="single" w:color="auto" w:sz="4" w:space="0"/>
              <w:left w:val="nil"/>
              <w:bottom w:val="single" w:color="auto" w:sz="4" w:space="0"/>
              <w:right w:val="single" w:color="auto" w:sz="4" w:space="0"/>
            </w:tcBorders>
            <w:noWrap w:val="0"/>
            <w:vAlign w:val="center"/>
          </w:tcPr>
          <w:p w14:paraId="72B3B1E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合计</w:t>
            </w:r>
            <w:r>
              <w:rPr>
                <w:rFonts w:hint="eastAsia" w:ascii="仿宋" w:hAnsi="仿宋" w:eastAsia="仿宋" w:cs="仿宋"/>
                <w:color w:val="auto"/>
                <w:szCs w:val="21"/>
              </w:rPr>
              <w:t>（元）</w:t>
            </w:r>
          </w:p>
        </w:tc>
        <w:tc>
          <w:tcPr>
            <w:tcW w:w="2032" w:type="dxa"/>
            <w:tcBorders>
              <w:top w:val="single" w:color="auto" w:sz="4" w:space="0"/>
              <w:left w:val="nil"/>
              <w:bottom w:val="single" w:color="auto" w:sz="4" w:space="0"/>
              <w:right w:val="single" w:color="auto" w:sz="4" w:space="0"/>
            </w:tcBorders>
            <w:noWrap w:val="0"/>
            <w:vAlign w:val="center"/>
          </w:tcPr>
          <w:p w14:paraId="10F47FF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功能要求及</w:t>
            </w:r>
          </w:p>
          <w:p w14:paraId="156477B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技术规格</w:t>
            </w:r>
          </w:p>
        </w:tc>
      </w:tr>
      <w:tr w14:paraId="6DE7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0669744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50D8093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3EAA61D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38DFE58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420EBBD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14190CE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2CB54F7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04BC990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3049249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368F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46D477C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3559E82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6CCB38B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026EE30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5A2AA61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05C8D9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5581E02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4E1B470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6B55806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706E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23D9A58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251B0EB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7E87948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3A7F15A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770CD0D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08D79C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21D639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5A15295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651212E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54E5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79CFE02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2D38DD4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307EAB4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705DD2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64B4F45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0D9E0AF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101F98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681EC75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44EE07D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182D4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768A895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56E536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717B441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3F5A45A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0ADBC0D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4ED6DC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1AEFC2A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16F99E9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4772DD1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26D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27BFAF6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688EEAC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46F732E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40479C9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26BED1E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0EC0593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0F1FE64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1A2880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5C6213D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5871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7D8E140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0BE138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6F4EB5F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0D2A7CA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1D2AF5D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07EF2DA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335735B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08401EA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4A3A055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841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2FEF2F9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3762687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081BA70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6C82828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0DDAE94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2E2BED0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15ED15B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58A8F5A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0A74A0B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5EAA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7BA9A90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6185571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622F8C4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0952563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163D326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759E54B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1020FE1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7495602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07BE183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bl>
    <w:p w14:paraId="53CA9CD8">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ind w:left="0" w:leftChars="0" w:firstLine="0" w:firstLineChars="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合同价款</w:t>
      </w:r>
    </w:p>
    <w:p w14:paraId="60539E0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合同总价款人民币（大写）：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元整 （￥             ）</w:t>
      </w:r>
      <w:r>
        <w:rPr>
          <w:rFonts w:hint="eastAsia" w:ascii="仿宋" w:hAnsi="仿宋" w:eastAsia="仿宋" w:cs="仿宋"/>
          <w:color w:val="auto"/>
          <w:sz w:val="28"/>
          <w:szCs w:val="28"/>
          <w:lang w:eastAsia="zh-CN"/>
        </w:rPr>
        <w:t>。</w:t>
      </w:r>
    </w:p>
    <w:p w14:paraId="0953359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（二）合同总价包括：软硬件供应费、运杂费、安装费、备件费、连接线、人工费、检测费、调试费、验收、税费、发票等</w:t>
      </w:r>
      <w:r>
        <w:rPr>
          <w:rFonts w:hint="eastAsia" w:ascii="仿宋" w:hAnsi="仿宋" w:eastAsia="仿宋" w:cs="仿宋"/>
          <w:bCs/>
          <w:color w:val="auto"/>
          <w:sz w:val="28"/>
          <w:szCs w:val="28"/>
        </w:rPr>
        <w:t>其它乙方履行合同义务所需的全部</w:t>
      </w:r>
      <w:r>
        <w:rPr>
          <w:rFonts w:hint="eastAsia" w:ascii="仿宋" w:hAnsi="仿宋" w:eastAsia="仿宋" w:cs="仿宋"/>
          <w:color w:val="auto"/>
          <w:sz w:val="28"/>
          <w:szCs w:val="28"/>
        </w:rPr>
        <w:t>费用。</w:t>
      </w:r>
    </w:p>
    <w:p w14:paraId="0F06393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（三）合同金额一次性包死，不受市场价格变化等因素的影响，达到“交钥匙”项目目的。</w:t>
      </w:r>
    </w:p>
    <w:p w14:paraId="1937AFFB">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四、实施条件</w:t>
      </w:r>
    </w:p>
    <w:p w14:paraId="09A2D8E1">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（一）实施地点：甲方指定地点。</w:t>
      </w:r>
    </w:p>
    <w:p w14:paraId="754A0E95">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（二）工期：</w:t>
      </w:r>
    </w:p>
    <w:p w14:paraId="2AF378A6">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(1)支撑环境：</w:t>
      </w:r>
    </w:p>
    <w:p w14:paraId="68408C62">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(2)软件：</w:t>
      </w:r>
    </w:p>
    <w:p w14:paraId="500A62A9">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五、验收条款</w:t>
      </w:r>
    </w:p>
    <w:p w14:paraId="656F156F">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lang w:val="en-US" w:eastAsia="zh-CN"/>
        </w:rPr>
        <w:t>（一）所有项目按照</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招标文件</w:t>
      </w:r>
      <w:r>
        <w:rPr>
          <w:rFonts w:hint="eastAsia" w:ascii="仿宋" w:hAnsi="仿宋" w:eastAsia="仿宋" w:cs="仿宋"/>
          <w:color w:val="auto"/>
          <w:sz w:val="30"/>
          <w:szCs w:val="30"/>
          <w:highlight w:val="none"/>
        </w:rPr>
        <w:t>和乙方投标文件中的要求</w:t>
      </w:r>
      <w:r>
        <w:rPr>
          <w:rFonts w:hint="eastAsia" w:ascii="仿宋" w:hAnsi="仿宋" w:eastAsia="仿宋" w:cs="仿宋"/>
          <w:color w:val="auto"/>
          <w:sz w:val="30"/>
          <w:szCs w:val="30"/>
          <w:highlight w:val="none"/>
          <w:lang w:val="en-US" w:eastAsia="zh-CN"/>
        </w:rPr>
        <w:t>实施、调试完成，支撑环境：自合同签订之日起8个月内完成实施。软件：系统上线运行后，由供应商提出试运行，试运行结束医院满意并稳定运行1个月后由乙方提出验收申请，</w:t>
      </w:r>
      <w:r>
        <w:rPr>
          <w:rFonts w:hint="eastAsia" w:ascii="仿宋" w:hAnsi="仿宋" w:eastAsia="仿宋" w:cs="仿宋"/>
          <w:color w:val="auto"/>
          <w:sz w:val="30"/>
          <w:szCs w:val="30"/>
          <w:highlight w:val="none"/>
        </w:rPr>
        <w:t>确认项目完成，乙方进行自检，自检合格后，准备验收文件，并书面通知甲方。</w:t>
      </w:r>
      <w:r>
        <w:rPr>
          <w:rFonts w:hint="eastAsia" w:ascii="仿宋" w:hAnsi="仿宋" w:eastAsia="仿宋" w:cs="仿宋"/>
          <w:color w:val="auto"/>
          <w:sz w:val="30"/>
          <w:szCs w:val="30"/>
          <w:highlight w:val="none"/>
          <w:lang w:val="en-US" w:eastAsia="zh-CN"/>
        </w:rPr>
        <w:t>验收文档包括但不限于用户调查与需求分析报告、项目实施计划、项目实施过程文档、功能规格说明书、用户使用报告、系统维护手册、用户操作手册、培训资料、系统功能验证报告等。</w:t>
      </w:r>
    </w:p>
    <w:p w14:paraId="65F3AC29">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（二）甲方确认乙方的自检内容后，组织乙方（必要时请有关专家）进行项目验收。符合本合同约定的，甲方应当验收。对于不符合合同规定的内容，甲方可以拒绝验收。</w:t>
      </w:r>
    </w:p>
    <w:p w14:paraId="6549DECA">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三）整体验收：项目整体实施结束，合同所有内容由渭南市第二医院期院内验收合格后，甲方提请渭南市卫健委组织或渭南市第二医院专家进行项目整体验收，卫健委或渭南市第二医院验收合格后，填写政府采购项目履约验收单（一式五份）作为对项目的整体认可。</w:t>
      </w:r>
    </w:p>
    <w:p w14:paraId="10EE95C5">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（五）乙方向甲方提交项目实施过程中的所有资料，以便甲方日后管理和维护。</w:t>
      </w:r>
    </w:p>
    <w:p w14:paraId="2818BA33">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（六）验收依据</w:t>
      </w:r>
    </w:p>
    <w:p w14:paraId="54FCE1F5">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①招标文件、投标文件、澄清表（函）；</w:t>
      </w:r>
    </w:p>
    <w:p w14:paraId="539306AA">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②本合同及附件文本；</w:t>
      </w:r>
    </w:p>
    <w:p w14:paraId="26311F48">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③国家相应的标准、规范；</w:t>
      </w:r>
    </w:p>
    <w:p w14:paraId="45BB73D6">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default" w:ascii="仿宋" w:hAnsi="仿宋" w:eastAsia="仿宋" w:cs="仿宋"/>
          <w:b/>
          <w:bCs/>
          <w:color w:val="auto"/>
          <w:sz w:val="30"/>
          <w:szCs w:val="30"/>
          <w:highlight w:val="none"/>
          <w:lang w:val="en-US" w:eastAsia="zh-CN"/>
        </w:rPr>
      </w:pPr>
      <w:r>
        <w:rPr>
          <w:rFonts w:hint="eastAsia" w:ascii="仿宋" w:hAnsi="仿宋" w:eastAsia="仿宋" w:cs="仿宋"/>
          <w:bCs/>
          <w:color w:val="auto"/>
          <w:sz w:val="30"/>
          <w:szCs w:val="30"/>
          <w:lang w:val="en-US" w:eastAsia="zh-CN"/>
        </w:rPr>
        <w:t>④其他资料；（如用户调查与需求分析报告、项目实施计划、项目实施过程文档、功能规格说明书、用户使用报告、系统维护手册、用户操作手册、培训资料、系统功能验证报告等）。</w:t>
      </w:r>
    </w:p>
    <w:p w14:paraId="5756C8D3">
      <w:pPr>
        <w:keepNext w:val="0"/>
        <w:keepLines w:val="0"/>
        <w:pageBreakBefore w:val="0"/>
        <w:widowControl w:val="0"/>
        <w:numPr>
          <w:ilvl w:val="0"/>
          <w:numId w:val="4"/>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000000"/>
          <w:sz w:val="30"/>
          <w:szCs w:val="30"/>
          <w:highlight w:val="none"/>
          <w:lang w:val="en-US" w:eastAsia="zh-CN"/>
        </w:rPr>
        <w:t>付款方式与期限</w:t>
      </w:r>
    </w:p>
    <w:p w14:paraId="1D36E2DB">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付款条件说明：</w:t>
      </w:r>
    </w:p>
    <w:p w14:paraId="2DAADDC3">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840" w:firstLineChars="3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本次项目合同签订后两个月内付款40%；以项目正式上线使用为节点一年后付款30%；以项目正式上线使用为节点二年后付款25%；以项目正式上线使用为节点三年后付款5%，提供免费维保三年。</w:t>
      </w:r>
    </w:p>
    <w:p w14:paraId="2507A1D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）支付方式：银行转账。</w:t>
      </w:r>
    </w:p>
    <w:p w14:paraId="0E538E3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乙方确认以下信息为收款信息：</w:t>
      </w:r>
    </w:p>
    <w:p w14:paraId="09029B1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开户名：</w:t>
      </w:r>
    </w:p>
    <w:p w14:paraId="1686D1D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开户行：</w:t>
      </w:r>
    </w:p>
    <w:p w14:paraId="362412E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银行账号：</w:t>
      </w:r>
    </w:p>
    <w:p w14:paraId="6E9883AC">
      <w:pPr>
        <w:keepNext w:val="0"/>
        <w:keepLines w:val="0"/>
        <w:pageBreakBefore w:val="0"/>
        <w:widowControl w:val="0"/>
        <w:numPr>
          <w:ilvl w:val="0"/>
          <w:numId w:val="5"/>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结算方式：验收合格后乙方填写项目验收单（一式六份），发票按合同总价直开甲方，乙方持服务合同、发票、项目验收单，与甲方结算。乙方延期提供发票或提供的发票不符合甲方要求的，甲方有权顺延付款期限，且不承担任何责任。</w:t>
      </w:r>
    </w:p>
    <w:p w14:paraId="47A9641C">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项目联系人及方式</w:t>
      </w:r>
    </w:p>
    <w:p w14:paraId="7126B429">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甲方项目联系人：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乙方项目联系人： </w:t>
      </w:r>
    </w:p>
    <w:p w14:paraId="1A03DA71">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联系电话：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联系电话：</w:t>
      </w:r>
    </w:p>
    <w:p w14:paraId="44818DC8">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联系邮箱：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联系邮箱：</w:t>
      </w:r>
    </w:p>
    <w:p w14:paraId="2F387F5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为甲方项目联系人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乙方指定     为乙方项目联系人。一方变更项目联系人的，应当及时以书面形式通知另一方。未及时通知并影响本合同履行或造成损失的，应承担相应的责任。</w:t>
      </w:r>
    </w:p>
    <w:p w14:paraId="1FAA9510">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Calibri" w:hAnsi="Calibri" w:eastAsia="仿宋" w:cs="Calibri"/>
          <w:b/>
          <w:bCs/>
          <w:color w:val="auto"/>
          <w:sz w:val="30"/>
          <w:szCs w:val="30"/>
          <w:lang w:val="en-US" w:eastAsia="zh-CN"/>
        </w:rPr>
      </w:pPr>
      <w:r>
        <w:rPr>
          <w:rFonts w:hint="eastAsia" w:ascii="Calibri" w:hAnsi="Calibri" w:eastAsia="仿宋" w:cs="Calibri"/>
          <w:b/>
          <w:bCs/>
          <w:color w:val="auto"/>
          <w:sz w:val="30"/>
          <w:szCs w:val="30"/>
          <w:lang w:val="en-US" w:eastAsia="zh-CN"/>
        </w:rPr>
        <w:t>八、技术服务</w:t>
      </w:r>
    </w:p>
    <w:p w14:paraId="4B5E1E56">
      <w:pPr>
        <w:keepNext w:val="0"/>
        <w:keepLines w:val="0"/>
        <w:pageBreakBefore w:val="0"/>
        <w:widowControl w:val="0"/>
        <w:numPr>
          <w:ilvl w:val="0"/>
          <w:numId w:val="6"/>
        </w:numPr>
        <w:tabs>
          <w:tab w:val="left" w:pos="480"/>
          <w:tab w:val="clear" w:pos="312"/>
        </w:tabs>
        <w:kinsoku/>
        <w:wordWrap/>
        <w:overflowPunct/>
        <w:topLinePunct w:val="0"/>
        <w:autoSpaceDE/>
        <w:autoSpaceDN/>
        <w:bidi w:val="0"/>
        <w:adjustRightInd/>
        <w:snapToGrid/>
        <w:spacing w:line="578" w:lineRule="exact"/>
        <w:ind w:leftChars="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服务内容</w:t>
      </w:r>
    </w:p>
    <w:p w14:paraId="0FA56C4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甲乙双方各指派人员组成项目组，管理本项目的实施。</w:t>
      </w:r>
    </w:p>
    <w:p w14:paraId="1E96A534">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甲乙双方在确定项目组成员后，需以书面形式通知另一方。在服务过程中需要更换项目组成员且该项目组成员负责本项目的重要内容，更换一方需提前征得另一方书面同意，另一方应及时审查更换方提出的书面建议，双方在合理、善意、维护双方利益的基础上讨论更换事宜。</w:t>
      </w:r>
    </w:p>
    <w:p w14:paraId="1179B12C">
      <w:pPr>
        <w:keepNext w:val="0"/>
        <w:keepLines w:val="0"/>
        <w:pageBreakBefore w:val="0"/>
        <w:widowControl w:val="0"/>
        <w:numPr>
          <w:ilvl w:val="0"/>
          <w:numId w:val="6"/>
        </w:numPr>
        <w:tabs>
          <w:tab w:val="left" w:pos="480"/>
          <w:tab w:val="clear" w:pos="312"/>
        </w:tabs>
        <w:kinsoku/>
        <w:wordWrap/>
        <w:overflowPunct/>
        <w:topLinePunct w:val="0"/>
        <w:autoSpaceDE/>
        <w:autoSpaceDN/>
        <w:bidi w:val="0"/>
        <w:adjustRightInd/>
        <w:snapToGrid/>
        <w:spacing w:line="578" w:lineRule="exact"/>
        <w:ind w:left="0" w:leftChars="0" w:firstLine="0" w:firstLineChars="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服务方式</w:t>
      </w:r>
    </w:p>
    <w:p w14:paraId="49BB1507">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为了更好的满足甲方的需求，乙方项目组成员在实施过程中可阶段性的向甲方征集项目需要；若甲方提出变更《项目需求说明书》，需双方协商一致后重新签订变更后的《项目需求说明书》，且由双方管理人员签字确认。</w:t>
      </w:r>
    </w:p>
    <w:p w14:paraId="45E1961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Calibri" w:hAnsi="Calibri" w:eastAsia="仿宋" w:cs="Calibri"/>
          <w:b/>
          <w:bCs/>
          <w:color w:val="auto"/>
          <w:sz w:val="28"/>
          <w:szCs w:val="28"/>
          <w:lang w:val="en-US" w:eastAsia="zh-CN"/>
        </w:rPr>
        <w:t>九、</w:t>
      </w:r>
      <w:r>
        <w:rPr>
          <w:rFonts w:hint="eastAsia" w:ascii="仿宋" w:hAnsi="仿宋" w:eastAsia="仿宋" w:cs="仿宋"/>
          <w:b/>
          <w:bCs/>
          <w:color w:val="auto"/>
          <w:sz w:val="30"/>
          <w:szCs w:val="30"/>
          <w:lang w:val="en-US" w:eastAsia="zh-CN"/>
        </w:rPr>
        <w:t>质保期</w:t>
      </w:r>
    </w:p>
    <w:p w14:paraId="57CEED78">
      <w:pPr>
        <w:keepNext w:val="0"/>
        <w:keepLines w:val="0"/>
        <w:pageBreakBefore w:val="0"/>
        <w:widowControl w:val="0"/>
        <w:numPr>
          <w:ilvl w:val="0"/>
          <w:numId w:val="7"/>
        </w:numPr>
        <w:tabs>
          <w:tab w:val="left" w:pos="480"/>
          <w:tab w:val="clear" w:pos="312"/>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从</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验收合格之日算起，整体项目免费提供</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年质保。（质保期内乙方免费</w:t>
      </w:r>
      <w:r>
        <w:rPr>
          <w:rFonts w:hint="eastAsia" w:ascii="仿宋" w:hAnsi="仿宋" w:eastAsia="仿宋" w:cs="仿宋"/>
          <w:color w:val="auto"/>
          <w:sz w:val="28"/>
          <w:szCs w:val="28"/>
          <w:lang w:eastAsia="zh-CN"/>
        </w:rPr>
        <w:t>维护、需求更改、流程调优、软件迭代升级、</w:t>
      </w:r>
      <w:r>
        <w:rPr>
          <w:rFonts w:hint="eastAsia" w:ascii="仿宋" w:hAnsi="仿宋" w:eastAsia="仿宋" w:cs="仿宋"/>
          <w:color w:val="auto"/>
          <w:sz w:val="28"/>
          <w:szCs w:val="28"/>
        </w:rPr>
        <w:t>故障排查、重装系统等相关工作）</w:t>
      </w:r>
      <w:r>
        <w:rPr>
          <w:rFonts w:hint="eastAsia" w:ascii="仿宋" w:hAnsi="仿宋" w:eastAsia="仿宋" w:cs="仿宋"/>
          <w:color w:val="auto"/>
          <w:sz w:val="28"/>
          <w:szCs w:val="28"/>
          <w:lang w:eastAsia="zh-CN"/>
        </w:rPr>
        <w:t>。</w:t>
      </w:r>
    </w:p>
    <w:p w14:paraId="1A10F372">
      <w:pPr>
        <w:keepNext w:val="0"/>
        <w:keepLines w:val="0"/>
        <w:pageBreakBefore w:val="0"/>
        <w:widowControl w:val="0"/>
        <w:numPr>
          <w:ilvl w:val="0"/>
          <w:numId w:val="7"/>
        </w:numPr>
        <w:tabs>
          <w:tab w:val="left" w:pos="480"/>
          <w:tab w:val="clear" w:pos="312"/>
        </w:tabs>
        <w:kinsoku/>
        <w:wordWrap/>
        <w:overflowPunct/>
        <w:topLinePunct w:val="0"/>
        <w:autoSpaceDE/>
        <w:autoSpaceDN/>
        <w:bidi w:val="0"/>
        <w:adjustRightInd/>
        <w:snapToGrid/>
        <w:spacing w:line="578" w:lineRule="exact"/>
        <w:ind w:left="0" w:leftChars="0" w:firstLine="0" w:firstLineChars="0"/>
        <w:textAlignment w:val="auto"/>
        <w:rPr>
          <w:rFonts w:hint="default"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有偿售后服务：乙方提供质保期后的有偿售后服务，售后服务费按照本合同总价款的</w:t>
      </w:r>
      <w:r>
        <w:rPr>
          <w:rFonts w:hint="eastAsia" w:eastAsia="仿宋" w:cs="Calibri"/>
          <w:color w:val="auto"/>
          <w:sz w:val="28"/>
          <w:szCs w:val="28"/>
          <w:lang w:val="en-US" w:eastAsia="zh-CN"/>
        </w:rPr>
        <w:t xml:space="preserve">   </w:t>
      </w:r>
      <w:r>
        <w:rPr>
          <w:rFonts w:hint="eastAsia" w:ascii="Calibri" w:hAnsi="Calibri" w:eastAsia="仿宋" w:cs="Calibri"/>
          <w:color w:val="auto"/>
          <w:sz w:val="28"/>
          <w:szCs w:val="28"/>
          <w:lang w:val="en-US" w:eastAsia="zh-CN"/>
        </w:rPr>
        <w:t>%</w:t>
      </w:r>
      <w:r>
        <w:rPr>
          <w:rFonts w:hint="eastAsia" w:ascii="Calibri" w:hAnsi="Calibri" w:eastAsia="仿宋" w:cs="Calibri"/>
          <w:b w:val="0"/>
          <w:bCs w:val="0"/>
          <w:color w:val="auto"/>
          <w:sz w:val="28"/>
          <w:szCs w:val="28"/>
          <w:lang w:val="en-US" w:eastAsia="zh-CN"/>
        </w:rPr>
        <w:t>/</w:t>
      </w:r>
      <w:r>
        <w:rPr>
          <w:rFonts w:hint="eastAsia" w:ascii="Calibri" w:hAnsi="Calibri" w:eastAsia="仿宋" w:cs="Calibri"/>
          <w:color w:val="auto"/>
          <w:sz w:val="28"/>
          <w:szCs w:val="28"/>
          <w:lang w:val="en-US" w:eastAsia="zh-CN"/>
        </w:rPr>
        <w:t>年收取，具体服务内容、服务方式与标准等另签合同。</w:t>
      </w:r>
    </w:p>
    <w:p w14:paraId="1E1AC455">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default" w:ascii="Calibri" w:hAnsi="Calibri" w:eastAsia="仿宋" w:cs="Calibri"/>
          <w:b/>
          <w:bCs/>
          <w:color w:val="000000"/>
          <w:sz w:val="30"/>
          <w:szCs w:val="30"/>
          <w:lang w:val="en-US" w:eastAsia="zh-CN"/>
        </w:rPr>
      </w:pPr>
      <w:r>
        <w:rPr>
          <w:rFonts w:hint="eastAsia" w:ascii="Calibri" w:hAnsi="Calibri" w:eastAsia="仿宋" w:cs="Calibri"/>
          <w:b/>
          <w:bCs/>
          <w:color w:val="000000"/>
          <w:sz w:val="30"/>
          <w:szCs w:val="30"/>
          <w:lang w:val="en-US" w:eastAsia="zh-CN"/>
        </w:rPr>
        <w:t>十、售后服务</w:t>
      </w:r>
    </w:p>
    <w:p w14:paraId="5350AD5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（一）质保期内</w:t>
      </w:r>
    </w:p>
    <w:p w14:paraId="3956AF3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自安装调试、检测、正常运行并</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验收合格之日起</w:t>
      </w:r>
      <w:r>
        <w:rPr>
          <w:rFonts w:hint="eastAsia" w:ascii="仿宋" w:hAnsi="仿宋" w:eastAsia="仿宋" w:cs="仿宋"/>
          <w:color w:val="auto"/>
          <w:sz w:val="28"/>
          <w:szCs w:val="28"/>
          <w:lang w:val="en-US" w:eastAsia="zh-CN"/>
        </w:rPr>
        <w:t>三年内，乙方为甲方提供免费服务期</w:t>
      </w:r>
      <w:r>
        <w:rPr>
          <w:rFonts w:hint="eastAsia" w:ascii="仿宋" w:hAnsi="仿宋" w:eastAsia="仿宋" w:cs="仿宋"/>
          <w:color w:val="auto"/>
          <w:sz w:val="28"/>
          <w:szCs w:val="28"/>
        </w:rPr>
        <w:t>：</w:t>
      </w:r>
    </w:p>
    <w:p w14:paraId="3F653A8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1、乙方电话响应时间小于30分钟，到达现场时间不超过2小时，解决问题不超过24小时。</w:t>
      </w:r>
    </w:p>
    <w:p w14:paraId="5A38187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2、乙方不能解决的故障，甲方有权指定第三方维修，维修费用由乙方承担。甲方有权直接从合同尾款中扣除维修费，合同尾款已付或不足以支付全部维修费用的，由乙方另行支付。</w:t>
      </w:r>
    </w:p>
    <w:p w14:paraId="63083DB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乙方不能两小时到现场、不能二十四小时解决问题，不能按时巡检、不能履行质保期内的义务，每出现一次，应向甲</w:t>
      </w:r>
      <w:r>
        <w:rPr>
          <w:rFonts w:hint="eastAsia" w:ascii="仿宋" w:hAnsi="仿宋" w:eastAsia="仿宋" w:cs="仿宋"/>
          <w:color w:val="auto"/>
          <w:sz w:val="28"/>
          <w:szCs w:val="28"/>
          <w:highlight w:val="none"/>
        </w:rPr>
        <w:t>方支付【</w:t>
      </w:r>
      <w:r>
        <w:rPr>
          <w:rFonts w:hint="eastAsia" w:ascii="仿宋" w:hAnsi="仿宋" w:eastAsia="仿宋" w:cs="仿宋"/>
          <w:color w:val="auto"/>
          <w:sz w:val="28"/>
          <w:szCs w:val="28"/>
          <w:highlight w:val="none"/>
          <w:lang w:val="en-US" w:eastAsia="zh-CN"/>
        </w:rPr>
        <w:t>2000</w:t>
      </w:r>
      <w:r>
        <w:rPr>
          <w:rFonts w:hint="eastAsia" w:ascii="仿宋" w:hAnsi="仿宋" w:eastAsia="仿宋" w:cs="仿宋"/>
          <w:color w:val="auto"/>
          <w:sz w:val="28"/>
          <w:szCs w:val="28"/>
          <w:highlight w:val="none"/>
        </w:rPr>
        <w:t>】元的违约金。</w:t>
      </w:r>
    </w:p>
    <w:p w14:paraId="08985EF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4、叁拾天内，如出现质量问题，可以选择换货或退货。</w:t>
      </w:r>
    </w:p>
    <w:p w14:paraId="68FD8D3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5、叁拾天至陆拾天内，如出现质量问题，可以选择换货。</w:t>
      </w:r>
    </w:p>
    <w:p w14:paraId="62798AD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6、协助甲方制定相关应急制度，进行应急演练。</w:t>
      </w:r>
    </w:p>
    <w:p w14:paraId="12E651E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7、电话咨询</w:t>
      </w:r>
    </w:p>
    <w:p w14:paraId="7ED7BA7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免费提供每周7天/每天24小时不间断的电话支持服务，解答甲方在使用过程中遇到的问题，及时提出解决问题的建议和操作方法。</w:t>
      </w:r>
    </w:p>
    <w:p w14:paraId="143BDDF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8、每季度巡检一次，提供巡检单一式两份，甲方一份，乙方一份，并由双方签字确认。内容包括巡检时间、巡检内容、巡检结果。</w:t>
      </w:r>
    </w:p>
    <w:p w14:paraId="32D0BA3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每次故障维修提供维修单一式两份，甲方一份，乙方一份，并由双方签字确认。内容包括得知故障时间、到达现场时间、故障处理结束时间、故障内容、故障处理方式方法，故障处理结果，并由双方签字确认。</w:t>
      </w:r>
    </w:p>
    <w:p w14:paraId="1423051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10、凭借巡检单、维修单，作为后期付款依据。</w:t>
      </w:r>
    </w:p>
    <w:p w14:paraId="4BC0EFF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（二）款项结清前，乙方应对所提供服务进行全面检测，全面保养维护。</w:t>
      </w:r>
    </w:p>
    <w:p w14:paraId="10DD33B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）培训</w:t>
      </w:r>
    </w:p>
    <w:p w14:paraId="5FF0AC5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提供完整的培训计划，分批对渭南市第二医院智慧医院信息化建设一期采购项目相关人员进行全面、系统、多次的培训（集体培训不少于3次，专项培训不少于2次，总课时大于10小时），要求使用人员熟练操作，以确保项目顺利运行。培训讲师需要具备医学专业和计算机专业培训讲师；</w:t>
      </w:r>
    </w:p>
    <w:p w14:paraId="79131B4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培训内容：系统软件的用户使用培训，应用软件操作培训；系统管理培训、甲方技术人员开发维护培训；应用软件操作疑难问题解答；第三方支撑软件（如数据库、操作系统）的使用、维护培训。</w:t>
      </w:r>
    </w:p>
    <w:p w14:paraId="50794D5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培训对象包括临床科研人员、信息科系统管理员、日常维护人员、技术层面人员（包括系统开发、程序版本控制、数据库维护）；系统管理人员培训内容为系统中涉及的相关技术内容；管理人员培训内容为系统人员管理、数据管理、角色和权限管理等。</w:t>
      </w:r>
    </w:p>
    <w:p w14:paraId="326B560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十一、双方的权力与义务</w:t>
      </w:r>
    </w:p>
    <w:p w14:paraId="2A3EA1E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（一）甲方的权利和义务</w:t>
      </w:r>
    </w:p>
    <w:p w14:paraId="5AECC24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1、甲方保证提供给乙方的资料、信息内容合法，不侵犯第三方的合法权益。</w:t>
      </w:r>
    </w:p>
    <w:p w14:paraId="77AA1DC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2、甲方使用乙方的产品产生的数据归属于甲方。</w:t>
      </w:r>
    </w:p>
    <w:p w14:paraId="6DFD529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3、提供培训场地，组织参加培训的人员按时出席。</w:t>
      </w:r>
    </w:p>
    <w:p w14:paraId="0776B10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4、负责提供项目运行环境与运行条件，且负责院内工作的沟通与协调。</w:t>
      </w:r>
    </w:p>
    <w:p w14:paraId="022C01A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5、未经乙方书面授权，甲方不得私自修改软件结构。</w:t>
      </w:r>
    </w:p>
    <w:p w14:paraId="0863D26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（二）乙方的权利和义务</w:t>
      </w:r>
    </w:p>
    <w:p w14:paraId="71868D5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1、乙方应根据本合同及附件规定的内容与工期，及时、高质量的完成合同项下的工作。</w:t>
      </w:r>
    </w:p>
    <w:p w14:paraId="15BBAFD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2、保证系统整体运行安全、稳定、高效与数据的完整准确。</w:t>
      </w:r>
    </w:p>
    <w:p w14:paraId="2377255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3、保证软件硬件功能与乙方提供给甲方的功能描述一致。</w:t>
      </w:r>
    </w:p>
    <w:p w14:paraId="119B1FB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4、负责软件硬件系统初始化指导工作。</w:t>
      </w:r>
    </w:p>
    <w:p w14:paraId="376939DD">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5、负责软件系统与医院其他信息管理系统的接口开发调试。</w:t>
      </w:r>
      <w:r>
        <w:rPr>
          <w:rFonts w:hint="eastAsia" w:ascii="仿宋" w:hAnsi="仿宋" w:eastAsia="仿宋" w:cs="仿宋"/>
          <w:color w:val="auto"/>
          <w:sz w:val="28"/>
          <w:szCs w:val="28"/>
          <w:lang w:val="en-US" w:eastAsia="zh-CN"/>
        </w:rPr>
        <w:br w:type="textWrapping"/>
      </w:r>
      <w:r>
        <w:rPr>
          <w:rFonts w:hint="eastAsia" w:ascii="仿宋" w:hAnsi="仿宋" w:eastAsia="仿宋" w:cs="仿宋"/>
          <w:color w:val="auto"/>
          <w:sz w:val="28"/>
          <w:szCs w:val="28"/>
          <w:lang w:val="en-US" w:eastAsia="zh-CN"/>
        </w:rPr>
        <w:t>6、负责甲方人员的培训工作。</w:t>
      </w:r>
    </w:p>
    <w:p w14:paraId="59E0ED55">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7、负责软件系统的升级工作。</w:t>
      </w:r>
    </w:p>
    <w:p w14:paraId="3FA242F8">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8、负责项目的验收工作。</w:t>
      </w:r>
    </w:p>
    <w:p w14:paraId="1489BD6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、乙方保证在本项目设计、实施过程中，不侵犯第三方的合法权益。如因乙方原因致使甲方遭受第三方追诉的，乙方应承担由此给甲方造成的全部损失，并按本合同</w:t>
      </w:r>
      <w:r>
        <w:rPr>
          <w:rFonts w:hint="eastAsia" w:ascii="仿宋" w:hAnsi="仿宋" w:eastAsia="仿宋" w:cs="仿宋"/>
          <w:color w:val="000000"/>
          <w:sz w:val="28"/>
          <w:szCs w:val="28"/>
        </w:rPr>
        <w:t>第</w:t>
      </w:r>
      <w:r>
        <w:rPr>
          <w:rFonts w:hint="eastAsia" w:ascii="仿宋" w:hAnsi="仿宋" w:eastAsia="仿宋" w:cs="仿宋"/>
          <w:color w:val="000000"/>
          <w:sz w:val="28"/>
          <w:szCs w:val="28"/>
          <w:lang w:val="en-US" w:eastAsia="zh-CN"/>
        </w:rPr>
        <w:t>十四</w:t>
      </w:r>
      <w:r>
        <w:rPr>
          <w:rFonts w:hint="eastAsia" w:ascii="仿宋" w:hAnsi="仿宋" w:eastAsia="仿宋" w:cs="仿宋"/>
          <w:color w:val="000000"/>
          <w:sz w:val="28"/>
          <w:szCs w:val="28"/>
        </w:rPr>
        <w:t>条违约</w:t>
      </w:r>
      <w:r>
        <w:rPr>
          <w:rFonts w:hint="eastAsia" w:ascii="仿宋" w:hAnsi="仿宋" w:eastAsia="仿宋" w:cs="仿宋"/>
          <w:color w:val="auto"/>
          <w:sz w:val="28"/>
          <w:szCs w:val="28"/>
        </w:rPr>
        <w:t>责任第（二）款承担违约责任。</w:t>
      </w:r>
    </w:p>
    <w:p w14:paraId="7B34E78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乙方按照本合同约定在履行系统维护和技术服务的过程中，不允许利用甲方提供的工作条件和相关资料进行与本项目无关的工作。如因乙方原因致使甲方遭受经济损失及法律追诉的，由乙方承担一切责任。乙方应该向甲方公开数据字典和数据结构，便于甲方灵活调取、统计。</w:t>
      </w:r>
    </w:p>
    <w:p w14:paraId="15040CD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、乙方保证不将因履行本协议而获得的甲方数据用作履行本协议以外的其他用途。所有乙方因履行本协议而获取的甲方数据、文档、信息（包括但不限于甲方</w:t>
      </w:r>
      <w:r>
        <w:rPr>
          <w:rFonts w:hint="eastAsia" w:ascii="仿宋" w:hAnsi="仿宋" w:eastAsia="仿宋" w:cs="仿宋"/>
          <w:color w:val="auto"/>
          <w:sz w:val="28"/>
          <w:szCs w:val="28"/>
          <w:lang w:val="en-US" w:eastAsia="zh-CN"/>
        </w:rPr>
        <w:t>运</w:t>
      </w:r>
      <w:r>
        <w:rPr>
          <w:rFonts w:hint="eastAsia" w:ascii="仿宋" w:hAnsi="仿宋" w:eastAsia="仿宋" w:cs="仿宋"/>
          <w:color w:val="auto"/>
          <w:sz w:val="28"/>
          <w:szCs w:val="28"/>
        </w:rPr>
        <w:t>营信息、患者信息）等，其所有权均归甲方所有，若乙方泄露甲方数据或将甲方数据用作履行本协议以外的其他用途的，应视为乙方违约，乙方应赔偿由此给甲方造成的全部损失，并按本合同第</w:t>
      </w:r>
      <w:r>
        <w:rPr>
          <w:rFonts w:hint="eastAsia" w:ascii="仿宋" w:hAnsi="仿宋" w:eastAsia="仿宋" w:cs="仿宋"/>
          <w:color w:val="auto"/>
          <w:sz w:val="28"/>
          <w:szCs w:val="28"/>
          <w:lang w:val="en-US" w:eastAsia="zh-CN"/>
        </w:rPr>
        <w:t>十四</w:t>
      </w:r>
      <w:r>
        <w:rPr>
          <w:rFonts w:hint="eastAsia" w:ascii="仿宋" w:hAnsi="仿宋" w:eastAsia="仿宋" w:cs="仿宋"/>
          <w:color w:val="auto"/>
          <w:sz w:val="28"/>
          <w:szCs w:val="28"/>
        </w:rPr>
        <w:t>条违约责任第（二）款承担违约责任。本合同的终止、解除不影响本条款的效力。</w:t>
      </w:r>
    </w:p>
    <w:p w14:paraId="770D6F80">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十二、运输</w:t>
      </w:r>
    </w:p>
    <w:p w14:paraId="56AB21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（一）运输由乙方负责，运杂费已包含在合同总价内，包括从货物供应地点所含的运输费、装卸费、仓储费、保险费等。</w:t>
      </w:r>
    </w:p>
    <w:p w14:paraId="16B7186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（二）运输方式由乙方自行选择，但必须保证按期交付。</w:t>
      </w:r>
    </w:p>
    <w:p w14:paraId="15A2991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bCs/>
          <w:color w:val="auto"/>
          <w:kern w:val="36"/>
          <w:sz w:val="28"/>
          <w:szCs w:val="28"/>
        </w:rPr>
      </w:pPr>
      <w:r>
        <w:rPr>
          <w:rFonts w:hint="eastAsia" w:ascii="仿宋" w:hAnsi="仿宋" w:eastAsia="仿宋" w:cs="仿宋"/>
          <w:bCs/>
          <w:color w:val="auto"/>
          <w:kern w:val="36"/>
          <w:sz w:val="28"/>
          <w:szCs w:val="28"/>
        </w:rPr>
        <w:t>（三）</w:t>
      </w:r>
      <w:r>
        <w:rPr>
          <w:rFonts w:hint="eastAsia" w:ascii="仿宋" w:hAnsi="仿宋" w:eastAsia="仿宋" w:cs="仿宋"/>
          <w:bCs/>
          <w:color w:val="auto"/>
          <w:kern w:val="36"/>
          <w:sz w:val="28"/>
          <w:szCs w:val="28"/>
          <w:lang w:val="en-US" w:eastAsia="zh-CN"/>
        </w:rPr>
        <w:t>产品</w:t>
      </w:r>
      <w:r>
        <w:rPr>
          <w:rFonts w:hint="eastAsia" w:ascii="仿宋" w:hAnsi="仿宋" w:eastAsia="仿宋" w:cs="仿宋"/>
          <w:bCs/>
          <w:color w:val="auto"/>
          <w:kern w:val="36"/>
          <w:sz w:val="28"/>
          <w:szCs w:val="28"/>
        </w:rPr>
        <w:t>验收合格前产生的一切毁损、灭失的风险及质量问题均由乙方承担。</w:t>
      </w:r>
    </w:p>
    <w:p w14:paraId="3DCF6983">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十三、质量保证</w:t>
      </w:r>
    </w:p>
    <w:p w14:paraId="138C7A4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（一）保证技术指标先进、质量性能可靠、进货渠道正常、功能齐全、配置合理，全面满足甲方技术要求。</w:t>
      </w:r>
    </w:p>
    <w:p w14:paraId="2AA107E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（二）符合国家有关规范要求，确保达到最佳运行状态。</w:t>
      </w:r>
    </w:p>
    <w:p w14:paraId="5A7E6BB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（三）乙方提供的产品，若发生侵权而产生的一切后果，由乙方负责，甲方保留索赔权利。</w:t>
      </w:r>
    </w:p>
    <w:p w14:paraId="3E66AF52">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十四、安全保密</w:t>
      </w:r>
    </w:p>
    <w:p w14:paraId="0CF5A08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自合同签订之日起：</w:t>
      </w:r>
    </w:p>
    <w:p w14:paraId="63810B5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（一）乙方负责对本公司所有实施人员、巡检人员进行安全教育，如发生任何意外或事故，乙方承担全部医疗费用、法律责任、经济赔偿。若甲方因此遭受任何损失的，乙方应承担全部赔偿责任。</w:t>
      </w:r>
    </w:p>
    <w:p w14:paraId="5EEDAF2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实施及巡检期间，乙方必须保证甲方现有网络、系统、设备运行安全及稳定。如造成重大事故，网络或设备停止运行超过24小时，甲方有权单方面解除合同（合同自书面解除通知送达乙方之日起解除），并退货退款，乙方应承担解除合同给甲方造成的全部损失（包括但不限于重新采购产生的费用、合同未履行导致产品不能按规划交付使用及其它由此造成的甲方对第三方的违约损失），并按合同总价的  %支付违约金。</w:t>
      </w:r>
    </w:p>
    <w:p w14:paraId="7AD94A6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（三）自合同签订之日起，乙方必须与甲方签定《安全保密协议》，此保密协议义务不因合同终止而免除。</w:t>
      </w:r>
    </w:p>
    <w:p w14:paraId="178197FA">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十五、违约责任</w:t>
      </w:r>
    </w:p>
    <w:p w14:paraId="090BA46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（一）按《中华人民共和国民法典》中的相关条款执行。</w:t>
      </w:r>
    </w:p>
    <w:p w14:paraId="05DB14D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乙方未按合同要求提供，质量不能满足本合同、招标文件、投标文件等相关文件技术要求的，甲方会同政府采购机构有权解除本合同（合同自书面解除通知到达乙方之日起解除），乙方应赔偿解除合同给甲方造成的全部损失（包括但不限于重新采购产生的费用、合同未履行导致产品不能按规划交付使用及其它由此造成的甲方对第三方的违约损失），并按照合同总价的</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%支付违约金。同时甲方有权按《招投标法》、《政府采购法》有关处罚条款报监管机构进行相应的处罚。</w:t>
      </w:r>
    </w:p>
    <w:p w14:paraId="40AF0DC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（三）在合同期限内，未经甲方同意，乙方不得转包、分包本合同项下的合同义务，否则甲方有权依据本条第（二）款之约定单方解除本合同并有权要求乙方承担违约责任。</w:t>
      </w:r>
    </w:p>
    <w:p w14:paraId="6F1CB83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（四）乙方违约时，甲方为主张权利而支出的律师费、保全费、保全保险费、差旅费等费用由乙方承担。</w:t>
      </w:r>
    </w:p>
    <w:p w14:paraId="25994D2C">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十六、合同争议的解决</w:t>
      </w:r>
    </w:p>
    <w:p w14:paraId="7C4BA17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合同执行中发生争议的，当事人双方应协商解决，协商达不成一致时，向甲方所在地人民法院提请诉讼。</w:t>
      </w:r>
    </w:p>
    <w:p w14:paraId="475A08E3">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十七、不可抗力</w:t>
      </w:r>
    </w:p>
    <w:p w14:paraId="4438F1A3">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如因不可抗力事件发生（包括但不限于战争、动乱、地震、台风、洪水、火灾等不能预见、不能克服、不能避免的自然或者人为事件），导致合同一方无法继续履行本合同时，遇不可抗力之一方应在不可抗力消除之日起七日内将事件情况书面告知另一方，且应在不可抗力消除之日起十五日内，提交事件详情与合同不能履行或者需要延期履行的书面资料，双方认可后协商终止合同条款或者暂时延迟、顺延合同的履行。</w:t>
      </w:r>
    </w:p>
    <w:p w14:paraId="63B0B7CA">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val="0"/>
          <w:color w:val="auto"/>
          <w:sz w:val="30"/>
          <w:szCs w:val="30"/>
          <w:lang w:val="en-US" w:eastAsia="zh-CN"/>
        </w:rPr>
      </w:pPr>
      <w:r>
        <w:rPr>
          <w:rFonts w:hint="eastAsia" w:ascii="仿宋" w:hAnsi="仿宋" w:eastAsia="仿宋" w:cs="仿宋"/>
          <w:b/>
          <w:bCs w:val="0"/>
          <w:color w:val="auto"/>
          <w:kern w:val="36"/>
          <w:sz w:val="30"/>
          <w:szCs w:val="30"/>
          <w:lang w:val="en-US" w:eastAsia="zh-CN"/>
        </w:rPr>
        <w:t>十八、</w:t>
      </w:r>
      <w:r>
        <w:rPr>
          <w:rFonts w:hint="eastAsia" w:ascii="仿宋" w:hAnsi="仿宋" w:eastAsia="仿宋" w:cs="仿宋"/>
          <w:b/>
          <w:bCs w:val="0"/>
          <w:color w:val="auto"/>
          <w:sz w:val="30"/>
          <w:szCs w:val="30"/>
          <w:lang w:val="en-US" w:eastAsia="zh-CN"/>
        </w:rPr>
        <w:t>合同生效</w:t>
      </w:r>
    </w:p>
    <w:p w14:paraId="4B781B43">
      <w:pPr>
        <w:keepNext w:val="0"/>
        <w:keepLines w:val="0"/>
        <w:pageBreakBefore w:val="0"/>
        <w:widowControl w:val="0"/>
        <w:numPr>
          <w:ilvl w:val="0"/>
          <w:numId w:val="8"/>
        </w:numPr>
        <w:tabs>
          <w:tab w:val="left" w:pos="480"/>
          <w:tab w:val="clear" w:pos="312"/>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合同一式六份，甲方四份、乙方一份、鉴证方一份。</w:t>
      </w:r>
    </w:p>
    <w:p w14:paraId="2801F244">
      <w:pPr>
        <w:keepNext w:val="0"/>
        <w:keepLines w:val="0"/>
        <w:pageBreakBefore w:val="0"/>
        <w:widowControl w:val="0"/>
        <w:numPr>
          <w:ilvl w:val="0"/>
          <w:numId w:val="8"/>
        </w:numPr>
        <w:tabs>
          <w:tab w:val="left" w:pos="480"/>
          <w:tab w:val="clear" w:pos="312"/>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bCs/>
          <w:color w:val="auto"/>
          <w:kern w:val="36"/>
          <w:sz w:val="28"/>
          <w:szCs w:val="28"/>
        </w:rPr>
      </w:pPr>
      <w:r>
        <w:rPr>
          <w:rFonts w:hint="eastAsia" w:ascii="仿宋" w:hAnsi="仿宋" w:eastAsia="仿宋" w:cs="仿宋"/>
          <w:color w:val="auto"/>
          <w:sz w:val="28"/>
          <w:szCs w:val="28"/>
        </w:rPr>
        <w:t>合同经甲方、乙方、鉴证方签字盖章后生效，合同执行完毕后，自动失效（合同的服务承诺则长期有效）。</w:t>
      </w:r>
    </w:p>
    <w:p w14:paraId="485C2E2C">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val="0"/>
          <w:color w:val="auto"/>
          <w:kern w:val="36"/>
          <w:sz w:val="30"/>
          <w:szCs w:val="30"/>
          <w:lang w:val="en-US" w:eastAsia="zh-CN"/>
        </w:rPr>
      </w:pPr>
      <w:r>
        <w:rPr>
          <w:rFonts w:hint="eastAsia" w:ascii="仿宋" w:hAnsi="仿宋" w:eastAsia="仿宋" w:cs="仿宋"/>
          <w:b/>
          <w:bCs w:val="0"/>
          <w:color w:val="auto"/>
          <w:kern w:val="36"/>
          <w:sz w:val="30"/>
          <w:szCs w:val="30"/>
          <w:lang w:val="en-US" w:eastAsia="zh-CN"/>
        </w:rPr>
        <w:t>十九、其他事项</w:t>
      </w:r>
    </w:p>
    <w:p w14:paraId="290FB80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（一）招标文件、投标文件、澄清表（函）、中标通知书、合同附件均成为合同不可分割的部分，与本合同具有同等法律效力。</w:t>
      </w:r>
    </w:p>
    <w:p w14:paraId="08C74C4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（二）本合同未尽事宜，由甲、乙双方协商，经鉴证方确认后，签订补充协议作为合同补充，补充协议与原合同具有同等法律效力，补充协议与本合同不一致的，以补充协议为准。</w:t>
      </w:r>
    </w:p>
    <w:p w14:paraId="6A180B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（三）本合同按照中华人民共和国的现行法律进行解释。</w:t>
      </w:r>
    </w:p>
    <w:p w14:paraId="07E2FB4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（四）本合同附件作为本合同的组成部份，与本合同具有同等法律效力。</w:t>
      </w:r>
    </w:p>
    <w:p w14:paraId="730C909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（以下无正文）</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44"/>
        <w:gridCol w:w="4078"/>
      </w:tblGrid>
      <w:tr w14:paraId="17657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37C70687">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p>
        </w:tc>
        <w:tc>
          <w:tcPr>
            <w:tcW w:w="4078" w:type="dxa"/>
            <w:noWrap w:val="0"/>
            <w:vAlign w:val="top"/>
          </w:tcPr>
          <w:p w14:paraId="539A00F3">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乙方： </w:t>
            </w:r>
          </w:p>
        </w:tc>
      </w:tr>
      <w:tr w14:paraId="64454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jc w:val="center"/>
        </w:trPr>
        <w:tc>
          <w:tcPr>
            <w:tcW w:w="4444" w:type="dxa"/>
            <w:noWrap w:val="0"/>
            <w:vAlign w:val="top"/>
          </w:tcPr>
          <w:p w14:paraId="75E0D58F">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4078" w:type="dxa"/>
            <w:noWrap w:val="0"/>
            <w:vAlign w:val="top"/>
          </w:tcPr>
          <w:p w14:paraId="0B9F5D9A">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地址： </w:t>
            </w:r>
          </w:p>
        </w:tc>
      </w:tr>
      <w:tr w14:paraId="0373E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0" w:hRule="atLeast"/>
          <w:jc w:val="center"/>
        </w:trPr>
        <w:tc>
          <w:tcPr>
            <w:tcW w:w="4444" w:type="dxa"/>
            <w:noWrap w:val="0"/>
            <w:vAlign w:val="top"/>
          </w:tcPr>
          <w:p w14:paraId="1D93B133">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4078" w:type="dxa"/>
            <w:noWrap w:val="0"/>
            <w:vAlign w:val="top"/>
          </w:tcPr>
          <w:p w14:paraId="100D501A">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r>
      <w:tr w14:paraId="022FE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27DFD2FF">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c>
          <w:tcPr>
            <w:tcW w:w="4078" w:type="dxa"/>
            <w:noWrap w:val="0"/>
            <w:vAlign w:val="top"/>
          </w:tcPr>
          <w:p w14:paraId="65F569BF">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r>
      <w:tr w14:paraId="7787A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6182CD0D">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签订日期：202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tc>
        <w:tc>
          <w:tcPr>
            <w:tcW w:w="4078" w:type="dxa"/>
            <w:noWrap w:val="0"/>
            <w:vAlign w:val="top"/>
          </w:tcPr>
          <w:p w14:paraId="65E48D75">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签订日期：202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tc>
      </w:tr>
    </w:tbl>
    <w:p w14:paraId="6B1E31AF"/>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A6F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DA5BF8B">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矩形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Py8jG/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Cr5E0f&#10;sKKWp/AIU4YUJqFDCza9SQIbsp/ni59qiExScblerdclWS3pbE4Ip3j+PADGT8pbloKaA11Y9lGc&#10;vmAcW+eWNM35O20M1UVl3D8FwkyVIjEeOaYoDvthIr73zZmk9nTXNXe02pyZz46sTGsxBzAH+zk4&#10;BtCHjqgtMy8Mt8dIJDK3NGGEnQbTJWV100KlLXiZ567nn2j7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j8vIxvwEAAIwDAAAOAAAAAAAAAAEAIAAAAB8BAABkcnMvZTJvRG9jLnhtbFBLBQYA&#10;AAAABgAGAFkBAABQBQAAAAA=&#10;">
              <v:fill on="f" focussize="0,0"/>
              <v:stroke on="f"/>
              <v:imagedata o:title=""/>
              <o:lock v:ext="edit" aspectratio="f"/>
              <v:textbox inset="0mm,0mm,0mm,0mm" style="mso-fit-shape-to-text:t;">
                <w:txbxContent>
                  <w:p w14:paraId="6DA5BF8B">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672AE">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2"/>
    <w:multiLevelType w:val="singleLevel"/>
    <w:tmpl w:val="00000002"/>
    <w:lvl w:ilvl="0" w:tentative="0">
      <w:start w:val="6"/>
      <w:numFmt w:val="chineseCounting"/>
      <w:suff w:val="nothing"/>
      <w:lvlText w:val="%1、"/>
      <w:lvlJc w:val="left"/>
      <w:rPr>
        <w:rFonts w:hint="eastAsia"/>
      </w:rPr>
    </w:lvl>
  </w:abstractNum>
  <w:abstractNum w:abstractNumId="2">
    <w:nsid w:val="00000003"/>
    <w:multiLevelType w:val="singleLevel"/>
    <w:tmpl w:val="00000003"/>
    <w:lvl w:ilvl="0" w:tentative="0">
      <w:start w:val="1"/>
      <w:numFmt w:val="chineseCounting"/>
      <w:suff w:val="nothing"/>
      <w:lvlText w:val="%1、"/>
      <w:lvlJc w:val="left"/>
      <w:rPr>
        <w:rFonts w:hint="eastAsia"/>
      </w:rPr>
    </w:lvl>
  </w:abstractNum>
  <w:abstractNum w:abstractNumId="3">
    <w:nsid w:val="00000004"/>
    <w:multiLevelType w:val="singleLevel"/>
    <w:tmpl w:val="00000004"/>
    <w:lvl w:ilvl="0" w:tentative="0">
      <w:start w:val="1"/>
      <w:numFmt w:val="decimal"/>
      <w:lvlText w:val="%1."/>
      <w:lvlJc w:val="left"/>
      <w:pPr>
        <w:tabs>
          <w:tab w:val="left" w:pos="312"/>
        </w:tabs>
      </w:pPr>
    </w:lvl>
  </w:abstractNum>
  <w:abstractNum w:abstractNumId="4">
    <w:nsid w:val="00000005"/>
    <w:multiLevelType w:val="singleLevel"/>
    <w:tmpl w:val="00000005"/>
    <w:lvl w:ilvl="0" w:tentative="0">
      <w:start w:val="3"/>
      <w:numFmt w:val="chineseCounting"/>
      <w:suff w:val="nothing"/>
      <w:lvlText w:val="（%1）"/>
      <w:lvlJc w:val="left"/>
      <w:rPr>
        <w:rFonts w:hint="eastAsia"/>
      </w:rPr>
    </w:lvl>
  </w:abstractNum>
  <w:abstractNum w:abstractNumId="5">
    <w:nsid w:val="00000006"/>
    <w:multiLevelType w:val="singleLevel"/>
    <w:tmpl w:val="00000006"/>
    <w:lvl w:ilvl="0" w:tentative="0">
      <w:start w:val="1"/>
      <w:numFmt w:val="decimal"/>
      <w:lvlText w:val="%1."/>
      <w:lvlJc w:val="left"/>
      <w:pPr>
        <w:tabs>
          <w:tab w:val="left" w:pos="312"/>
        </w:tabs>
      </w:pPr>
    </w:lvl>
  </w:abstractNum>
  <w:abstractNum w:abstractNumId="6">
    <w:nsid w:val="00000007"/>
    <w:multiLevelType w:val="singleLevel"/>
    <w:tmpl w:val="00000007"/>
    <w:lvl w:ilvl="0" w:tentative="0">
      <w:start w:val="1"/>
      <w:numFmt w:val="decimal"/>
      <w:lvlText w:val="%1."/>
      <w:lvlJc w:val="left"/>
      <w:pPr>
        <w:tabs>
          <w:tab w:val="left" w:pos="312"/>
        </w:tabs>
      </w:pPr>
    </w:lvl>
  </w:abstractNum>
  <w:abstractNum w:abstractNumId="7">
    <w:nsid w:val="00000008"/>
    <w:multiLevelType w:val="singleLevel"/>
    <w:tmpl w:val="00000008"/>
    <w:lvl w:ilvl="0" w:tentative="0">
      <w:start w:val="1"/>
      <w:numFmt w:val="decimal"/>
      <w:lvlText w:val="%1."/>
      <w:lvlJc w:val="left"/>
      <w:pPr>
        <w:tabs>
          <w:tab w:val="left" w:pos="312"/>
        </w:tabs>
      </w:pPr>
    </w:lvl>
  </w:abstractNum>
  <w:num w:numId="1">
    <w:abstractNumId w:val="2"/>
  </w:num>
  <w:num w:numId="2">
    <w:abstractNumId w:val="0"/>
  </w:num>
  <w:num w:numId="3">
    <w:abstractNumId w:val="5"/>
  </w:num>
  <w:num w:numId="4">
    <w:abstractNumId w:val="1"/>
  </w:num>
  <w:num w:numId="5">
    <w:abstractNumId w:val="4"/>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00172A27"/>
    <w:rsid w:val="00072343"/>
    <w:rsid w:val="00634E46"/>
    <w:rsid w:val="00A27A28"/>
    <w:rsid w:val="00C50775"/>
    <w:rsid w:val="00FC5520"/>
    <w:rsid w:val="10AB0A74"/>
    <w:rsid w:val="2EEA7C77"/>
    <w:rsid w:val="35AE0F44"/>
    <w:rsid w:val="3971643A"/>
    <w:rsid w:val="47312FD0"/>
    <w:rsid w:val="4FCF3B22"/>
    <w:rsid w:val="54F94081"/>
    <w:rsid w:val="57821021"/>
    <w:rsid w:val="63824928"/>
    <w:rsid w:val="63EE7615"/>
    <w:rsid w:val="71EC0DDD"/>
    <w:rsid w:val="76412609"/>
    <w:rsid w:val="7D6C76EF"/>
    <w:rsid w:val="7E8122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after="160" w:line="278" w:lineRule="auto"/>
    </w:pPr>
    <w:rPr>
      <w:rFonts w:ascii="Calibri" w:hAnsi="Calibri" w:eastAsia="宋体" w:cs="宋体"/>
      <w:kern w:val="2"/>
      <w:sz w:val="22"/>
      <w:szCs w:val="24"/>
      <w:lang w:val="en-US" w:eastAsia="zh-CN" w:bidi="ar-SA"/>
    </w:rPr>
  </w:style>
  <w:style w:type="character" w:default="1" w:styleId="6">
    <w:name w:val="Default Paragraph Font"/>
    <w:uiPriority w:val="0"/>
    <w:rPr>
      <w:rFonts w:ascii="Calibri" w:hAnsi="Calibri" w:eastAsia="宋体" w:cs="宋体"/>
    </w:rPr>
  </w:style>
  <w:style w:type="table" w:default="1" w:styleId="4">
    <w:name w:val="Normal Table"/>
    <w:autoRedefine/>
    <w:qFormat/>
    <w:uiPriority w:val="0"/>
    <w:rPr>
      <w:rFonts w:ascii="Calibri" w:hAnsi="Calibri" w:eastAsia="宋体" w:cs="宋体"/>
    </w:rPr>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ascii="Calibri" w:hAnsi="Calibri" w:eastAsia="宋体" w:cs="宋体"/>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rFonts w:ascii="Calibri" w:hAnsi="Calibri" w:eastAsia="宋体" w:cs="宋体"/>
      <w:sz w:val="18"/>
      <w:szCs w:val="18"/>
    </w:rPr>
  </w:style>
  <w:style w:type="table" w:styleId="5">
    <w:name w:val="Table Grid"/>
    <w:basedOn w:val="4"/>
    <w:autoRedefine/>
    <w:qFormat/>
    <w:uiPriority w:val="0"/>
    <w:pPr>
      <w:widowControl w:val="0"/>
      <w:jc w:val="both"/>
    </w:pPr>
    <w:rPr>
      <w:rFonts w:ascii="Calibri" w:hAnsi="Calibri"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5200</Words>
  <Characters>5232</Characters>
  <TotalTime>52</TotalTime>
  <ScaleCrop>false</ScaleCrop>
  <LinksUpToDate>false</LinksUpToDate>
  <CharactersWithSpaces>5413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2025-02-08T05:39:00Z</dcterms:created>
  <dc:creator>Administrator</dc:creator>
  <cp:lastModifiedBy>周燕</cp:lastModifiedBy>
  <dcterms:modified xsi:type="dcterms:W3CDTF">2026-07-28T01:55:35Z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01E5E62C125540409B888B3D84CC5307_13</vt:lpwstr>
  </property>
  <property fmtid="{D5CDD505-2E9C-101B-9397-08002B2CF9AE}" pid="4" name="KSOTemplateDocerSaveRecord">
    <vt:lpwstr>eyJoZGlkIjoiMTFjNjdmMGExODdjMDk3MWMxMWVmZGY3ODI2YjkyNTYiLCJ1c2VySWQiOiI0MjUwNzE0NTkifQ==</vt:lpwstr>
  </property>
</Properties>
</file>