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版本号：2026-HZZB-00620260423001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数字化病案服务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2026-HZZB-006</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衡正国际工程咨询有限公司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衡正国际工程咨询有限公司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数字化病案服务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2026-HZZB-006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数字化病案服务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北妇女儿童医院数字化病案服务采购，根据医院信息化建设项目采购需求，完成历史病历数字化处理并可查阅，并能与其他病历整合。具有针对离线病历数据的智能化调用与传输机制。对于预约或已住院病人的全部离线医疗记录能够提前提供调取和访问功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采购包1（数字化病案服务）：属于专门面向中小企业采购。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1、具有独立承担民事责任的能力，其他组织或自然人：应提供合法有效的标识有统一社会信用代码的营业执照；事业法人应提供事业单位法人证书；自然人的提供身份证，其他组织应提供合法登记证明文件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出具法定代表人身份证，并与营业执照上信息一致。法定代表人授权代表参加投标的，须出具法定代表人授权书</w:t>
      </w:r>
    </w:p>
    <w:p>
      <w:pPr>
        <w:pStyle w:val="null3"/>
      </w:pPr>
      <w:r>
        <w:rPr>
          <w:rFonts w:ascii="仿宋_GB2312" w:hAnsi="仿宋_GB2312" w:cs="仿宋_GB2312" w:eastAsia="仿宋_GB2312"/>
        </w:rPr>
        <w:t>3、财务状况：两种形式的资料提供任何一种即可：1）提供2024年或2025年财务审计报告{包括资产负债表、利润表、现金流量表、所有者权益变动表及其附注，财务审计报告须真实有效并符合《关于加强审计报告查验工作的通知》（财会[2023]15号）文件的要求，报告须在注册会计师行业统一监管平台报备、赋二维码}，成立时间至开标时间不足一年的可提供成立后任意时段的资产负债表；2）提供基本存款账户信息及开标日期前六个月内其基本存款账户开户银行出具的资信证明；</w:t>
      </w:r>
    </w:p>
    <w:p>
      <w:pPr>
        <w:pStyle w:val="null3"/>
      </w:pPr>
      <w:r>
        <w:rPr>
          <w:rFonts w:ascii="仿宋_GB2312" w:hAnsi="仿宋_GB2312" w:cs="仿宋_GB2312" w:eastAsia="仿宋_GB2312"/>
        </w:rPr>
        <w:t>4、社会保障资金缴纳证明：提供2025年1月1日起至投标截止时间前至少一个月的社会保障资金缴存单据或社保机构开具的社会保险参保缴费情况证明，依法不需要缴纳社会保障资金的供应商应提供相关文件证明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5、税收缴纳证明：提供2025年1月1日起至投标截止时间前至少一个月的纳税证明或完税证明，依法免税的供应商应提供相关文件证明</w:t>
      </w:r>
    </w:p>
    <w:p>
      <w:pPr>
        <w:pStyle w:val="null3"/>
      </w:pPr>
      <w:r>
        <w:rPr>
          <w:rFonts w:ascii="仿宋_GB2312" w:hAnsi="仿宋_GB2312" w:cs="仿宋_GB2312" w:eastAsia="仿宋_GB2312"/>
        </w:rPr>
        <w:t>6、供应商应具备良好的商业信誉：提供参加政府采购活动前3年内在经营活动中没有重大违法记录的书面声明</w:t>
      </w:r>
    </w:p>
    <w:p>
      <w:pPr>
        <w:pStyle w:val="null3"/>
      </w:pPr>
      <w:r>
        <w:rPr>
          <w:rFonts w:ascii="仿宋_GB2312" w:hAnsi="仿宋_GB2312" w:cs="仿宋_GB2312" w:eastAsia="仿宋_GB2312"/>
        </w:rPr>
        <w:t>7、设备和专业技术能力承诺：提供具有履行本合同所必需的设备和专业技术能力的承诺</w:t>
      </w:r>
    </w:p>
    <w:p>
      <w:pPr>
        <w:pStyle w:val="null3"/>
      </w:pPr>
      <w:r>
        <w:rPr>
          <w:rFonts w:ascii="仿宋_GB2312" w:hAnsi="仿宋_GB2312" w:cs="仿宋_GB2312" w:eastAsia="仿宋_GB2312"/>
        </w:rPr>
        <w:t>8、信用查询：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p>
      <w:pPr>
        <w:pStyle w:val="null3"/>
      </w:pPr>
      <w:r>
        <w:rPr>
          <w:rFonts w:ascii="仿宋_GB2312" w:hAnsi="仿宋_GB2312" w:cs="仿宋_GB2312" w:eastAsia="仿宋_GB2312"/>
        </w:rPr>
        <w:t>9、控股关系：单位负责人为同一人或者存在直接控股、管理关系的不同投标供应商，不得参加同一合同项下的政府采购活动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10、不接受联合体投标：非联合体投标承诺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寇老师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衡正国际工程咨询有限公司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陕西省西安市雁塔区科技西路绿地博海大厦1603室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杨旭、仵严佳、张进花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029-88720501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开户名称：衡正国际工程咨询有限公司</w:t>
            </w:r>
          </w:p>
          <w:p>
            <w:pPr>
              <w:pStyle w:val="null3"/>
            </w:pPr>
            <w:r>
              <w:rPr>
                <w:rFonts w:ascii="仿宋_GB2312" w:hAnsi="仿宋_GB2312" w:cs="仿宋_GB2312" w:eastAsia="仿宋_GB2312"/>
              </w:rPr>
              <w:t>开户银行：中国银行西安科技路西段支行</w:t>
            </w:r>
          </w:p>
          <w:p>
            <w:pPr>
              <w:pStyle w:val="null3"/>
            </w:pPr>
            <w:r>
              <w:rPr>
                <w:rFonts w:ascii="仿宋_GB2312" w:hAnsi="仿宋_GB2312" w:cs="仿宋_GB2312" w:eastAsia="仿宋_GB2312"/>
              </w:rPr>
              <w:t>银行账号：103674378316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下浮20%收取。2、中标/成交供应商在领取成交通知书前，须向采购代理机构一次性支付招标代理服务费。3、本次代理服务费计算标准：3500000.00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衡正国际工程咨询有限公司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衡正国际工程咨询有限公司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衡正国际工程咨询有限公司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衡正国际工程咨询有限公司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联系人：杨旭</w:t>
      </w:r>
    </w:p>
    <w:p>
      <w:pPr>
        <w:pStyle w:val="null3"/>
      </w:pPr>
      <w:r>
        <w:rPr>
          <w:rFonts w:ascii="仿宋_GB2312" w:hAnsi="仿宋_GB2312" w:cs="仿宋_GB2312" w:eastAsia="仿宋_GB2312"/>
        </w:rPr>
        <w:t>联系电话：029-88720501</w:t>
      </w:r>
    </w:p>
    <w:p>
      <w:pPr>
        <w:pStyle w:val="null3"/>
      </w:pPr>
      <w:r>
        <w:rPr>
          <w:rFonts w:ascii="仿宋_GB2312" w:hAnsi="仿宋_GB2312" w:cs="仿宋_GB2312" w:eastAsia="仿宋_GB2312"/>
        </w:rPr>
        <w:t>地址：陕西省西安市雁塔区科技西路绿地博海大厦1603室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北妇女儿童医院数字化病案服务采购，根据医院信息化建设项目采购需求，完成历史病历数字化处理并可查阅，并能与其他病历整合。具有针对离线病历数据的智能化调用与传输机制。对于预约或已住院病人的全部离线医疗记录能够提前提供调取和访问功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数字化病案服务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标的名称：数字化病案服务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16"/>
              </w:rPr>
              <w:t>一、技术要求前须知</w:t>
            </w:r>
          </w:p>
          <w:p>
            <w:pPr>
              <w:pStyle w:val="null3"/>
              <w:ind w:firstLine="420"/>
            </w:pPr>
            <w:r>
              <w:rPr>
                <w:rFonts w:ascii="仿宋_GB2312" w:hAnsi="仿宋_GB2312" w:cs="仿宋_GB2312" w:eastAsia="仿宋_GB2312"/>
                <w:sz w:val="16"/>
              </w:rPr>
              <w:t>1.投标人所投产品须满足但不局限于以下规范要求：</w:t>
            </w:r>
          </w:p>
          <w:p>
            <w:pPr>
              <w:pStyle w:val="null3"/>
              <w:ind w:firstLine="420"/>
            </w:pPr>
            <w:r>
              <w:rPr>
                <w:rFonts w:ascii="仿宋_GB2312" w:hAnsi="仿宋_GB2312" w:cs="仿宋_GB2312" w:eastAsia="仿宋_GB2312"/>
                <w:sz w:val="16"/>
              </w:rPr>
              <w:t>满足及遵循《全国医院信息化建设标准与规范（试行）》（2018年版）相关要求。</w:t>
            </w:r>
          </w:p>
          <w:p>
            <w:pPr>
              <w:pStyle w:val="null3"/>
              <w:ind w:firstLine="420"/>
            </w:pPr>
            <w:r>
              <w:rPr>
                <w:rFonts w:ascii="仿宋_GB2312" w:hAnsi="仿宋_GB2312" w:cs="仿宋_GB2312" w:eastAsia="仿宋_GB2312"/>
                <w:sz w:val="16"/>
              </w:rPr>
              <w:t>满足及遵循《智慧医疗分级评价方法及标准》（2025年版）6级标准相关要求。</w:t>
            </w:r>
          </w:p>
          <w:p>
            <w:pPr>
              <w:pStyle w:val="null3"/>
              <w:ind w:firstLine="420"/>
            </w:pPr>
            <w:r>
              <w:rPr>
                <w:rFonts w:ascii="仿宋_GB2312" w:hAnsi="仿宋_GB2312" w:cs="仿宋_GB2312" w:eastAsia="仿宋_GB2312"/>
                <w:sz w:val="16"/>
              </w:rPr>
              <w:t>满足及遵循《国家医疗健康信息医院信息互联互通标准化成熟度测评方案》（2020年版）五级乙等相关要求。</w:t>
            </w:r>
          </w:p>
          <w:p>
            <w:pPr>
              <w:pStyle w:val="null3"/>
              <w:ind w:firstLine="420"/>
            </w:pPr>
            <w:r>
              <w:rPr>
                <w:rFonts w:ascii="仿宋_GB2312" w:hAnsi="仿宋_GB2312" w:cs="仿宋_GB2312" w:eastAsia="仿宋_GB2312"/>
                <w:sz w:val="16"/>
              </w:rPr>
              <w:t>满足及遵循《医院智慧服务分级评估标准体系（试行）》（最新版）五级相关要求。</w:t>
            </w:r>
          </w:p>
          <w:p>
            <w:pPr>
              <w:pStyle w:val="null3"/>
              <w:ind w:firstLine="420"/>
            </w:pPr>
            <w:r>
              <w:rPr>
                <w:rFonts w:ascii="仿宋_GB2312" w:hAnsi="仿宋_GB2312" w:cs="仿宋_GB2312" w:eastAsia="仿宋_GB2312"/>
                <w:sz w:val="16"/>
              </w:rPr>
              <w:t>满足及遵循《医院智慧管理分级评估标准体系（试行）》五级相关要求。</w:t>
            </w:r>
          </w:p>
          <w:p>
            <w:pPr>
              <w:pStyle w:val="null3"/>
              <w:ind w:firstLine="420"/>
            </w:pPr>
            <w:r>
              <w:rPr>
                <w:rFonts w:ascii="仿宋_GB2312" w:hAnsi="仿宋_GB2312" w:cs="仿宋_GB2312" w:eastAsia="仿宋_GB2312"/>
                <w:sz w:val="16"/>
              </w:rPr>
              <w:t>满足及遵循《国务院办公厅关于推动公立医院高质量发展的意见》。</w:t>
            </w:r>
          </w:p>
          <w:p>
            <w:pPr>
              <w:pStyle w:val="null3"/>
              <w:ind w:firstLine="420"/>
            </w:pPr>
            <w:r>
              <w:rPr>
                <w:rFonts w:ascii="仿宋_GB2312" w:hAnsi="仿宋_GB2312" w:cs="仿宋_GB2312" w:eastAsia="仿宋_GB2312"/>
                <w:sz w:val="16"/>
              </w:rPr>
              <w:t>满足及遵循《国家三级公立医院绩效考核操作手册》（2020版）相关条款。</w:t>
            </w:r>
          </w:p>
          <w:p>
            <w:pPr>
              <w:pStyle w:val="null3"/>
              <w:ind w:firstLine="420"/>
            </w:pPr>
            <w:r>
              <w:rPr>
                <w:rFonts w:ascii="仿宋_GB2312" w:hAnsi="仿宋_GB2312" w:cs="仿宋_GB2312" w:eastAsia="仿宋_GB2312"/>
                <w:sz w:val="16"/>
              </w:rPr>
              <w:t>满足及遵循国家卫健委关于进一步改善医疗服务行动计划相关要求。</w:t>
            </w:r>
          </w:p>
          <w:p>
            <w:pPr>
              <w:pStyle w:val="null3"/>
              <w:ind w:firstLine="420"/>
            </w:pPr>
            <w:r>
              <w:rPr>
                <w:rFonts w:ascii="仿宋_GB2312" w:hAnsi="仿宋_GB2312" w:cs="仿宋_GB2312" w:eastAsia="仿宋_GB2312"/>
                <w:sz w:val="16"/>
              </w:rPr>
              <w:t>满足及遵循《三级医院评审标准实施细则》和《三级妇幼保健院评审标准实施细则》要求。</w:t>
            </w:r>
          </w:p>
          <w:p>
            <w:pPr>
              <w:pStyle w:val="null3"/>
            </w:pPr>
            <w:r>
              <w:rPr>
                <w:rFonts w:ascii="仿宋_GB2312" w:hAnsi="仿宋_GB2312" w:cs="仿宋_GB2312" w:eastAsia="仿宋_GB2312"/>
                <w:sz w:val="16"/>
              </w:rPr>
              <w:t xml:space="preserve">     满足及遵循《陕西省智慧医院建设细则》（2024年版）相关要求。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rPr>
              <w:t>2.投标人须保证采购人在使用该货物或其任何一部分时，不受第三方侵权指控，同时不得向第三方泄露采购人提供的任何技术文件和相关信息等（提供承诺）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rPr>
              <w:t>3.投标人所投产品必须为最新版本并且承诺在项目实施过程中无条件满足符合中、省的技术类标准和业务规范变化的需求修改，非增加子系统或功能类的个性化需求，中标人须一并满足（提供承诺）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6"/>
              </w:rPr>
              <w:t>4.必须不低于已通过互联互通四甲、电子病历5级案例应用功能（提供佐证材料）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6"/>
              </w:rPr>
              <w:t>5.投标人所投产品必须包含原厂商授权的知识库并在上线前提供原厂商的授权许可使用证明文件（提供授权书）</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6"/>
              </w:rPr>
              <w:t>6.系统及接口：投标报价中需包含本次采购系统与集成平台、系统与电子病历以及系统与数据中心等双方所有接口费用；本项目采购的软件所有权、使用权及相关知识产权均归采购人（医院）所有，投标人不得设置任何使用限制或权利保留（提供承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20"/>
            </w:pPr>
            <w:r>
              <w:rPr>
                <w:rFonts w:ascii="仿宋_GB2312" w:hAnsi="仿宋_GB2312" w:cs="仿宋_GB2312" w:eastAsia="仿宋_GB2312"/>
                <w:sz w:val="16"/>
              </w:rPr>
              <w:t>二、功能清单</w:t>
            </w:r>
          </w:p>
          <w:p>
            <w:pPr>
              <w:pStyle w:val="null3"/>
              <w:ind w:firstLine="420"/>
            </w:pPr>
            <w:r>
              <w:rPr>
                <w:rFonts w:ascii="仿宋_GB2312" w:hAnsi="仿宋_GB2312" w:cs="仿宋_GB2312" w:eastAsia="仿宋_GB2312"/>
                <w:sz w:val="16"/>
              </w:rPr>
              <w:t>（一）病案数字化加工</w:t>
            </w:r>
          </w:p>
          <w:p>
            <w:pPr>
              <w:pStyle w:val="null3"/>
              <w:ind w:firstLine="420"/>
            </w:pPr>
            <w:r>
              <w:rPr>
                <w:rFonts w:ascii="仿宋_GB2312" w:hAnsi="仿宋_GB2312" w:cs="仿宋_GB2312" w:eastAsia="仿宋_GB2312"/>
                <w:sz w:val="16"/>
              </w:rPr>
              <w:t>1、病案接收</w:t>
            </w:r>
          </w:p>
          <w:p>
            <w:pPr>
              <w:pStyle w:val="null3"/>
              <w:ind w:firstLine="420"/>
            </w:pPr>
            <w:r>
              <w:rPr>
                <w:rFonts w:ascii="仿宋_GB2312" w:hAnsi="仿宋_GB2312" w:cs="仿宋_GB2312" w:eastAsia="仿宋_GB2312"/>
                <w:sz w:val="16"/>
              </w:rPr>
              <w:t>支持通过病案首页条形码（或二维码）及无条码对纸质病案进行接收，添加病案接收示踪点，记录患者基础信息、科室以及出院时间、接收时间等，支持列表导出。</w:t>
            </w:r>
          </w:p>
          <w:p>
            <w:pPr>
              <w:pStyle w:val="null3"/>
              <w:ind w:firstLine="420"/>
            </w:pPr>
            <w:r>
              <w:rPr>
                <w:rFonts w:ascii="仿宋_GB2312" w:hAnsi="仿宋_GB2312" w:cs="仿宋_GB2312" w:eastAsia="仿宋_GB2312"/>
                <w:sz w:val="16"/>
              </w:rPr>
              <w:t>2、拍摄扫描</w:t>
            </w:r>
          </w:p>
          <w:p>
            <w:pPr>
              <w:pStyle w:val="null3"/>
              <w:ind w:firstLine="420"/>
            </w:pPr>
            <w:r>
              <w:rPr>
                <w:rFonts w:ascii="仿宋_GB2312" w:hAnsi="仿宋_GB2312" w:cs="仿宋_GB2312" w:eastAsia="仿宋_GB2312"/>
                <w:sz w:val="16"/>
              </w:rPr>
              <w:t>2.1支持示踪点判断，纸质病案未经过接收，未添加接收示踪点时，不能对该本病案就行数字化扫描。</w:t>
            </w:r>
          </w:p>
          <w:p>
            <w:pPr>
              <w:pStyle w:val="null3"/>
              <w:ind w:firstLine="420"/>
            </w:pPr>
            <w:r>
              <w:rPr>
                <w:rFonts w:ascii="仿宋_GB2312" w:hAnsi="仿宋_GB2312" w:cs="仿宋_GB2312" w:eastAsia="仿宋_GB2312"/>
                <w:sz w:val="16"/>
              </w:rPr>
              <w:t>2.2支持不同品牌的数字化加工设备，如不同品牌的高拍仪、扫描仪。</w:t>
            </w:r>
          </w:p>
          <w:p>
            <w:pPr>
              <w:pStyle w:val="null3"/>
              <w:ind w:firstLine="420"/>
            </w:pPr>
            <w:r>
              <w:rPr>
                <w:rFonts w:ascii="仿宋_GB2312" w:hAnsi="仿宋_GB2312" w:cs="仿宋_GB2312" w:eastAsia="仿宋_GB2312"/>
                <w:sz w:val="16"/>
              </w:rPr>
              <w:t>2.3具备数字化加工图片基础处理功能，如纠偏、旋转、替扫、插扫功能等。</w:t>
            </w:r>
          </w:p>
          <w:p>
            <w:pPr>
              <w:pStyle w:val="null3"/>
              <w:ind w:firstLine="420"/>
            </w:pPr>
            <w:r>
              <w:rPr>
                <w:rFonts w:ascii="仿宋_GB2312" w:hAnsi="仿宋_GB2312" w:cs="仿宋_GB2312" w:eastAsia="仿宋_GB2312"/>
                <w:sz w:val="16"/>
              </w:rPr>
              <w:t>2.4保障准确性，系统具备编目审核功能，当系统检测到某一页未编目时，不能够完成本次流程且提示漏编。</w:t>
            </w:r>
          </w:p>
          <w:p>
            <w:pPr>
              <w:pStyle w:val="null3"/>
              <w:ind w:firstLine="420"/>
            </w:pPr>
            <w:r>
              <w:rPr>
                <w:rFonts w:ascii="仿宋_GB2312" w:hAnsi="仿宋_GB2312" w:cs="仿宋_GB2312" w:eastAsia="仿宋_GB2312"/>
                <w:sz w:val="16"/>
              </w:rPr>
              <w:t>3、扫描质控</w:t>
            </w:r>
          </w:p>
          <w:p>
            <w:pPr>
              <w:pStyle w:val="null3"/>
              <w:ind w:firstLine="420"/>
            </w:pPr>
            <w:r>
              <w:rPr>
                <w:rFonts w:ascii="仿宋_GB2312" w:hAnsi="仿宋_GB2312" w:cs="仿宋_GB2312" w:eastAsia="仿宋_GB2312"/>
                <w:sz w:val="16"/>
              </w:rPr>
              <w:t>支持对扫描质量进行评论，说明不合格原因，扫描人员根据个人姓名，查看已质控不合格病历，查看不合格原因然后进行追加扫描或图像处理。</w:t>
            </w:r>
          </w:p>
          <w:p>
            <w:pPr>
              <w:pStyle w:val="null3"/>
              <w:ind w:firstLine="420"/>
            </w:pPr>
            <w:r>
              <w:rPr>
                <w:rFonts w:ascii="仿宋_GB2312" w:hAnsi="仿宋_GB2312" w:cs="仿宋_GB2312" w:eastAsia="仿宋_GB2312"/>
                <w:sz w:val="16"/>
              </w:rPr>
              <w:t>4、扫描量统计</w:t>
            </w:r>
          </w:p>
          <w:p>
            <w:pPr>
              <w:pStyle w:val="null3"/>
              <w:ind w:firstLine="420"/>
            </w:pPr>
            <w:r>
              <w:rPr>
                <w:rFonts w:ascii="仿宋_GB2312" w:hAnsi="仿宋_GB2312" w:cs="仿宋_GB2312" w:eastAsia="仿宋_GB2312"/>
                <w:sz w:val="16"/>
              </w:rPr>
              <w:t>支持根据时间检索查询每日个人工作量、日汇总工作量、用户汇总工作量。</w:t>
            </w:r>
          </w:p>
          <w:p>
            <w:pPr>
              <w:pStyle w:val="null3"/>
              <w:ind w:firstLine="420"/>
            </w:pPr>
            <w:r>
              <w:rPr>
                <w:rFonts w:ascii="仿宋_GB2312" w:hAnsi="仿宋_GB2312" w:cs="仿宋_GB2312" w:eastAsia="仿宋_GB2312"/>
                <w:sz w:val="16"/>
              </w:rPr>
              <w:t>5、特殊病案标记</w:t>
            </w:r>
          </w:p>
          <w:p>
            <w:pPr>
              <w:pStyle w:val="null3"/>
              <w:ind w:firstLine="420"/>
            </w:pPr>
            <w:r>
              <w:rPr>
                <w:rFonts w:ascii="仿宋_GB2312" w:hAnsi="仿宋_GB2312" w:cs="仿宋_GB2312" w:eastAsia="仿宋_GB2312"/>
                <w:sz w:val="16"/>
              </w:rPr>
              <w:t>支持根据病案的特性标记为特殊病案。</w:t>
            </w:r>
          </w:p>
          <w:p>
            <w:pPr>
              <w:pStyle w:val="null3"/>
              <w:ind w:firstLine="420"/>
            </w:pPr>
            <w:r>
              <w:rPr>
                <w:rFonts w:ascii="仿宋_GB2312" w:hAnsi="仿宋_GB2312" w:cs="仿宋_GB2312" w:eastAsia="仿宋_GB2312"/>
                <w:sz w:val="16"/>
              </w:rPr>
              <w:t>（二）病案查询及导出</w:t>
            </w:r>
          </w:p>
          <w:p>
            <w:pPr>
              <w:pStyle w:val="null3"/>
              <w:ind w:firstLine="420"/>
            </w:pPr>
            <w:r>
              <w:rPr>
                <w:rFonts w:ascii="仿宋_GB2312" w:hAnsi="仿宋_GB2312" w:cs="仿宋_GB2312" w:eastAsia="仿宋_GB2312"/>
                <w:sz w:val="16"/>
              </w:rPr>
              <w:t>1、导出查询</w:t>
            </w:r>
          </w:p>
          <w:p>
            <w:pPr>
              <w:pStyle w:val="null3"/>
              <w:ind w:firstLine="420"/>
            </w:pPr>
            <w:r>
              <w:rPr>
                <w:rFonts w:ascii="仿宋_GB2312" w:hAnsi="仿宋_GB2312" w:cs="仿宋_GB2312" w:eastAsia="仿宋_GB2312"/>
                <w:sz w:val="16"/>
              </w:rPr>
              <w:t>具备根据病案首页字段多条件复合查询和导出功能，病案导出时自动设置文字水印、签章水印、编目标签；</w:t>
            </w:r>
          </w:p>
          <w:p>
            <w:pPr>
              <w:pStyle w:val="null3"/>
              <w:ind w:firstLine="420"/>
            </w:pPr>
            <w:r>
              <w:rPr>
                <w:rFonts w:ascii="仿宋_GB2312" w:hAnsi="仿宋_GB2312" w:cs="仿宋_GB2312" w:eastAsia="仿宋_GB2312"/>
                <w:sz w:val="16"/>
              </w:rPr>
              <w:t>2、套餐导出</w:t>
            </w:r>
          </w:p>
          <w:p>
            <w:pPr>
              <w:pStyle w:val="null3"/>
              <w:ind w:firstLine="420"/>
            </w:pPr>
            <w:r>
              <w:rPr>
                <w:rFonts w:ascii="仿宋_GB2312" w:hAnsi="仿宋_GB2312" w:cs="仿宋_GB2312" w:eastAsia="仿宋_GB2312"/>
                <w:sz w:val="16"/>
              </w:rPr>
              <w:t>支持按查询条件设置导出套餐，并能实现套餐的新增、编辑、修改、查询。</w:t>
            </w:r>
          </w:p>
          <w:p>
            <w:pPr>
              <w:pStyle w:val="null3"/>
              <w:ind w:firstLine="420"/>
            </w:pPr>
            <w:r>
              <w:rPr>
                <w:rFonts w:ascii="仿宋_GB2312" w:hAnsi="仿宋_GB2312" w:cs="仿宋_GB2312" w:eastAsia="仿宋_GB2312"/>
                <w:sz w:val="16"/>
              </w:rPr>
              <w:t>3、导出记录统计</w:t>
            </w:r>
          </w:p>
          <w:p>
            <w:pPr>
              <w:pStyle w:val="null3"/>
              <w:ind w:firstLine="420"/>
            </w:pPr>
            <w:r>
              <w:rPr>
                <w:rFonts w:ascii="仿宋_GB2312" w:hAnsi="仿宋_GB2312" w:cs="仿宋_GB2312" w:eastAsia="仿宋_GB2312"/>
                <w:sz w:val="16"/>
              </w:rPr>
              <w:t>根据导出用户查询，统计导出的数据。</w:t>
            </w:r>
          </w:p>
          <w:p>
            <w:pPr>
              <w:pStyle w:val="null3"/>
              <w:ind w:firstLine="420"/>
            </w:pPr>
            <w:r>
              <w:rPr>
                <w:rFonts w:ascii="仿宋_GB2312" w:hAnsi="仿宋_GB2312" w:cs="仿宋_GB2312" w:eastAsia="仿宋_GB2312"/>
                <w:sz w:val="16"/>
              </w:rPr>
              <w:t>4、导出水印</w:t>
            </w:r>
          </w:p>
          <w:p>
            <w:pPr>
              <w:pStyle w:val="null3"/>
              <w:ind w:firstLine="420"/>
            </w:pPr>
            <w:r>
              <w:rPr>
                <w:rFonts w:ascii="仿宋_GB2312" w:hAnsi="仿宋_GB2312" w:cs="仿宋_GB2312" w:eastAsia="仿宋_GB2312"/>
                <w:sz w:val="16"/>
              </w:rPr>
              <w:t>具备导出的病案(PDF/OFD)文件加盖病案室签章，具有水印和去隐私功能。</w:t>
            </w:r>
          </w:p>
          <w:p>
            <w:pPr>
              <w:pStyle w:val="null3"/>
              <w:ind w:firstLine="420"/>
            </w:pPr>
            <w:r>
              <w:rPr>
                <w:rFonts w:ascii="仿宋_GB2312" w:hAnsi="仿宋_GB2312" w:cs="仿宋_GB2312" w:eastAsia="仿宋_GB2312"/>
                <w:sz w:val="16"/>
              </w:rPr>
              <w:t>（三）病案调借阅管理</w:t>
            </w:r>
          </w:p>
          <w:p>
            <w:pPr>
              <w:pStyle w:val="null3"/>
              <w:ind w:firstLine="420"/>
            </w:pPr>
            <w:r>
              <w:rPr>
                <w:rFonts w:ascii="仿宋_GB2312" w:hAnsi="仿宋_GB2312" w:cs="仿宋_GB2312" w:eastAsia="仿宋_GB2312"/>
                <w:sz w:val="16"/>
              </w:rPr>
              <w:t>1、病案人员调阅</w:t>
            </w:r>
          </w:p>
          <w:p>
            <w:pPr>
              <w:pStyle w:val="null3"/>
              <w:ind w:firstLine="420"/>
            </w:pPr>
            <w:r>
              <w:rPr>
                <w:rFonts w:ascii="仿宋_GB2312" w:hAnsi="仿宋_GB2312" w:cs="仿宋_GB2312" w:eastAsia="仿宋_GB2312"/>
                <w:sz w:val="16"/>
              </w:rPr>
              <w:t>病案部门管理人员能够检索调阅全院病案，支持录入调阅理由和申请人，支持按权限无需申请审批流程即可查看病历，保障调阅病历的便利性和有迹可循。</w:t>
            </w:r>
          </w:p>
          <w:p>
            <w:pPr>
              <w:pStyle w:val="null3"/>
              <w:ind w:firstLine="420"/>
            </w:pPr>
            <w:r>
              <w:rPr>
                <w:rFonts w:ascii="仿宋_GB2312" w:hAnsi="仿宋_GB2312" w:cs="仿宋_GB2312" w:eastAsia="仿宋_GB2312"/>
                <w:sz w:val="16"/>
              </w:rPr>
              <w:t>2、临床人员借阅</w:t>
            </w:r>
          </w:p>
          <w:p>
            <w:pPr>
              <w:pStyle w:val="null3"/>
              <w:ind w:firstLine="420"/>
            </w:pPr>
            <w:r>
              <w:rPr>
                <w:rFonts w:ascii="仿宋_GB2312" w:hAnsi="仿宋_GB2312" w:cs="仿宋_GB2312" w:eastAsia="仿宋_GB2312"/>
                <w:sz w:val="16"/>
              </w:rPr>
              <w:t>临床医生能够查阅本科室的病案，借阅其他科室的病案需要审批通过后查看，支持设置默认查看天数，到期后自动关闭查看权限；支持设置审核条件，用户选择指定条件时，该条件能够自动通过审核，无需审批。</w:t>
            </w:r>
          </w:p>
          <w:p>
            <w:pPr>
              <w:pStyle w:val="null3"/>
              <w:ind w:firstLine="420"/>
            </w:pPr>
            <w:r>
              <w:rPr>
                <w:rFonts w:ascii="仿宋_GB2312" w:hAnsi="仿宋_GB2312" w:cs="仿宋_GB2312" w:eastAsia="仿宋_GB2312"/>
                <w:sz w:val="16"/>
              </w:rPr>
              <w:t>3、调阅记录</w:t>
            </w:r>
          </w:p>
          <w:p>
            <w:pPr>
              <w:pStyle w:val="null3"/>
              <w:ind w:firstLine="420"/>
            </w:pPr>
            <w:r>
              <w:rPr>
                <w:rFonts w:ascii="仿宋_GB2312" w:hAnsi="仿宋_GB2312" w:cs="仿宋_GB2312" w:eastAsia="仿宋_GB2312"/>
                <w:sz w:val="16"/>
              </w:rPr>
              <w:t>能够根据调阅理由、申请人、科室、时间等查阅调阅历史记录，调阅记录可导出。</w:t>
            </w:r>
          </w:p>
          <w:p>
            <w:pPr>
              <w:pStyle w:val="null3"/>
              <w:ind w:firstLine="420"/>
            </w:pPr>
            <w:r>
              <w:rPr>
                <w:rFonts w:ascii="仿宋_GB2312" w:hAnsi="仿宋_GB2312" w:cs="仿宋_GB2312" w:eastAsia="仿宋_GB2312"/>
                <w:sz w:val="16"/>
              </w:rPr>
              <w:t>4、借阅申请记录统计</w:t>
            </w:r>
          </w:p>
          <w:p>
            <w:pPr>
              <w:pStyle w:val="null3"/>
              <w:ind w:firstLine="420"/>
            </w:pPr>
            <w:r>
              <w:rPr>
                <w:rFonts w:ascii="仿宋_GB2312" w:hAnsi="仿宋_GB2312" w:cs="仿宋_GB2312" w:eastAsia="仿宋_GB2312"/>
                <w:sz w:val="16"/>
              </w:rPr>
              <w:t>支持根据条件检索并统计借阅记录。</w:t>
            </w:r>
          </w:p>
          <w:p>
            <w:pPr>
              <w:pStyle w:val="null3"/>
              <w:ind w:firstLine="420"/>
            </w:pPr>
            <w:r>
              <w:rPr>
                <w:rFonts w:ascii="仿宋_GB2312" w:hAnsi="仿宋_GB2312" w:cs="仿宋_GB2312" w:eastAsia="仿宋_GB2312"/>
                <w:sz w:val="16"/>
              </w:rPr>
              <w:t>（四）病案打印</w:t>
            </w:r>
          </w:p>
          <w:p>
            <w:pPr>
              <w:pStyle w:val="null3"/>
              <w:ind w:firstLine="420"/>
            </w:pPr>
            <w:r>
              <w:rPr>
                <w:rFonts w:ascii="仿宋_GB2312" w:hAnsi="仿宋_GB2312" w:cs="仿宋_GB2312" w:eastAsia="仿宋_GB2312"/>
                <w:sz w:val="16"/>
              </w:rPr>
              <w:t>1.病案打印</w:t>
            </w:r>
          </w:p>
          <w:p>
            <w:pPr>
              <w:pStyle w:val="null3"/>
              <w:ind w:firstLine="420"/>
            </w:pPr>
            <w:r>
              <w:rPr>
                <w:rFonts w:ascii="仿宋_GB2312" w:hAnsi="仿宋_GB2312" w:cs="仿宋_GB2312" w:eastAsia="仿宋_GB2312"/>
                <w:sz w:val="16"/>
              </w:rPr>
              <w:t>支持识别患者身份证，快速输入患者姓名身份证号进行查询，高拍留存打印证明材料，可预设打印套餐(组合）自动选择打印的病案文件。支持选择免费打印，能够添加公检法、医保等打印不付费的原因。</w:t>
            </w:r>
          </w:p>
          <w:p>
            <w:pPr>
              <w:pStyle w:val="null3"/>
              <w:ind w:firstLine="420"/>
            </w:pPr>
            <w:r>
              <w:rPr>
                <w:rFonts w:ascii="仿宋_GB2312" w:hAnsi="仿宋_GB2312" w:cs="仿宋_GB2312" w:eastAsia="仿宋_GB2312"/>
                <w:sz w:val="16"/>
              </w:rPr>
              <w:t>2、打印记录</w:t>
            </w:r>
          </w:p>
          <w:p>
            <w:pPr>
              <w:pStyle w:val="null3"/>
              <w:ind w:firstLine="420"/>
            </w:pPr>
            <w:r>
              <w:rPr>
                <w:rFonts w:ascii="仿宋_GB2312" w:hAnsi="仿宋_GB2312" w:cs="仿宋_GB2312" w:eastAsia="仿宋_GB2312"/>
                <w:sz w:val="16"/>
              </w:rPr>
              <w:t>具备查询病案打印历史记录，能够自定义搜索查询，查看具体打印详细信息。（包括留存的证明材料），导出打印记录的功能。</w:t>
            </w:r>
          </w:p>
          <w:p>
            <w:pPr>
              <w:pStyle w:val="null3"/>
              <w:ind w:firstLine="420"/>
            </w:pPr>
            <w:r>
              <w:rPr>
                <w:rFonts w:ascii="仿宋_GB2312" w:hAnsi="仿宋_GB2312" w:cs="仿宋_GB2312" w:eastAsia="仿宋_GB2312"/>
                <w:sz w:val="16"/>
              </w:rPr>
              <w:t>3、打印统计</w:t>
            </w:r>
          </w:p>
          <w:p>
            <w:pPr>
              <w:pStyle w:val="null3"/>
              <w:ind w:firstLine="420"/>
            </w:pPr>
            <w:r>
              <w:rPr>
                <w:rFonts w:ascii="仿宋_GB2312" w:hAnsi="仿宋_GB2312" w:cs="仿宋_GB2312" w:eastAsia="仿宋_GB2312"/>
                <w:sz w:val="16"/>
              </w:rPr>
              <w:t>具备按打印时间，打印类型、打印人员、打印科室、统计病案打印次数、份数、页数的功能。</w:t>
            </w:r>
          </w:p>
          <w:p>
            <w:pPr>
              <w:pStyle w:val="null3"/>
              <w:ind w:firstLine="420"/>
            </w:pPr>
            <w:r>
              <w:rPr>
                <w:rFonts w:ascii="仿宋_GB2312" w:hAnsi="仿宋_GB2312" w:cs="仿宋_GB2312" w:eastAsia="仿宋_GB2312"/>
                <w:sz w:val="16"/>
              </w:rPr>
              <w:t>4、套餐（组合）管理</w:t>
            </w:r>
          </w:p>
          <w:p>
            <w:pPr>
              <w:pStyle w:val="null3"/>
              <w:ind w:firstLine="420"/>
            </w:pPr>
            <w:r>
              <w:rPr>
                <w:rFonts w:ascii="仿宋_GB2312" w:hAnsi="仿宋_GB2312" w:cs="仿宋_GB2312" w:eastAsia="仿宋_GB2312"/>
                <w:sz w:val="16"/>
              </w:rPr>
              <w:t>支持打印操作员快速选择打印内容，可以添加、编辑、删除套餐（组合）。</w:t>
            </w:r>
          </w:p>
          <w:p>
            <w:pPr>
              <w:pStyle w:val="null3"/>
              <w:ind w:firstLine="420"/>
            </w:pPr>
            <w:r>
              <w:rPr>
                <w:rFonts w:ascii="仿宋_GB2312" w:hAnsi="仿宋_GB2312" w:cs="仿宋_GB2312" w:eastAsia="仿宋_GB2312"/>
                <w:sz w:val="16"/>
              </w:rPr>
              <w:t>5、网上预约病案打印邮寄</w:t>
            </w:r>
          </w:p>
          <w:p>
            <w:pPr>
              <w:pStyle w:val="null3"/>
              <w:ind w:firstLine="420"/>
            </w:pPr>
            <w:r>
              <w:rPr>
                <w:rFonts w:ascii="仿宋_GB2312" w:hAnsi="仿宋_GB2312" w:cs="仿宋_GB2312" w:eastAsia="仿宋_GB2312"/>
                <w:sz w:val="16"/>
              </w:rPr>
              <w:t>能够按照时间段，系统支持与互联网医院对接，实现网上预约的病案打印邮寄和统计。</w:t>
            </w:r>
          </w:p>
          <w:p>
            <w:pPr>
              <w:pStyle w:val="null3"/>
              <w:ind w:firstLine="420"/>
            </w:pPr>
            <w:r>
              <w:rPr>
                <w:rFonts w:ascii="仿宋_GB2312" w:hAnsi="仿宋_GB2312" w:cs="仿宋_GB2312" w:eastAsia="仿宋_GB2312"/>
                <w:sz w:val="16"/>
              </w:rPr>
              <w:t>6、打印设置</w:t>
            </w:r>
          </w:p>
          <w:p>
            <w:pPr>
              <w:pStyle w:val="null3"/>
              <w:ind w:firstLine="420"/>
            </w:pPr>
            <w:r>
              <w:rPr>
                <w:rFonts w:ascii="仿宋_GB2312" w:hAnsi="仿宋_GB2312" w:cs="仿宋_GB2312" w:eastAsia="仿宋_GB2312"/>
                <w:sz w:val="16"/>
              </w:rPr>
              <w:t>设置打印水印、收费自动计算打印设置信息等。系统支持对接自主打印机，实现患者自主打印。</w:t>
            </w:r>
          </w:p>
          <w:p>
            <w:pPr>
              <w:pStyle w:val="null3"/>
              <w:ind w:firstLine="420"/>
            </w:pPr>
            <w:r>
              <w:rPr>
                <w:rFonts w:ascii="仿宋_GB2312" w:hAnsi="仿宋_GB2312" w:cs="仿宋_GB2312" w:eastAsia="仿宋_GB2312"/>
                <w:sz w:val="16"/>
              </w:rPr>
              <w:t>（五）病案流程示踪管理</w:t>
            </w:r>
          </w:p>
          <w:p>
            <w:pPr>
              <w:pStyle w:val="null3"/>
              <w:ind w:firstLine="420"/>
            </w:pPr>
            <w:r>
              <w:rPr>
                <w:rFonts w:ascii="仿宋_GB2312" w:hAnsi="仿宋_GB2312" w:cs="仿宋_GB2312" w:eastAsia="仿宋_GB2312"/>
                <w:sz w:val="16"/>
              </w:rPr>
              <w:t>1、扫码装箱</w:t>
            </w:r>
          </w:p>
          <w:p>
            <w:pPr>
              <w:pStyle w:val="null3"/>
              <w:ind w:firstLine="420"/>
            </w:pPr>
            <w:r>
              <w:rPr>
                <w:rFonts w:ascii="仿宋_GB2312" w:hAnsi="仿宋_GB2312" w:cs="仿宋_GB2312" w:eastAsia="仿宋_GB2312"/>
                <w:sz w:val="16"/>
              </w:rPr>
              <w:t>具备条码打印，系统根据病案信息生成二维码并打印，用于标识病案封皮、箱号；能够扫描病案条码添加示踪点，系统判断该本病案是否扫描，提示未扫描病案拒绝装箱。实现多本病案存放在一个箱号内；能够根据条件检索当前箱内的病案的功能。</w:t>
            </w:r>
          </w:p>
          <w:p>
            <w:pPr>
              <w:pStyle w:val="null3"/>
              <w:ind w:firstLine="420"/>
            </w:pPr>
            <w:r>
              <w:rPr>
                <w:rFonts w:ascii="仿宋_GB2312" w:hAnsi="仿宋_GB2312" w:cs="仿宋_GB2312" w:eastAsia="仿宋_GB2312"/>
                <w:sz w:val="16"/>
              </w:rPr>
              <w:t>2、病案示踪</w:t>
            </w:r>
          </w:p>
          <w:p>
            <w:pPr>
              <w:pStyle w:val="null3"/>
              <w:ind w:firstLine="420"/>
            </w:pPr>
            <w:r>
              <w:rPr>
                <w:rFonts w:ascii="仿宋_GB2312" w:hAnsi="仿宋_GB2312" w:cs="仿宋_GB2312" w:eastAsia="仿宋_GB2312"/>
                <w:sz w:val="16"/>
              </w:rPr>
              <w:t>具备操作留痕，能够按照时间轴的方式显示所有病案的踪迹。能够准确查询到病案在哪个仓库、货架、箱内。支持添加、删除医院仓库信息和病案架信息。</w:t>
            </w:r>
          </w:p>
          <w:p>
            <w:pPr>
              <w:pStyle w:val="null3"/>
              <w:ind w:firstLine="420"/>
            </w:pPr>
            <w:r>
              <w:rPr>
                <w:rFonts w:ascii="仿宋_GB2312" w:hAnsi="仿宋_GB2312" w:cs="仿宋_GB2312" w:eastAsia="仿宋_GB2312"/>
                <w:sz w:val="16"/>
              </w:rPr>
              <w:t>（六）统计管理</w:t>
            </w:r>
          </w:p>
          <w:p>
            <w:pPr>
              <w:pStyle w:val="null3"/>
              <w:ind w:firstLine="420"/>
            </w:pPr>
            <w:r>
              <w:rPr>
                <w:rFonts w:ascii="仿宋_GB2312" w:hAnsi="仿宋_GB2312" w:cs="仿宋_GB2312" w:eastAsia="仿宋_GB2312"/>
                <w:sz w:val="16"/>
              </w:rPr>
              <w:t>1、数据统计</w:t>
            </w:r>
          </w:p>
          <w:p>
            <w:pPr>
              <w:pStyle w:val="null3"/>
              <w:ind w:firstLine="420"/>
            </w:pPr>
            <w:r>
              <w:rPr>
                <w:rFonts w:ascii="仿宋_GB2312" w:hAnsi="仿宋_GB2312" w:cs="仿宋_GB2312" w:eastAsia="仿宋_GB2312"/>
                <w:sz w:val="16"/>
              </w:rPr>
              <w:t>具备纸质病案回收率、纸质病案签收、病案归档、病案借阅、封存以及示踪超时操作病案统计等。</w:t>
            </w:r>
          </w:p>
          <w:p>
            <w:pPr>
              <w:pStyle w:val="null3"/>
              <w:ind w:firstLine="420"/>
            </w:pPr>
            <w:r>
              <w:rPr>
                <w:rFonts w:ascii="仿宋_GB2312" w:hAnsi="仿宋_GB2312" w:cs="仿宋_GB2312" w:eastAsia="仿宋_GB2312"/>
                <w:sz w:val="16"/>
              </w:rPr>
              <w:t>2、数据大屏</w:t>
            </w:r>
          </w:p>
          <w:p>
            <w:pPr>
              <w:pStyle w:val="null3"/>
              <w:ind w:firstLine="420"/>
            </w:pPr>
            <w:r>
              <w:rPr>
                <w:rFonts w:ascii="仿宋_GB2312" w:hAnsi="仿宋_GB2312" w:cs="仿宋_GB2312" w:eastAsia="仿宋_GB2312"/>
                <w:sz w:val="16"/>
              </w:rPr>
              <w:t>具备数据可视化统计大屏，通过统一的界面，监控病案无纸化归档的各个指标，以曲线图、柱状图、饼状图动态实时展示，实现数据可视化管理。实时监控不同节点的操作统计数据的功能。</w:t>
            </w:r>
          </w:p>
          <w:p>
            <w:pPr>
              <w:pStyle w:val="null3"/>
              <w:ind w:firstLine="420"/>
            </w:pPr>
            <w:r>
              <w:rPr>
                <w:rFonts w:ascii="仿宋_GB2312" w:hAnsi="仿宋_GB2312" w:cs="仿宋_GB2312" w:eastAsia="仿宋_GB2312"/>
                <w:sz w:val="16"/>
              </w:rPr>
              <w:t>（七）病案封存管理</w:t>
            </w:r>
          </w:p>
          <w:p>
            <w:pPr>
              <w:pStyle w:val="null3"/>
              <w:ind w:firstLine="420"/>
            </w:pPr>
            <w:r>
              <w:rPr>
                <w:rFonts w:ascii="仿宋_GB2312" w:hAnsi="仿宋_GB2312" w:cs="仿宋_GB2312" w:eastAsia="仿宋_GB2312"/>
                <w:sz w:val="16"/>
              </w:rPr>
              <w:t>1、封存病案</w:t>
            </w:r>
          </w:p>
          <w:p>
            <w:pPr>
              <w:pStyle w:val="null3"/>
              <w:ind w:firstLine="420"/>
            </w:pPr>
            <w:r>
              <w:rPr>
                <w:rFonts w:ascii="仿宋_GB2312" w:hAnsi="仿宋_GB2312" w:cs="仿宋_GB2312" w:eastAsia="仿宋_GB2312"/>
                <w:sz w:val="16"/>
              </w:rPr>
              <w:t>具备整本封存和单页封存，支持封存双重审核。具备病案封存/解封先申请再审核的管理流。解封/封存申请时支持上传相关附件及拍摄的功能。病案封存期间，禁止借阅、浏览、打印等操作。</w:t>
            </w:r>
          </w:p>
          <w:p>
            <w:pPr>
              <w:pStyle w:val="null3"/>
              <w:ind w:firstLine="420"/>
            </w:pPr>
            <w:r>
              <w:rPr>
                <w:rFonts w:ascii="仿宋_GB2312" w:hAnsi="仿宋_GB2312" w:cs="仿宋_GB2312" w:eastAsia="仿宋_GB2312"/>
                <w:sz w:val="16"/>
              </w:rPr>
              <w:t>2、封存记录</w:t>
            </w:r>
          </w:p>
          <w:p>
            <w:pPr>
              <w:pStyle w:val="null3"/>
              <w:ind w:firstLine="420"/>
            </w:pPr>
            <w:r>
              <w:rPr>
                <w:rFonts w:ascii="仿宋_GB2312" w:hAnsi="仿宋_GB2312" w:cs="仿宋_GB2312" w:eastAsia="仿宋_GB2312"/>
                <w:sz w:val="16"/>
              </w:rPr>
              <w:t>具备自定义检索全部封存记录，支持对已封存病案进行解封申请的功能。</w:t>
            </w:r>
          </w:p>
          <w:p>
            <w:pPr>
              <w:pStyle w:val="null3"/>
              <w:ind w:firstLine="420"/>
            </w:pPr>
            <w:r>
              <w:rPr>
                <w:rFonts w:ascii="仿宋_GB2312" w:hAnsi="仿宋_GB2312" w:cs="仿宋_GB2312" w:eastAsia="仿宋_GB2312"/>
                <w:sz w:val="16"/>
              </w:rPr>
              <w:t>（八）病案安全</w:t>
            </w:r>
          </w:p>
          <w:p>
            <w:pPr>
              <w:pStyle w:val="null3"/>
              <w:ind w:firstLine="420"/>
            </w:pPr>
            <w:r>
              <w:rPr>
                <w:rFonts w:ascii="仿宋_GB2312" w:hAnsi="仿宋_GB2312" w:cs="仿宋_GB2312" w:eastAsia="仿宋_GB2312"/>
                <w:sz w:val="16"/>
              </w:rPr>
              <w:t>具备设置病案保密级别，不同权限的管理员可查询不同级别并支持向下兼容的功能。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20"/>
            </w:pPr>
            <w:r>
              <w:rPr>
                <w:rFonts w:ascii="仿宋_GB2312" w:hAnsi="仿宋_GB2312" w:cs="仿宋_GB2312" w:eastAsia="仿宋_GB2312"/>
                <w:sz w:val="16"/>
              </w:rPr>
              <w:t>三、其他要求</w:t>
            </w:r>
          </w:p>
          <w:p>
            <w:pPr>
              <w:pStyle w:val="null3"/>
              <w:ind w:firstLine="420"/>
            </w:pPr>
            <w:r>
              <w:rPr>
                <w:rFonts w:ascii="仿宋_GB2312" w:hAnsi="仿宋_GB2312" w:cs="仿宋_GB2312" w:eastAsia="仿宋_GB2312"/>
                <w:sz w:val="16"/>
              </w:rPr>
              <w:t>1.本项目为单项报价（元/张），最高限价：0.065元/张；病历目录建立费用固定价格0.5元/份；所有费用据实结算，合同总金额不超过3500000元；</w:t>
            </w:r>
          </w:p>
          <w:p>
            <w:pPr>
              <w:pStyle w:val="null3"/>
              <w:ind w:firstLine="420"/>
            </w:pPr>
            <w:r>
              <w:rPr>
                <w:rFonts w:ascii="仿宋_GB2312" w:hAnsi="仿宋_GB2312" w:cs="仿宋_GB2312" w:eastAsia="仿宋_GB2312"/>
                <w:sz w:val="16"/>
              </w:rPr>
              <w:t>2.实施范围：本项目所有招标采购内容，需覆盖西北妇女儿童医院同一法人下的所有院区中所有涉及的业务科室，并且不限制终端使用数量。</w:t>
            </w:r>
          </w:p>
          <w:p>
            <w:pPr>
              <w:pStyle w:val="null3"/>
              <w:ind w:firstLine="420"/>
            </w:pPr>
            <w:r>
              <w:rPr>
                <w:rFonts w:ascii="仿宋_GB2312" w:hAnsi="仿宋_GB2312" w:cs="仿宋_GB2312" w:eastAsia="仿宋_GB2312"/>
                <w:sz w:val="16"/>
              </w:rPr>
              <w:t>3.实施方案:一投标人针对本项目情况制定科学、合理可行的实施方案，包括但不限于实施方案的科学性、合理性、规范性和可操作性，包括件开、安装调试、测试、试运行、调优等内容，以及组织架构、工作时间进度表、工作租序和步骤、管理和协调方法、关键步骤的思路和要点等;现场需配置能满足一年内完成工期的人员及设备并对任务角色近行明确，经过双方确认后方可开工。</w:t>
            </w:r>
          </w:p>
          <w:p>
            <w:pPr>
              <w:pStyle w:val="null3"/>
              <w:ind w:firstLine="420"/>
            </w:pPr>
            <w:r>
              <w:rPr>
                <w:rFonts w:ascii="仿宋_GB2312" w:hAnsi="仿宋_GB2312" w:cs="仿宋_GB2312" w:eastAsia="仿宋_GB2312"/>
                <w:sz w:val="16"/>
              </w:rPr>
              <w:t>4.实施情况</w:t>
            </w:r>
          </w:p>
          <w:p>
            <w:pPr>
              <w:pStyle w:val="null3"/>
              <w:ind w:firstLine="420"/>
            </w:pPr>
            <w:r>
              <w:rPr>
                <w:rFonts w:ascii="仿宋_GB2312" w:hAnsi="仿宋_GB2312" w:cs="仿宋_GB2312" w:eastAsia="仿宋_GB2312"/>
                <w:sz w:val="16"/>
              </w:rPr>
              <w:t>（1）投标人需配合采购人完成规范要求的评估工作，包括：协助评价/测评/评估标准的解读、数据填报、实证/文审材料准备、现场迎评以及评审后功能整改等技术支持。</w:t>
            </w:r>
          </w:p>
          <w:p>
            <w:pPr>
              <w:pStyle w:val="null3"/>
              <w:ind w:firstLine="420"/>
            </w:pPr>
            <w:r>
              <w:rPr>
                <w:rFonts w:ascii="仿宋_GB2312" w:hAnsi="仿宋_GB2312" w:cs="仿宋_GB2312" w:eastAsia="仿宋_GB2312"/>
                <w:sz w:val="16"/>
              </w:rPr>
              <w:t>注：投标报价需包含上述咨询、技术支持涉及的相关费用。</w:t>
            </w:r>
          </w:p>
          <w:p>
            <w:pPr>
              <w:pStyle w:val="null3"/>
              <w:ind w:firstLine="420"/>
            </w:pPr>
            <w:r>
              <w:rPr>
                <w:rFonts w:ascii="仿宋_GB2312" w:hAnsi="仿宋_GB2312" w:cs="仿宋_GB2312" w:eastAsia="仿宋_GB2312"/>
                <w:sz w:val="16"/>
              </w:rPr>
              <w:t>（2）投标人需提供和协助采购人通过信息安全等级保护测评工作，等保测评涉及的本次采购软件系统的改造、升级费用一并包含在本次报价中。</w:t>
            </w:r>
          </w:p>
          <w:p>
            <w:pPr>
              <w:pStyle w:val="null3"/>
              <w:ind w:firstLine="420"/>
            </w:pPr>
            <w:r>
              <w:rPr>
                <w:rFonts w:ascii="仿宋_GB2312" w:hAnsi="仿宋_GB2312" w:cs="仿宋_GB2312" w:eastAsia="仿宋_GB2312"/>
                <w:sz w:val="16"/>
              </w:rPr>
              <w:t>（3）投标人必须为后续的新增功能接口的开发提供统一、规范、友好的接口开发机制。</w:t>
            </w:r>
          </w:p>
          <w:p>
            <w:pPr>
              <w:pStyle w:val="null3"/>
              <w:ind w:firstLine="420"/>
            </w:pPr>
            <w:r>
              <w:rPr>
                <w:rFonts w:ascii="仿宋_GB2312" w:hAnsi="仿宋_GB2312" w:cs="仿宋_GB2312" w:eastAsia="仿宋_GB2312"/>
                <w:sz w:val="16"/>
              </w:rPr>
              <w:t>（4）一经确定的项目组成员在实施过程中如因中标人单方面需更换，须提供书面说明，经采购人同意后方可进行调换，项目实施过程中，中标人按照项目所处阶段按需委派相应数量的专业工程师参与项目实施，采购人保留要求和建议的权利。</w:t>
            </w:r>
          </w:p>
          <w:p>
            <w:pPr>
              <w:pStyle w:val="null3"/>
              <w:ind w:firstLine="420"/>
            </w:pPr>
            <w:r>
              <w:rPr>
                <w:rFonts w:ascii="仿宋_GB2312" w:hAnsi="仿宋_GB2312" w:cs="仿宋_GB2312" w:eastAsia="仿宋_GB2312"/>
                <w:sz w:val="16"/>
              </w:rPr>
              <w:t>（5）投标人对实施团队的管理应充分尊重采购人对实施团队的评价和考核。如果不满足采购人的要求，采购人有权提出更换实施经理在内的人员。</w:t>
            </w:r>
          </w:p>
          <w:p>
            <w:pPr>
              <w:pStyle w:val="null3"/>
              <w:ind w:firstLine="420"/>
            </w:pPr>
            <w:r>
              <w:rPr>
                <w:rFonts w:ascii="仿宋_GB2312" w:hAnsi="仿宋_GB2312" w:cs="仿宋_GB2312" w:eastAsia="仿宋_GB2312"/>
                <w:sz w:val="16"/>
              </w:rPr>
              <w:t>4.培训</w:t>
            </w:r>
          </w:p>
          <w:p>
            <w:pPr>
              <w:pStyle w:val="null3"/>
              <w:ind w:firstLine="420"/>
            </w:pPr>
            <w:r>
              <w:rPr>
                <w:rFonts w:ascii="仿宋_GB2312" w:hAnsi="仿宋_GB2312" w:cs="仿宋_GB2312" w:eastAsia="仿宋_GB2312"/>
                <w:sz w:val="16"/>
              </w:rPr>
              <w:t>（1）投标人需提供完整的培训方案，培训的内容、次数和方式由采购人提出，采购人负责提供培训场地、培训电脑和培训人员的召集，投标人负责培训环境的搭建、培训文档的准备、培训的实施等。</w:t>
            </w:r>
          </w:p>
          <w:p>
            <w:pPr>
              <w:pStyle w:val="null3"/>
              <w:ind w:firstLine="420"/>
            </w:pPr>
            <w:r>
              <w:rPr>
                <w:rFonts w:ascii="仿宋_GB2312" w:hAnsi="仿宋_GB2312" w:cs="仿宋_GB2312" w:eastAsia="仿宋_GB2312"/>
                <w:sz w:val="16"/>
              </w:rPr>
              <w:t>（2）培训内容：</w:t>
            </w:r>
          </w:p>
          <w:p>
            <w:pPr>
              <w:pStyle w:val="null3"/>
              <w:ind w:firstLine="420"/>
            </w:pPr>
            <w:r>
              <w:rPr>
                <w:rFonts w:ascii="仿宋_GB2312" w:hAnsi="仿宋_GB2312" w:cs="仿宋_GB2312" w:eastAsia="仿宋_GB2312"/>
                <w:sz w:val="16"/>
              </w:rPr>
              <w:t>1）系统软件的用户使用培训，应用软件操作培训；</w:t>
            </w:r>
          </w:p>
          <w:p>
            <w:pPr>
              <w:pStyle w:val="null3"/>
              <w:ind w:firstLine="420"/>
            </w:pPr>
            <w:r>
              <w:rPr>
                <w:rFonts w:ascii="仿宋_GB2312" w:hAnsi="仿宋_GB2312" w:cs="仿宋_GB2312" w:eastAsia="仿宋_GB2312"/>
                <w:sz w:val="16"/>
              </w:rPr>
              <w:t>2）系统管理培训、采购人技术人员维护培训；</w:t>
            </w:r>
          </w:p>
          <w:p>
            <w:pPr>
              <w:pStyle w:val="null3"/>
              <w:ind w:firstLine="420"/>
            </w:pPr>
            <w:r>
              <w:rPr>
                <w:rFonts w:ascii="仿宋_GB2312" w:hAnsi="仿宋_GB2312" w:cs="仿宋_GB2312" w:eastAsia="仿宋_GB2312"/>
                <w:sz w:val="16"/>
              </w:rPr>
              <w:t>3）应用软件操作疑难问题解答。</w:t>
            </w:r>
          </w:p>
          <w:p>
            <w:pPr>
              <w:pStyle w:val="null3"/>
              <w:ind w:firstLine="420"/>
            </w:pPr>
            <w:r>
              <w:rPr>
                <w:rFonts w:ascii="仿宋_GB2312" w:hAnsi="仿宋_GB2312" w:cs="仿宋_GB2312" w:eastAsia="仿宋_GB2312"/>
                <w:sz w:val="16"/>
              </w:rPr>
              <w:t>5.验收</w:t>
            </w:r>
          </w:p>
          <w:p>
            <w:pPr>
              <w:pStyle w:val="null3"/>
              <w:ind w:firstLine="400"/>
            </w:pPr>
            <w:r>
              <w:rPr>
                <w:rFonts w:ascii="仿宋_GB2312" w:hAnsi="仿宋_GB2312" w:cs="仿宋_GB2312" w:eastAsia="仿宋_GB2312"/>
                <w:sz w:val="16"/>
              </w:rPr>
              <w:t>（1）验收分两个阶段：1、完成环境搭建并正式上线；2、服务期满1年后完成履约验收。</w:t>
            </w:r>
          </w:p>
          <w:p>
            <w:pPr>
              <w:pStyle w:val="null3"/>
              <w:ind w:firstLine="420"/>
            </w:pPr>
            <w:r>
              <w:rPr>
                <w:rFonts w:ascii="仿宋_GB2312" w:hAnsi="仿宋_GB2312" w:cs="仿宋_GB2312" w:eastAsia="仿宋_GB2312"/>
                <w:sz w:val="16"/>
              </w:rPr>
              <w:t>（2）中标人完成合同及招标文件规定的全部内容，由中标人提出正式上线验收申请，采购人组织相关人员进行项目验收，出具验收报告。正式验收完成后，须继续配合完成相关评级内容。</w:t>
            </w:r>
          </w:p>
          <w:p>
            <w:pPr>
              <w:pStyle w:val="null3"/>
            </w:pPr>
            <w:r>
              <w:rPr>
                <w:rFonts w:ascii="仿宋_GB2312" w:hAnsi="仿宋_GB2312" w:cs="仿宋_GB2312" w:eastAsia="仿宋_GB2312"/>
                <w:sz w:val="16"/>
              </w:rPr>
              <w:t xml:space="preserve">     （3）验收资料。在项目验收时，中标人需提供但不限于项目实施方案、需求说明书、使用人员签字的培训记录、系统操作说明、系统维护说明、验收申请、数据业务流、数据字典及表结构说明、用户手册、数据库用户名及密码等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30天内完成环境搭建及上线；2.正式上线后服务期1年；在项目实施过程中，若因故导致项目进度中断或停滞，经甲乙双方友好协商并达成一致意见后，项目服务期限将予以相应顺延；3.项目质保期从履约验收合格后开始计算，三年免费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服务期满1年完成履约验收合格后，乙方提供符合税法规定的全额正式发票，按照成交单价据实结算，结算金额不超过350万元</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线下向代理机构提交投标文件正本壹份，副本壹份、电子版壹份（U盘一份标明供应商名称，随正副本密封）。若电子文件与纸质文件不一致的，以电子文件为准；线下递交文件时间：详见本项目公告文件截止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特殊资格证明材料.docx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具有独立承担民事责任的能力，其他组织或自然人</w:t>
            </w:r>
          </w:p>
        </w:tc>
        <w:tc>
          <w:tcPr>
            <w:tcW w:type="dxa" w:w="3322"/>
          </w:tcPr>
          <w:p>
            <w:pPr>
              <w:pStyle w:val="null3"/>
            </w:pPr>
            <w:r>
              <w:rPr>
                <w:rFonts w:ascii="仿宋_GB2312" w:hAnsi="仿宋_GB2312" w:cs="仿宋_GB2312" w:eastAsia="仿宋_GB2312"/>
              </w:rPr>
              <w:t>应提供合法有效的标识有统一社会信用代码的营业执照；事业法人应提供事业单位法人证书；自然人的提供身份证，其他组织应提供合法登记证明文件</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两种形式的资料提供任何一种即可：1）提供2024年或2025年财务审计报告{包括资产负债表、利润表、现金流量表、所有者权益变动表及其附注，财务审计报告须真实有效并符合《关于加强审计报告查验工作的通知》（财会[2023]15号）文件的要求，报告须在注册会计师行业统一监管平台报备、赋二维码}，成立时间至开标时间不足一年的可提供成立后任意时段的资产负债表；2）提供基本存款账户信息及开标日期前六个月内其基本存款账户开户银行出具的资信证明；</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提供2025年1月1日起至投标截止时间前至少一个月的社会保障资金缴存单据或社保机构开具的社会保险参保缴费情况证明，依法不需要缴纳社会保障资金的供应商应提供相关文件证明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提供2025年1月1日起至投标截止时间前至少一个月的纳税证明或完税证明，依法免税的供应商应提供相关文件证明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供应商应具备良好的商业信誉</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投标截止日前，以“信用中国”网站（www.creditchina.gov.cn）和中国政府采购网（www.ccgp.gov.cn）查询结果为准（开标当天代理机构现场查询，若不符合要求，按无效标处理），查询内容为未被列入失信被执行人、重大税收违法案件当事人名单（处罚期限届满的除外）和政府采购严重违法失信行为记录</w:t>
            </w:r>
          </w:p>
        </w:tc>
        <w:tc>
          <w:tcPr>
            <w:tcW w:type="dxa" w:w="1661"/>
          </w:tcPr>
          <w:p>
            <w:pPr>
              <w:pStyle w:val="null3"/>
            </w:pPr>
            <w:r>
              <w:rPr>
                <w:rFonts w:ascii="仿宋_GB2312" w:hAnsi="仿宋_GB2312" w:cs="仿宋_GB2312" w:eastAsia="仿宋_GB2312"/>
              </w:rPr>
              <w:t>其他材料.docx 投标人应提交的相关资格证明材料 特殊资格证明材料.docx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其他材料.docx 特殊资格证明材料.docx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非联合体投标承诺</w:t>
            </w:r>
          </w:p>
        </w:tc>
        <w:tc>
          <w:tcPr>
            <w:tcW w:type="dxa" w:w="1661"/>
          </w:tcPr>
          <w:p>
            <w:pPr>
              <w:pStyle w:val="null3"/>
            </w:pPr>
            <w:r>
              <w:rPr>
                <w:rFonts w:ascii="仿宋_GB2312" w:hAnsi="仿宋_GB2312" w:cs="仿宋_GB2312" w:eastAsia="仿宋_GB2312"/>
              </w:rPr>
              <w:t>其他材料.docx 特殊资格证明材料.docx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一、政府采购评审中出现下列情形之一的，评标委员会应当启动异常低价投标（响应）审查程序： 1.投标（响应）报价低于全部通过符合性审查供应商投标（响应）报价平均值50%的 ，即投标（响应）报价&lt;全部通过符合性审查供应商投标（响应）报价平均值×50%；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 ）报价&lt;采购项目最高限价×45%； 4.评标委员会基于专业判断，认为供应商报价过低，有可能影响产品质量或者不能诚信履约的其他情形。 二、评标委员会启动异常低价投标（响应 ）审查后，属于前述第1项至第4项情形的，应当要求相关供应商在30分钟内对投标（响应）价格作出解释，提供项目具体成本测算等与报 价合理性相关的书面说明及必要的证明材料，包括但不限于原材料成本、人工成本、制造费用等。其中，属于第3项情形，供应商已随投标 （响应）文件一并提交相关书面说明及必要的证明材料的，在评审现场可不再重复提交。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标委员会应当将其作为无效投标（响应）处理。</w:t>
            </w:r>
          </w:p>
        </w:tc>
        <w:tc>
          <w:tcPr>
            <w:tcW w:type="dxa" w:w="1661"/>
          </w:tcPr>
          <w:p>
            <w:pPr>
              <w:pStyle w:val="null3"/>
            </w:pPr>
            <w:r>
              <w:rPr>
                <w:rFonts w:ascii="仿宋_GB2312" w:hAnsi="仿宋_GB2312" w:cs="仿宋_GB2312" w:eastAsia="仿宋_GB2312"/>
              </w:rPr>
              <w:t>开标一览表 标的清单 其他材料.docx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不同供应商的投标文件不是由同一单位或者个人编制</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不同供应商不是委托同一单位或者个人办理投标事宜</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不同供应商的投标文件载明的项目管理成员或者联系人员不为同一人</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不同供应商的投标文件是否异常一致或者投标报价呈规律性差异</w:t>
            </w:r>
          </w:p>
        </w:tc>
        <w:tc>
          <w:tcPr>
            <w:tcW w:type="dxa" w:w="3322"/>
          </w:tcPr>
          <w:p>
            <w:pPr>
              <w:pStyle w:val="null3"/>
            </w:pPr>
            <w:r>
              <w:rPr>
                <w:rFonts w:ascii="仿宋_GB2312" w:hAnsi="仿宋_GB2312" w:cs="仿宋_GB2312" w:eastAsia="仿宋_GB2312"/>
              </w:rPr>
              <w:t>不同供应商的投标文件未出现异常一致或者投标报价呈规律性差异的情况</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不同供应商的投标保证金是否从相同单位或者个人的账户转出</w:t>
            </w:r>
          </w:p>
        </w:tc>
        <w:tc>
          <w:tcPr>
            <w:tcW w:type="dxa" w:w="3322"/>
          </w:tcPr>
          <w:p>
            <w:pPr>
              <w:pStyle w:val="null3"/>
            </w:pPr>
            <w:r>
              <w:rPr>
                <w:rFonts w:ascii="仿宋_GB2312" w:hAnsi="仿宋_GB2312" w:cs="仿宋_GB2312" w:eastAsia="仿宋_GB2312"/>
              </w:rPr>
              <w:t>不同供应商的投标保证金从不同单位或者个人的账户转出</w:t>
            </w:r>
          </w:p>
        </w:tc>
        <w:tc>
          <w:tcPr>
            <w:tcW w:type="dxa" w:w="1661"/>
          </w:tcPr>
          <w:p>
            <w:pPr>
              <w:pStyle w:val="null3"/>
            </w:pPr>
            <w:r>
              <w:rPr>
                <w:rFonts w:ascii="仿宋_GB2312" w:hAnsi="仿宋_GB2312" w:cs="仿宋_GB2312" w:eastAsia="仿宋_GB2312"/>
              </w:rPr>
              <w:t>开标一览表 技术方案.docx 服务内容及服务邀请应答表 中小企业声明函 商务应答表 投标人应提交的相关资格证明材料 投标函 残疾人福利性单位声明函 服务方案 标的清单 投标文件封面 其他材料.docx 报价表.docx 监狱企业的证明文件 特殊资格证明材料.docx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情况制定科学、合理可行的实施方案，确保实施方案的科学性、合理性、规范性和可操作性，内容包括①项目实施计划计划；②安装调试和测试；③系统试运行及调优；④系统兼容对接；⑤工作进度计划；⑥关键步骤的思路和要点。每项满分4分，内容完整，完全符合采购人实际需求，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针对本项目有合理具体的人员组织安排，项目团队现场实施人员不少于8 人，团队成员包括但不限于项目经理、实施工程师、客服专员等；项目经理、实施工程师须具备3年及以上同类项目实施经验，满足以上条件得8分。在此基础上每增加1名工程师加1分，最多加7分。 注：1.团队人员须提供身份证及相关资质证书；2.实施经验证明材料包括但不限于：专业技术证书日期、在职证明、业绩合同、社保缴纳证明等。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供应商针对本项目提出具体的培训计划，内容包含：①培训目标；②培训内容；③培训计划安排；④培训人员安排。每项满分2.5分，内容完整，完全符合采购人实际需求，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出具体的质量保证措施，内容包含：①质量目标；②管控体系；③进度保证措施；④分析重难点工作，并给出合理的解决措施。每项满分2.5分，方案内容完整，完全符合采购人实际需求，得满分；每有一处内容存在缺陷，扣0.5分，扣完为止。缺项则该项不得分。 注：缺陷是指内容不合理、虽有内容但不完善、内容表述前后不一致与项目需求不匹配及其他不利于项目实施等任意一种情形。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针对本项目提供具体可行的售后服务方案，按其响应程度赋分：(1)售后服务计划完善、有固定服务队伍、服务标准明确清晰得3分；(2)售后服务内容基本完善，得2分；(2)内容较为简单，得1分；(3)未提供不得分。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针对本项目可以提供的增值服务，(1)内容完整且科学合理、可操作性强、针对性强，得2分；(2)内容简单，针对性一般，得1分；(3)未提供不得分。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提供2023年1月1日以来同类项目业绩，每提供一个得1分，满分6分。 注：提供完整的合同复印件，以合同签订日期为准。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详见附件：特殊资格证明材料.docx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