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AA12B">
      <w:pPr>
        <w:snapToGrid w:val="0"/>
        <w:spacing w:line="360" w:lineRule="auto"/>
        <w:rPr>
          <w:rFonts w:hint="eastAsia" w:ascii="宋体" w:hAnsi="宋体" w:eastAsia="宋体"/>
          <w:b/>
          <w:color w:val="auto"/>
          <w:sz w:val="28"/>
          <w:szCs w:val="21"/>
          <w:lang w:eastAsia="zh-CN"/>
        </w:rPr>
      </w:pPr>
      <w:r>
        <w:rPr>
          <w:rFonts w:hint="eastAsia" w:ascii="宋体" w:hAnsi="宋体"/>
          <w:b/>
          <w:color w:val="auto"/>
          <w:sz w:val="28"/>
          <w:szCs w:val="21"/>
          <w:lang w:eastAsia="zh-CN"/>
        </w:rPr>
        <w:t>参考合同</w:t>
      </w:r>
    </w:p>
    <w:p w14:paraId="0A5D9D82">
      <w:pPr>
        <w:snapToGrid w:val="0"/>
        <w:spacing w:line="360" w:lineRule="auto"/>
        <w:ind w:left="630" w:leftChars="300" w:firstLine="562"/>
        <w:rPr>
          <w:rFonts w:ascii="宋体" w:hAnsi="宋体"/>
          <w:b/>
          <w:color w:val="auto"/>
          <w:sz w:val="28"/>
          <w:szCs w:val="21"/>
        </w:rPr>
      </w:pPr>
    </w:p>
    <w:p w14:paraId="631270E3">
      <w:pPr>
        <w:spacing w:before="156" w:beforeLines="50" w:after="156" w:afterLines="50"/>
        <w:ind w:firstLine="1040"/>
        <w:jc w:val="center"/>
        <w:rPr>
          <w:rFonts w:ascii="黑体" w:hAnsi="黑体" w:eastAsia="黑体" w:cs="黑体"/>
          <w:bCs/>
          <w:color w:val="auto"/>
          <w:sz w:val="52"/>
          <w:szCs w:val="52"/>
        </w:rPr>
      </w:pPr>
    </w:p>
    <w:p w14:paraId="24E68D97">
      <w:pPr>
        <w:spacing w:before="156" w:beforeLines="50" w:after="156" w:afterLines="50"/>
        <w:ind w:firstLine="1040"/>
        <w:jc w:val="center"/>
        <w:rPr>
          <w:rFonts w:ascii="黑体" w:hAnsi="黑体" w:eastAsia="黑体" w:cs="黑体"/>
          <w:bCs/>
          <w:color w:val="auto"/>
          <w:sz w:val="52"/>
          <w:szCs w:val="52"/>
        </w:rPr>
      </w:pPr>
    </w:p>
    <w:p w14:paraId="31CD6527">
      <w:pPr>
        <w:spacing w:before="156" w:beforeLines="50" w:after="156" w:afterLines="50"/>
        <w:ind w:firstLine="1040"/>
        <w:jc w:val="center"/>
        <w:rPr>
          <w:rFonts w:ascii="方正小标宋简体" w:hAnsi="方正小标宋简体" w:eastAsia="方正小标宋简体" w:cs="方正小标宋简体"/>
          <w:bCs/>
          <w:color w:val="auto"/>
          <w:sz w:val="52"/>
          <w:szCs w:val="52"/>
        </w:rPr>
      </w:pPr>
      <w:r>
        <w:rPr>
          <w:rFonts w:hint="eastAsia" w:ascii="方正小标宋简体" w:hAnsi="方正小标宋简体" w:eastAsia="方正小标宋简体" w:cs="方正小标宋简体"/>
          <w:bCs/>
          <w:color w:val="auto"/>
          <w:sz w:val="52"/>
          <w:szCs w:val="52"/>
        </w:rPr>
        <w:t>西北妇女儿童医院</w:t>
      </w:r>
    </w:p>
    <w:p w14:paraId="71DC3E5E">
      <w:pPr>
        <w:spacing w:line="360" w:lineRule="auto"/>
        <w:ind w:firstLine="1040"/>
        <w:jc w:val="center"/>
        <w:rPr>
          <w:b/>
          <w:color w:val="auto"/>
          <w:sz w:val="52"/>
          <w:szCs w:val="52"/>
        </w:rPr>
      </w:pPr>
      <w:r>
        <w:rPr>
          <w:rFonts w:hint="eastAsia" w:ascii="方正小标宋简体" w:hAnsi="方正小标宋简体" w:eastAsia="方正小标宋简体" w:cs="方正小标宋简体"/>
          <w:bCs/>
          <w:color w:val="auto"/>
          <w:sz w:val="52"/>
          <w:szCs w:val="52"/>
        </w:rPr>
        <w:t>数字化病案服务项目合同</w:t>
      </w:r>
    </w:p>
    <w:p w14:paraId="6F587DFA">
      <w:pPr>
        <w:snapToGrid w:val="0"/>
        <w:spacing w:line="360" w:lineRule="auto"/>
        <w:ind w:left="630" w:leftChars="300" w:firstLine="562"/>
        <w:rPr>
          <w:rFonts w:ascii="宋体" w:hAnsi="宋体"/>
          <w:b/>
          <w:color w:val="auto"/>
          <w:sz w:val="28"/>
          <w:szCs w:val="21"/>
        </w:rPr>
      </w:pPr>
    </w:p>
    <w:p w14:paraId="7341BFA5">
      <w:pPr>
        <w:snapToGrid w:val="0"/>
        <w:spacing w:line="360" w:lineRule="auto"/>
        <w:ind w:left="630" w:leftChars="300" w:firstLine="562"/>
        <w:rPr>
          <w:rFonts w:ascii="宋体" w:hAnsi="宋体"/>
          <w:b/>
          <w:color w:val="auto"/>
          <w:sz w:val="28"/>
          <w:szCs w:val="21"/>
        </w:rPr>
      </w:pPr>
    </w:p>
    <w:p w14:paraId="569363CE">
      <w:pPr>
        <w:snapToGrid w:val="0"/>
        <w:spacing w:line="360" w:lineRule="auto"/>
        <w:ind w:left="630" w:leftChars="300" w:firstLine="562"/>
        <w:rPr>
          <w:rFonts w:ascii="宋体" w:hAnsi="宋体"/>
          <w:b/>
          <w:color w:val="auto"/>
          <w:sz w:val="28"/>
          <w:szCs w:val="21"/>
        </w:rPr>
      </w:pPr>
    </w:p>
    <w:p w14:paraId="40D4DB92">
      <w:pPr>
        <w:pStyle w:val="4"/>
        <w:ind w:firstLine="562"/>
        <w:rPr>
          <w:rFonts w:ascii="宋体" w:hAnsi="宋体"/>
          <w:b/>
          <w:color w:val="auto"/>
          <w:sz w:val="28"/>
          <w:szCs w:val="21"/>
        </w:rPr>
      </w:pPr>
    </w:p>
    <w:p w14:paraId="1401B651">
      <w:pPr>
        <w:ind w:firstLine="562"/>
        <w:rPr>
          <w:rFonts w:ascii="宋体" w:hAnsi="宋体"/>
          <w:b/>
          <w:color w:val="auto"/>
          <w:sz w:val="28"/>
          <w:szCs w:val="21"/>
        </w:rPr>
      </w:pPr>
    </w:p>
    <w:p w14:paraId="72F18766">
      <w:pPr>
        <w:pStyle w:val="4"/>
        <w:ind w:firstLine="480"/>
        <w:rPr>
          <w:color w:val="auto"/>
        </w:rPr>
      </w:pPr>
    </w:p>
    <w:p w14:paraId="0E905CB6">
      <w:pPr>
        <w:pStyle w:val="6"/>
        <w:ind w:firstLine="480"/>
        <w:rPr>
          <w:color w:val="auto"/>
        </w:rPr>
      </w:pPr>
    </w:p>
    <w:p w14:paraId="03D3C43D">
      <w:pPr>
        <w:snapToGrid w:val="0"/>
        <w:spacing w:line="360" w:lineRule="auto"/>
        <w:ind w:left="630" w:leftChars="300" w:firstLine="562"/>
        <w:jc w:val="left"/>
        <w:rPr>
          <w:rFonts w:ascii="宋体" w:hAnsi="宋体"/>
          <w:b/>
          <w:color w:val="auto"/>
          <w:sz w:val="28"/>
          <w:szCs w:val="21"/>
        </w:rPr>
      </w:pPr>
    </w:p>
    <w:p w14:paraId="5DBC344F">
      <w:pPr>
        <w:snapToGrid w:val="0"/>
        <w:spacing w:line="360" w:lineRule="auto"/>
        <w:ind w:left="630" w:leftChars="300" w:firstLine="562"/>
        <w:jc w:val="left"/>
        <w:rPr>
          <w:rFonts w:ascii="宋体" w:hAnsi="宋体"/>
          <w:b/>
          <w:color w:val="auto"/>
          <w:sz w:val="28"/>
          <w:szCs w:val="21"/>
        </w:rPr>
      </w:pPr>
    </w:p>
    <w:p w14:paraId="65144495">
      <w:pPr>
        <w:snapToGrid w:val="0"/>
        <w:spacing w:line="360" w:lineRule="auto"/>
        <w:ind w:left="630" w:leftChars="300" w:firstLine="562"/>
        <w:jc w:val="left"/>
        <w:rPr>
          <w:rFonts w:ascii="宋体" w:hAnsi="宋体"/>
          <w:b/>
          <w:color w:val="auto"/>
          <w:sz w:val="28"/>
          <w:szCs w:val="21"/>
        </w:rPr>
      </w:pPr>
    </w:p>
    <w:p w14:paraId="724DF020">
      <w:pPr>
        <w:snapToGrid w:val="0"/>
        <w:spacing w:line="360" w:lineRule="auto"/>
        <w:ind w:left="630" w:leftChars="300" w:firstLine="562"/>
        <w:jc w:val="left"/>
        <w:rPr>
          <w:rFonts w:ascii="宋体" w:hAnsi="宋体"/>
          <w:b/>
          <w:color w:val="auto"/>
          <w:sz w:val="28"/>
          <w:szCs w:val="21"/>
        </w:rPr>
      </w:pPr>
    </w:p>
    <w:p w14:paraId="54DE4822">
      <w:pPr>
        <w:snapToGrid w:val="0"/>
        <w:spacing w:line="360" w:lineRule="auto"/>
        <w:ind w:left="630" w:leftChars="300" w:firstLine="562"/>
        <w:jc w:val="left"/>
        <w:rPr>
          <w:rFonts w:ascii="宋体" w:hAnsi="宋体"/>
          <w:b/>
          <w:color w:val="auto"/>
          <w:sz w:val="28"/>
          <w:szCs w:val="21"/>
        </w:rPr>
      </w:pPr>
    </w:p>
    <w:p w14:paraId="1421DAD2">
      <w:pPr>
        <w:snapToGrid w:val="0"/>
        <w:spacing w:line="360" w:lineRule="auto"/>
        <w:ind w:left="630" w:leftChars="300" w:firstLine="843" w:firstLineChars="300"/>
        <w:jc w:val="left"/>
        <w:rPr>
          <w:rFonts w:ascii="宋体" w:hAnsi="宋体"/>
          <w:b/>
          <w:color w:val="auto"/>
          <w:sz w:val="28"/>
          <w:szCs w:val="21"/>
        </w:rPr>
      </w:pPr>
      <w:r>
        <w:rPr>
          <w:rFonts w:hint="eastAsia" w:ascii="宋体" w:hAnsi="宋体"/>
          <w:b/>
          <w:color w:val="auto"/>
          <w:sz w:val="28"/>
          <w:szCs w:val="21"/>
        </w:rPr>
        <w:t>甲</w:t>
      </w:r>
      <w:r>
        <w:rPr>
          <w:rFonts w:ascii="宋体" w:hAnsi="宋体"/>
          <w:b/>
          <w:color w:val="auto"/>
          <w:sz w:val="28"/>
          <w:szCs w:val="21"/>
        </w:rPr>
        <w:t>　　方：</w:t>
      </w:r>
      <w:r>
        <w:rPr>
          <w:rFonts w:hint="eastAsia" w:ascii="宋体" w:hAnsi="宋体"/>
          <w:b/>
          <w:color w:val="auto"/>
          <w:sz w:val="28"/>
          <w:szCs w:val="21"/>
          <w:u w:val="single"/>
        </w:rPr>
        <w:t>西北妇女儿童医院</w:t>
      </w:r>
    </w:p>
    <w:p w14:paraId="3FA476B5">
      <w:pPr>
        <w:snapToGrid w:val="0"/>
        <w:spacing w:line="360" w:lineRule="auto"/>
        <w:ind w:left="630" w:leftChars="300" w:firstLine="843" w:firstLineChars="300"/>
        <w:jc w:val="left"/>
        <w:rPr>
          <w:rFonts w:ascii="宋体" w:hAnsi="宋体"/>
          <w:b/>
          <w:color w:val="auto"/>
          <w:sz w:val="28"/>
          <w:szCs w:val="21"/>
        </w:rPr>
      </w:pPr>
      <w:r>
        <w:rPr>
          <w:rFonts w:hint="eastAsia" w:ascii="宋体" w:hAnsi="宋体"/>
          <w:b/>
          <w:color w:val="auto"/>
          <w:sz w:val="28"/>
          <w:szCs w:val="21"/>
        </w:rPr>
        <w:t>乙</w:t>
      </w:r>
      <w:r>
        <w:rPr>
          <w:rFonts w:ascii="宋体" w:hAnsi="宋体"/>
          <w:b/>
          <w:color w:val="auto"/>
          <w:sz w:val="28"/>
          <w:szCs w:val="21"/>
        </w:rPr>
        <w:t>　　方：</w:t>
      </w:r>
      <w:ins w:id="0" w:author="什么糖" w:date="2026-04-08T11:39:32Z">
        <w:r>
          <w:rPr>
            <w:rFonts w:hint="eastAsia" w:ascii="宋体" w:hAnsi="宋体"/>
            <w:b/>
            <w:color w:val="auto"/>
            <w:sz w:val="28"/>
            <w:szCs w:val="21"/>
            <w:u w:val="single"/>
            <w:lang w:val="en-US" w:eastAsia="zh-CN"/>
          </w:rPr>
          <w:t>XXXX</w:t>
        </w:r>
      </w:ins>
      <w:ins w:id="1" w:author="什么糖" w:date="2026-04-08T11:39:33Z">
        <w:r>
          <w:rPr>
            <w:rFonts w:hint="eastAsia" w:ascii="宋体" w:hAnsi="宋体"/>
            <w:b/>
            <w:color w:val="auto"/>
            <w:sz w:val="28"/>
            <w:szCs w:val="21"/>
            <w:u w:val="single"/>
            <w:lang w:val="en-US" w:eastAsia="zh-CN"/>
          </w:rPr>
          <w:t>X</w:t>
        </w:r>
      </w:ins>
      <w:r>
        <w:rPr>
          <w:rFonts w:hint="eastAsia" w:ascii="宋体" w:hAnsi="宋体"/>
          <w:b/>
          <w:color w:val="auto"/>
          <w:sz w:val="28"/>
          <w:szCs w:val="21"/>
          <w:u w:val="single"/>
        </w:rPr>
        <w:t>公司</w:t>
      </w:r>
    </w:p>
    <w:p w14:paraId="78814AD9">
      <w:pPr>
        <w:snapToGrid w:val="0"/>
        <w:spacing w:line="360" w:lineRule="auto"/>
        <w:ind w:firstLine="562"/>
        <w:rPr>
          <w:rFonts w:ascii="宋体" w:hAnsi="宋体"/>
          <w:b/>
          <w:color w:val="auto"/>
          <w:sz w:val="28"/>
          <w:szCs w:val="21"/>
        </w:rPr>
      </w:pPr>
    </w:p>
    <w:p w14:paraId="48B9DEE6">
      <w:pPr>
        <w:snapToGrid w:val="0"/>
        <w:spacing w:line="360" w:lineRule="auto"/>
        <w:ind w:left="630" w:leftChars="300" w:firstLine="562"/>
        <w:rPr>
          <w:rFonts w:ascii="宋体" w:hAnsi="宋体"/>
          <w:b/>
          <w:color w:val="auto"/>
          <w:sz w:val="28"/>
          <w:szCs w:val="21"/>
        </w:rPr>
      </w:pPr>
    </w:p>
    <w:p w14:paraId="5D9EDC5E">
      <w:pPr>
        <w:spacing w:line="360" w:lineRule="auto"/>
        <w:ind w:firstLine="1040"/>
        <w:jc w:val="center"/>
        <w:rPr>
          <w:rFonts w:ascii="黑体" w:hAnsi="黑体" w:eastAsia="黑体" w:cs="黑体"/>
          <w:bCs/>
          <w:color w:val="auto"/>
          <w:sz w:val="52"/>
          <w:szCs w:val="52"/>
        </w:rPr>
        <w:sectPr>
          <w:pgSz w:w="11906" w:h="16838"/>
          <w:pgMar w:top="1440" w:right="1463" w:bottom="1440" w:left="1463" w:header="851" w:footer="992" w:gutter="0"/>
          <w:cols w:space="720" w:num="1"/>
          <w:docGrid w:type="lines" w:linePitch="312" w:charSpace="0"/>
        </w:sectPr>
      </w:pPr>
    </w:p>
    <w:p w14:paraId="68CCC6F1">
      <w:pPr>
        <w:spacing w:line="560" w:lineRule="exact"/>
        <w:ind w:firstLine="880"/>
        <w:jc w:val="center"/>
        <w:rPr>
          <w:rFonts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西北妇女儿童医院</w:t>
      </w:r>
    </w:p>
    <w:p w14:paraId="4B701308">
      <w:pPr>
        <w:spacing w:line="560" w:lineRule="exact"/>
        <w:ind w:firstLine="880"/>
        <w:jc w:val="center"/>
        <w:rPr>
          <w:rFonts w:ascii="宋体" w:hAnsi="宋体"/>
          <w:color w:val="auto"/>
          <w:sz w:val="24"/>
          <w:szCs w:val="24"/>
        </w:rPr>
      </w:pPr>
      <w:r>
        <w:rPr>
          <w:rFonts w:hint="eastAsia" w:ascii="方正小标宋简体" w:hAnsi="方正小标宋简体" w:eastAsia="方正小标宋简体" w:cs="方正小标宋简体"/>
          <w:bCs/>
          <w:color w:val="auto"/>
          <w:sz w:val="44"/>
          <w:szCs w:val="44"/>
        </w:rPr>
        <w:t>数字化病案服务项目合同</w:t>
      </w:r>
    </w:p>
    <w:p w14:paraId="0828A562">
      <w:pPr>
        <w:spacing w:line="360" w:lineRule="auto"/>
        <w:ind w:firstLine="480"/>
        <w:rPr>
          <w:rFonts w:ascii="宋体" w:hAnsi="宋体"/>
          <w:color w:val="auto"/>
          <w:sz w:val="24"/>
          <w:szCs w:val="24"/>
        </w:rPr>
      </w:pPr>
    </w:p>
    <w:p w14:paraId="6ECD222D">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甲方：西北妇女儿童医院</w:t>
      </w:r>
    </w:p>
    <w:p w14:paraId="0A6398F2">
      <w:pPr>
        <w:widowControl/>
        <w:autoSpaceDE/>
        <w:autoSpaceDN/>
        <w:spacing w:line="500" w:lineRule="exact"/>
        <w:textAlignment w:val="bottom"/>
        <w:rPr>
          <w:rFonts w:ascii="仿宋" w:hAnsi="仿宋" w:eastAsia="仿宋" w:cs="仿宋"/>
          <w:color w:val="auto"/>
          <w:sz w:val="28"/>
          <w:szCs w:val="28"/>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XXXXX</w:t>
      </w:r>
      <w:r>
        <w:rPr>
          <w:rFonts w:hint="eastAsia" w:ascii="仿宋" w:hAnsi="仿宋" w:eastAsia="仿宋" w:cs="仿宋"/>
          <w:color w:val="auto"/>
          <w:sz w:val="28"/>
          <w:szCs w:val="28"/>
        </w:rPr>
        <w:t>公司</w:t>
      </w:r>
    </w:p>
    <w:p w14:paraId="69461F1F">
      <w:pPr>
        <w:widowControl/>
        <w:snapToGrid w:val="0"/>
        <w:spacing w:line="500" w:lineRule="exact"/>
        <w:ind w:firstLine="560"/>
        <w:rPr>
          <w:rFonts w:ascii="仿宋" w:hAnsi="仿宋" w:eastAsia="仿宋" w:cs="仿宋"/>
          <w:color w:val="auto"/>
          <w:sz w:val="28"/>
          <w:szCs w:val="28"/>
        </w:rPr>
      </w:pPr>
      <w:r>
        <w:rPr>
          <w:rFonts w:hint="eastAsia" w:ascii="仿宋" w:hAnsi="仿宋" w:eastAsia="仿宋" w:cs="仿宋"/>
          <w:color w:val="auto"/>
          <w:kern w:val="0"/>
          <w:sz w:val="28"/>
          <w:szCs w:val="28"/>
        </w:rPr>
        <w:t>根据《中华人民共和国民法典》及其他有关法律、行政法规，遵循平等、自愿、公平和诚实信用的原则，双方就本项目协商一致，订立本合同</w:t>
      </w:r>
      <w:r>
        <w:rPr>
          <w:rFonts w:hint="eastAsia" w:ascii="仿宋" w:hAnsi="仿宋" w:eastAsia="仿宋" w:cs="仿宋"/>
          <w:bCs/>
          <w:color w:val="auto"/>
          <w:sz w:val="28"/>
          <w:szCs w:val="28"/>
        </w:rPr>
        <w:t>。</w:t>
      </w:r>
    </w:p>
    <w:p w14:paraId="30F1E4DF">
      <w:pPr>
        <w:spacing w:line="5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rPr>
        <w:t>一、服务内容</w:t>
      </w:r>
    </w:p>
    <w:p w14:paraId="1E3484D1">
      <w:pPr>
        <w:widowControl/>
        <w:shd w:val="clear" w:fill="FFFFFF" w:themeFill="background1"/>
        <w:autoSpaceDE/>
        <w:autoSpaceDN/>
        <w:spacing w:line="500" w:lineRule="exact"/>
        <w:ind w:firstLine="560" w:firstLineChars="200"/>
        <w:textAlignment w:val="bottom"/>
        <w:rPr>
          <w:rFonts w:ascii="仿宋" w:hAnsi="仿宋" w:eastAsia="仿宋" w:cs="仿宋"/>
          <w:color w:val="auto"/>
          <w:sz w:val="28"/>
          <w:szCs w:val="28"/>
        </w:rPr>
      </w:pPr>
      <w:bookmarkStart w:id="0" w:name="_GoBack"/>
      <w:r>
        <w:rPr>
          <w:rFonts w:hint="eastAsia" w:ascii="仿宋" w:hAnsi="仿宋" w:eastAsia="仿宋" w:cs="仿宋"/>
          <w:color w:val="auto"/>
          <w:sz w:val="28"/>
          <w:szCs w:val="28"/>
        </w:rPr>
        <w:t>根据甲方数字化病案服务项目</w:t>
      </w: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rPr>
        <w:t>根据医院信息化建设项目采购需求完成历史病历数字化处理并可查阅，并能与其他病历整合。具有针对离线病历数据的智能化调用与传输机制。对于预约或已住院病人的全部离线医疗记录能够提前提供调取和访问功能，具体如下：</w:t>
      </w:r>
    </w:p>
    <w:bookmarkEnd w:id="0"/>
    <w:p w14:paraId="54B9C00D">
      <w:pPr>
        <w:widowControl/>
        <w:autoSpaceDE/>
        <w:autoSpaceDN/>
        <w:spacing w:line="500" w:lineRule="exact"/>
        <w:ind w:firstLine="562"/>
        <w:textAlignment w:val="bottom"/>
        <w:rPr>
          <w:rFonts w:ascii="仿宋" w:hAnsi="仿宋" w:eastAsia="仿宋" w:cs="仿宋"/>
          <w:color w:val="auto"/>
          <w:sz w:val="28"/>
          <w:szCs w:val="28"/>
        </w:rPr>
      </w:pPr>
      <w:r>
        <w:rPr>
          <w:rFonts w:hint="eastAsia" w:ascii="仿宋" w:hAnsi="仿宋" w:eastAsia="仿宋" w:cs="仿宋"/>
          <w:b/>
          <w:bCs/>
          <w:color w:val="auto"/>
          <w:sz w:val="28"/>
          <w:szCs w:val="28"/>
        </w:rPr>
        <w:t>（一）病案数字化加工</w:t>
      </w:r>
    </w:p>
    <w:p w14:paraId="442ABFD8">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 xml:space="preserve">1.病案接收 </w:t>
      </w:r>
    </w:p>
    <w:p w14:paraId="1FC5D4FF">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支持通过病案首页条形码（或二维码）及无条码对纸质病案进行接收，添加病案接收示踪点，记录患者基础信息、科室以及出院时间、接收时间等，支持列表导出。</w:t>
      </w:r>
    </w:p>
    <w:p w14:paraId="416CC57E">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2.拍摄扫描</w:t>
      </w:r>
    </w:p>
    <w:p w14:paraId="6DF55BD0">
      <w:pPr>
        <w:widowControl/>
        <w:autoSpaceDE/>
        <w:autoSpaceDN/>
        <w:spacing w:line="500" w:lineRule="exact"/>
        <w:ind w:firstLine="280" w:firstLineChars="100"/>
        <w:textAlignment w:val="bottom"/>
        <w:rPr>
          <w:rFonts w:ascii="仿宋" w:hAnsi="仿宋" w:eastAsia="仿宋" w:cs="仿宋"/>
          <w:color w:val="auto"/>
          <w:sz w:val="28"/>
          <w:szCs w:val="28"/>
        </w:rPr>
      </w:pPr>
      <w:r>
        <w:rPr>
          <w:rFonts w:hint="eastAsia" w:ascii="仿宋" w:hAnsi="仿宋" w:eastAsia="仿宋" w:cs="仿宋"/>
          <w:color w:val="auto"/>
          <w:sz w:val="28"/>
          <w:szCs w:val="28"/>
        </w:rPr>
        <w:t>（1）支持示踪点判断，纸质病案未经过接收，未添加接收示踪点时，不能对该本病案进行数字化扫描。</w:t>
      </w:r>
    </w:p>
    <w:p w14:paraId="69E360F6">
      <w:pPr>
        <w:widowControl/>
        <w:autoSpaceDE/>
        <w:autoSpaceDN/>
        <w:spacing w:line="500" w:lineRule="exact"/>
        <w:ind w:firstLine="280" w:firstLineChars="100"/>
        <w:textAlignment w:val="bottom"/>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支持</w:t>
      </w:r>
      <w:r>
        <w:rPr>
          <w:rFonts w:hint="eastAsia" w:ascii="仿宋" w:hAnsi="仿宋" w:eastAsia="仿宋" w:cs="仿宋"/>
          <w:color w:val="auto"/>
          <w:sz w:val="28"/>
          <w:szCs w:val="28"/>
        </w:rPr>
        <w:t>不同品牌的数字化加工设备，如不同品牌的高拍仪、扫描仪。</w:t>
      </w:r>
    </w:p>
    <w:p w14:paraId="12E7A87A">
      <w:pPr>
        <w:widowControl/>
        <w:autoSpaceDE/>
        <w:autoSpaceDN/>
        <w:spacing w:line="500" w:lineRule="exact"/>
        <w:ind w:firstLine="280" w:firstLineChars="100"/>
        <w:textAlignment w:val="bottom"/>
        <w:rPr>
          <w:rFonts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具备</w:t>
      </w:r>
      <w:r>
        <w:rPr>
          <w:rFonts w:hint="eastAsia" w:ascii="仿宋" w:hAnsi="仿宋" w:eastAsia="仿宋" w:cs="仿宋"/>
          <w:color w:val="auto"/>
          <w:sz w:val="28"/>
          <w:szCs w:val="28"/>
        </w:rPr>
        <w:t>数字化加工图片基础处理</w:t>
      </w:r>
      <w:r>
        <w:rPr>
          <w:rFonts w:hint="eastAsia" w:ascii="仿宋" w:hAnsi="仿宋" w:eastAsia="仿宋" w:cs="仿宋"/>
          <w:color w:val="auto"/>
          <w:sz w:val="28"/>
          <w:szCs w:val="28"/>
          <w:lang w:eastAsia="zh-CN"/>
        </w:rPr>
        <w:t>功能</w:t>
      </w:r>
      <w:r>
        <w:rPr>
          <w:rFonts w:hint="eastAsia" w:ascii="仿宋" w:hAnsi="仿宋" w:eastAsia="仿宋" w:cs="仿宋"/>
          <w:color w:val="auto"/>
          <w:sz w:val="28"/>
          <w:szCs w:val="28"/>
        </w:rPr>
        <w:t>，如纠偏、旋转、替扫、插扫功能等。</w:t>
      </w:r>
    </w:p>
    <w:p w14:paraId="60D46506">
      <w:pPr>
        <w:widowControl/>
        <w:autoSpaceDE/>
        <w:autoSpaceDN/>
        <w:spacing w:line="500" w:lineRule="exact"/>
        <w:ind w:firstLine="280" w:firstLineChars="100"/>
        <w:textAlignment w:val="bottom"/>
        <w:rPr>
          <w:rFonts w:ascii="仿宋" w:hAnsi="仿宋" w:eastAsia="仿宋" w:cs="仿宋"/>
          <w:color w:val="auto"/>
          <w:sz w:val="28"/>
          <w:szCs w:val="28"/>
        </w:rPr>
      </w:pPr>
      <w:r>
        <w:rPr>
          <w:rFonts w:hint="eastAsia" w:ascii="仿宋" w:hAnsi="仿宋" w:eastAsia="仿宋" w:cs="仿宋"/>
          <w:color w:val="auto"/>
          <w:sz w:val="28"/>
          <w:szCs w:val="28"/>
        </w:rPr>
        <w:t>（4）保障准确性，系统具备编目审核功能，当系统检测到某一页未编目时，不能够完成本次流程且提示漏编。</w:t>
      </w:r>
    </w:p>
    <w:p w14:paraId="0E10069E">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3.扫描质控</w:t>
      </w:r>
    </w:p>
    <w:p w14:paraId="6671F520">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支持对扫描质量进行评论，说明不合格原因，扫描人员根据个人姓名，查看已质控不合格病历，查看不合格原因然后进行追加扫描或图像处理。</w:t>
      </w:r>
    </w:p>
    <w:p w14:paraId="12E77648">
      <w:pPr>
        <w:widowControl/>
        <w:numPr>
          <w:ilvl w:val="0"/>
          <w:numId w:val="0"/>
        </w:numPr>
        <w:autoSpaceDE/>
        <w:autoSpaceDN/>
        <w:spacing w:line="500" w:lineRule="exact"/>
        <w:ind w:firstLine="560" w:firstLineChars="200"/>
        <w:textAlignment w:val="bottom"/>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4.</w:t>
      </w:r>
      <w:r>
        <w:rPr>
          <w:rFonts w:hint="eastAsia" w:ascii="仿宋" w:hAnsi="仿宋" w:eastAsia="仿宋" w:cs="仿宋"/>
          <w:color w:val="auto"/>
          <w:sz w:val="28"/>
          <w:szCs w:val="28"/>
        </w:rPr>
        <w:t>扫描量统计</w:t>
      </w:r>
    </w:p>
    <w:p w14:paraId="0F17B1CC">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支持根据时间检索查询每日个人工作量、日汇总工作量、用户汇总工作量。</w:t>
      </w:r>
    </w:p>
    <w:p w14:paraId="1B0CC862">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5.特殊病案标记</w:t>
      </w:r>
    </w:p>
    <w:p w14:paraId="3039F930">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支持根据病案的特性标记为特殊病案。</w:t>
      </w:r>
    </w:p>
    <w:p w14:paraId="36987127">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（二）病案查询及导出</w:t>
      </w:r>
    </w:p>
    <w:p w14:paraId="1E85A44C">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1.导出查询</w:t>
      </w:r>
    </w:p>
    <w:p w14:paraId="0BB92C3E">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lang w:eastAsia="zh-CN"/>
        </w:rPr>
        <w:t>具备</w:t>
      </w:r>
      <w:r>
        <w:rPr>
          <w:rFonts w:hint="eastAsia" w:ascii="仿宋" w:hAnsi="仿宋" w:eastAsia="仿宋" w:cs="仿宋"/>
          <w:color w:val="auto"/>
          <w:sz w:val="28"/>
          <w:szCs w:val="28"/>
        </w:rPr>
        <w:t>根据病案首页字段多条件复合查询和导出功能，病案导出时自动设置文字水印、签章水印、编目标签；</w:t>
      </w:r>
    </w:p>
    <w:p w14:paraId="3C9472E7">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2.套餐导出</w:t>
      </w:r>
    </w:p>
    <w:p w14:paraId="38106027">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支持按查询条件设置导出套餐，并能实现套餐的新增、编辑、修改、查询。</w:t>
      </w:r>
    </w:p>
    <w:p w14:paraId="42009A5D">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3.导出记录统计</w:t>
      </w:r>
    </w:p>
    <w:p w14:paraId="4777A984">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根据导出用户查询，统计导出的数据。</w:t>
      </w:r>
    </w:p>
    <w:p w14:paraId="0E46E3D3">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4.导出水印</w:t>
      </w:r>
    </w:p>
    <w:p w14:paraId="2C636DF6">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支持导出的病案(PDF/OFD)文件加盖病案室签章，具有水印和去隐私功能。</w:t>
      </w:r>
    </w:p>
    <w:p w14:paraId="5727B0BD">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（三）病案调借阅管理</w:t>
      </w:r>
    </w:p>
    <w:p w14:paraId="3E0F37CE">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1.病案人员调阅</w:t>
      </w:r>
    </w:p>
    <w:p w14:paraId="72C6D293">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病案部门管理人员能够检索调阅全院病案，支持录入调阅理由和申请</w:t>
      </w:r>
    </w:p>
    <w:p w14:paraId="5CE9F441">
      <w:pPr>
        <w:widowControl/>
        <w:autoSpaceDE/>
        <w:autoSpaceDN/>
        <w:spacing w:line="500" w:lineRule="exact"/>
        <w:textAlignment w:val="bottom"/>
        <w:rPr>
          <w:rFonts w:ascii="仿宋" w:hAnsi="仿宋" w:eastAsia="仿宋" w:cs="仿宋"/>
          <w:color w:val="auto"/>
          <w:sz w:val="28"/>
          <w:szCs w:val="28"/>
        </w:rPr>
      </w:pPr>
      <w:r>
        <w:rPr>
          <w:rFonts w:hint="eastAsia" w:ascii="仿宋" w:hAnsi="仿宋" w:eastAsia="仿宋" w:cs="仿宋"/>
          <w:color w:val="auto"/>
          <w:sz w:val="28"/>
          <w:szCs w:val="28"/>
        </w:rPr>
        <w:t>人，支持按权限无需申请审批流程即可查看病历，保障调阅病历的便利性</w:t>
      </w:r>
    </w:p>
    <w:p w14:paraId="72E09C11">
      <w:pPr>
        <w:widowControl/>
        <w:autoSpaceDE/>
        <w:autoSpaceDN/>
        <w:spacing w:line="500" w:lineRule="exact"/>
        <w:textAlignment w:val="bottom"/>
        <w:rPr>
          <w:rFonts w:ascii="仿宋" w:hAnsi="仿宋" w:eastAsia="仿宋" w:cs="仿宋"/>
          <w:color w:val="auto"/>
          <w:sz w:val="28"/>
          <w:szCs w:val="28"/>
        </w:rPr>
      </w:pPr>
      <w:r>
        <w:rPr>
          <w:rFonts w:hint="eastAsia" w:ascii="仿宋" w:hAnsi="仿宋" w:eastAsia="仿宋" w:cs="仿宋"/>
          <w:color w:val="auto"/>
          <w:sz w:val="28"/>
          <w:szCs w:val="28"/>
        </w:rPr>
        <w:t>和有迹可循。</w:t>
      </w:r>
    </w:p>
    <w:p w14:paraId="34BBC9F2">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2.临床人员借阅</w:t>
      </w:r>
    </w:p>
    <w:p w14:paraId="02960FDD">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临床医生能够查阅本科室的病案，借阅其他科室的病案需要审批通过后查看，支持设置默认查看天数，到期后自动关闭查看权限；支持设置审核条件，用户选择指定条件时，该条件能够自动通过审核，无需审批。</w:t>
      </w:r>
    </w:p>
    <w:p w14:paraId="1B425E5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3.调阅记录</w:t>
      </w:r>
    </w:p>
    <w:p w14:paraId="195C14A8">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能够根据调阅理由、申请人、科室、时间等查阅调阅历史记录，调阅记录可导出。</w:t>
      </w:r>
    </w:p>
    <w:p w14:paraId="184EC0B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4.借阅申请记录统计</w:t>
      </w:r>
    </w:p>
    <w:p w14:paraId="0FE50C7B">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支持根据条件检索并统计借阅记录。</w:t>
      </w:r>
    </w:p>
    <w:p w14:paraId="6D21907B">
      <w:pPr>
        <w:widowControl/>
        <w:numPr>
          <w:ilvl w:val="0"/>
          <w:numId w:val="1"/>
        </w:numPr>
        <w:autoSpaceDE/>
        <w:autoSpaceDN/>
        <w:spacing w:line="500" w:lineRule="exact"/>
        <w:ind w:firstLine="562"/>
        <w:textAlignment w:val="bottom"/>
        <w:rPr>
          <w:rFonts w:hint="eastAsia" w:ascii="仿宋" w:hAnsi="仿宋" w:eastAsia="仿宋" w:cs="仿宋"/>
          <w:b/>
          <w:bCs/>
          <w:color w:val="auto"/>
          <w:sz w:val="28"/>
          <w:szCs w:val="28"/>
        </w:rPr>
      </w:pPr>
      <w:r>
        <w:rPr>
          <w:rFonts w:hint="eastAsia" w:ascii="仿宋" w:hAnsi="仿宋" w:eastAsia="仿宋" w:cs="仿宋"/>
          <w:b/>
          <w:bCs/>
          <w:color w:val="auto"/>
          <w:sz w:val="28"/>
          <w:szCs w:val="28"/>
        </w:rPr>
        <w:t>病案打印</w:t>
      </w:r>
    </w:p>
    <w:p w14:paraId="4346827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1.病案打印</w:t>
      </w:r>
    </w:p>
    <w:p w14:paraId="3651D632">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支持识别患者身份证，快速输入患者姓名、身份证号进行查询，高拍留存打印证明材料，可预设打印套餐自动选择打印的病案文件。支持选择免费打印，能够添加公检法、医保等打印不付费的原因。</w:t>
      </w:r>
    </w:p>
    <w:p w14:paraId="1B08F6D7">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2.打印记录</w:t>
      </w:r>
    </w:p>
    <w:p w14:paraId="54B5B6CC">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支持查询病案打印历史记录，能够自定义搜索查询，查看具体打印详细信息。（包括留存的证明材料），导出打印记录。</w:t>
      </w:r>
    </w:p>
    <w:p w14:paraId="6A297836">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3.打印统计</w:t>
      </w:r>
    </w:p>
    <w:p w14:paraId="1DC95EA1">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支持按打印时间，打印类型、打印人员、打印科室、统计病案打印次数、份数、页数。</w:t>
      </w:r>
    </w:p>
    <w:p w14:paraId="3F2CC56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4.套餐</w:t>
      </w:r>
      <w:r>
        <w:rPr>
          <w:rFonts w:hint="eastAsia" w:ascii="仿宋" w:hAnsi="仿宋" w:eastAsia="仿宋" w:cs="仿宋"/>
          <w:color w:val="auto"/>
          <w:sz w:val="28"/>
          <w:szCs w:val="28"/>
          <w:lang w:eastAsia="zh-CN"/>
        </w:rPr>
        <w:t>（组合）</w:t>
      </w:r>
      <w:r>
        <w:rPr>
          <w:rFonts w:hint="eastAsia" w:ascii="仿宋" w:hAnsi="仿宋" w:eastAsia="仿宋" w:cs="仿宋"/>
          <w:color w:val="auto"/>
          <w:sz w:val="28"/>
          <w:szCs w:val="28"/>
        </w:rPr>
        <w:t>管理</w:t>
      </w:r>
    </w:p>
    <w:p w14:paraId="26EEF0FB">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lang w:eastAsia="zh-CN"/>
        </w:rPr>
        <w:t>支持</w:t>
      </w:r>
      <w:r>
        <w:rPr>
          <w:rFonts w:hint="eastAsia" w:ascii="仿宋" w:hAnsi="仿宋" w:eastAsia="仿宋" w:cs="仿宋"/>
          <w:color w:val="auto"/>
          <w:sz w:val="28"/>
          <w:szCs w:val="28"/>
        </w:rPr>
        <w:t>打印操作员快速选择打印内容，可以添加、编辑、删除套餐。</w:t>
      </w:r>
    </w:p>
    <w:p w14:paraId="7F409EF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5.网上预约病案打印邮寄</w:t>
      </w:r>
    </w:p>
    <w:p w14:paraId="58751C73">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能够按照时间段，系统支持与互联网医院对接，实现网上预约的病案打印邮寄和统计。</w:t>
      </w:r>
    </w:p>
    <w:p w14:paraId="20A58551">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6.打印设置</w:t>
      </w:r>
    </w:p>
    <w:p w14:paraId="295A4A5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设置打印水印、收费自动计算打印设置信息等。系统支持对接自助打印机，实现患者自主打印。</w:t>
      </w:r>
    </w:p>
    <w:p w14:paraId="4620DA35">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（五）病案流程示踪管理</w:t>
      </w:r>
    </w:p>
    <w:p w14:paraId="436106AD">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1.扫码装箱</w:t>
      </w:r>
    </w:p>
    <w:p w14:paraId="3C2043D4">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条码打印，系统根据病案信息生成二维码并打印，用于标识病案封皮、箱号；能够扫描病案条码添加示踪点，系统判断该本病案是否扫描，提示未扫描病案拒绝装箱。实现多本病案存放在一个箱号内；能够根据条件检索当前箱内的病案。</w:t>
      </w:r>
    </w:p>
    <w:p w14:paraId="2306497A">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2.病案示踪</w:t>
      </w:r>
    </w:p>
    <w:p w14:paraId="1A029512">
      <w:pPr>
        <w:widowControl/>
        <w:autoSpaceDE/>
        <w:autoSpaceDN/>
        <w:spacing w:line="500" w:lineRule="exact"/>
        <w:ind w:firstLine="560" w:firstLineChars="20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支持操作留痕，能够按照时间轴的方式显示所有病案的踪迹。能够准确查询到病案在哪个仓库、货架、箱内。支持添加、删除医院仓库信息和病案架信息。</w:t>
      </w:r>
    </w:p>
    <w:p w14:paraId="299271CB">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（六）统计管理</w:t>
      </w:r>
    </w:p>
    <w:p w14:paraId="57E70FC7">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1.数据统计</w:t>
      </w:r>
    </w:p>
    <w:p w14:paraId="6D0EA46D">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支持纸质病案回收率、纸质病案签收、病案归档、病案借阅、封存以及示踪超时操作病案统计等。</w:t>
      </w:r>
    </w:p>
    <w:p w14:paraId="0AC93C4D">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2.数据大屏</w:t>
      </w:r>
    </w:p>
    <w:p w14:paraId="0B185198">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支持数据可视化统计大屏，通过统一的界面，监控病案无纸化归档的各个指标，以曲线图、柱状图、饼状图动态实时展示，实现数据可视化管理。实时</w:t>
      </w:r>
    </w:p>
    <w:p w14:paraId="50A55D97">
      <w:pPr>
        <w:widowControl/>
        <w:autoSpaceDE/>
        <w:autoSpaceDN/>
        <w:spacing w:line="500" w:lineRule="exact"/>
        <w:textAlignment w:val="bottom"/>
        <w:rPr>
          <w:rFonts w:ascii="仿宋" w:hAnsi="仿宋" w:eastAsia="仿宋" w:cs="仿宋"/>
          <w:color w:val="auto"/>
          <w:sz w:val="28"/>
          <w:szCs w:val="28"/>
        </w:rPr>
      </w:pPr>
      <w:r>
        <w:rPr>
          <w:rFonts w:hint="eastAsia" w:ascii="仿宋" w:hAnsi="仿宋" w:eastAsia="仿宋" w:cs="仿宋"/>
          <w:color w:val="auto"/>
          <w:sz w:val="28"/>
          <w:szCs w:val="28"/>
        </w:rPr>
        <w:t>监控不同节点的操作统计数据。</w:t>
      </w:r>
    </w:p>
    <w:p w14:paraId="77A13A5E">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（七）病案封存管理</w:t>
      </w:r>
    </w:p>
    <w:p w14:paraId="295BEA46">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1.封存病案</w:t>
      </w:r>
    </w:p>
    <w:p w14:paraId="061C73E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支持整本封存和单页封存，支持封存双重审核。支持病案封存/解封先申请再审核的管理流。解封/封存申请时支持上传相关附件及拍摄的功能。病案封存期间，禁止借阅、浏览、打印等操作。</w:t>
      </w:r>
    </w:p>
    <w:p w14:paraId="1C63840C">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2.封存记录</w:t>
      </w:r>
    </w:p>
    <w:p w14:paraId="6A0AC015">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支持自定义检索全部封存记录，支持对已封存病案进行解封申请。</w:t>
      </w:r>
    </w:p>
    <w:p w14:paraId="07CCEC27">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（八）病案安全</w:t>
      </w:r>
    </w:p>
    <w:p w14:paraId="2FCB51C6">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设置病案保密级别，不同权限的管理员查不同级别并支持向下兼容。</w:t>
      </w:r>
    </w:p>
    <w:p w14:paraId="346CE61E">
      <w:pPr>
        <w:spacing w:line="5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rPr>
        <w:t>二、服务费用与付款方式</w:t>
      </w:r>
    </w:p>
    <w:p w14:paraId="3606C1C7">
      <w:pPr>
        <w:widowControl/>
        <w:autoSpaceDE/>
        <w:autoSpaceDN/>
        <w:spacing w:line="500" w:lineRule="exact"/>
        <w:ind w:firstLine="562"/>
        <w:textAlignment w:val="bottom"/>
        <w:rPr>
          <w:rFonts w:ascii="仿宋" w:hAnsi="仿宋" w:eastAsia="仿宋" w:cs="仿宋"/>
          <w:color w:val="auto"/>
          <w:sz w:val="28"/>
          <w:szCs w:val="28"/>
        </w:rPr>
      </w:pPr>
      <w:r>
        <w:rPr>
          <w:rFonts w:hint="eastAsia" w:ascii="仿宋" w:hAnsi="仿宋" w:eastAsia="仿宋" w:cs="仿宋"/>
          <w:b/>
          <w:bCs/>
          <w:color w:val="auto"/>
          <w:sz w:val="28"/>
          <w:szCs w:val="28"/>
        </w:rPr>
        <w:t xml:space="preserve">  </w:t>
      </w:r>
      <w:r>
        <w:rPr>
          <w:rFonts w:hint="eastAsia" w:ascii="仿宋" w:hAnsi="仿宋" w:eastAsia="仿宋" w:cs="仿宋"/>
          <w:color w:val="auto"/>
          <w:sz w:val="28"/>
          <w:szCs w:val="28"/>
        </w:rPr>
        <w:t>1.服务费用：</w:t>
      </w:r>
    </w:p>
    <w:p w14:paraId="6300238C">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单价：¥</w:t>
      </w:r>
      <w:r>
        <w:rPr>
          <w:rFonts w:hint="eastAsia" w:ascii="仿宋" w:hAnsi="仿宋" w:eastAsia="仿宋" w:cs="仿宋"/>
          <w:color w:val="auto"/>
          <w:sz w:val="28"/>
          <w:szCs w:val="28"/>
          <w:lang w:val="en-US" w:eastAsia="zh-CN"/>
        </w:rPr>
        <w:t>____</w:t>
      </w:r>
      <w:r>
        <w:rPr>
          <w:rFonts w:hint="eastAsia" w:ascii="仿宋" w:hAnsi="仿宋" w:eastAsia="仿宋" w:cs="仿宋"/>
          <w:color w:val="auto"/>
          <w:sz w:val="28"/>
          <w:szCs w:val="28"/>
        </w:rPr>
        <w:t>元/</w:t>
      </w:r>
      <w:r>
        <w:rPr>
          <w:rFonts w:hint="eastAsia" w:ascii="仿宋" w:hAnsi="仿宋" w:eastAsia="仿宋" w:cs="仿宋"/>
          <w:color w:val="auto"/>
          <w:sz w:val="28"/>
          <w:szCs w:val="28"/>
          <w:lang w:eastAsia="zh-CN"/>
        </w:rPr>
        <w:t>张</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病历目录建立：</w:t>
      </w:r>
      <w:r>
        <w:rPr>
          <w:rFonts w:hint="eastAsia" w:ascii="仿宋" w:hAnsi="仿宋" w:eastAsia="仿宋" w:cs="仿宋"/>
          <w:color w:val="auto"/>
          <w:sz w:val="28"/>
          <w:szCs w:val="28"/>
          <w:lang w:val="en-US" w:eastAsia="zh-CN"/>
        </w:rPr>
        <w:t>0.5元/份，</w:t>
      </w:r>
      <w:r>
        <w:rPr>
          <w:rFonts w:hint="eastAsia" w:ascii="仿宋" w:hAnsi="仿宋" w:eastAsia="仿宋" w:cs="仿宋"/>
          <w:color w:val="auto"/>
          <w:sz w:val="28"/>
          <w:szCs w:val="28"/>
        </w:rPr>
        <w:t>按照成交单价据实结算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结算金额不超过¥</w:t>
      </w:r>
      <w:r>
        <w:rPr>
          <w:rFonts w:hint="eastAsia" w:ascii="仿宋" w:hAnsi="仿宋" w:eastAsia="仿宋" w:cs="仿宋"/>
          <w:color w:val="auto"/>
          <w:sz w:val="28"/>
          <w:szCs w:val="28"/>
          <w:lang w:val="en-US" w:eastAsia="zh-CN"/>
        </w:rPr>
        <w:t>350</w:t>
      </w:r>
      <w:r>
        <w:rPr>
          <w:rFonts w:hint="eastAsia" w:ascii="仿宋" w:hAnsi="仿宋" w:eastAsia="仿宋" w:cs="仿宋"/>
          <w:color w:val="auto"/>
          <w:sz w:val="28"/>
          <w:szCs w:val="28"/>
        </w:rPr>
        <w:t>0000.00，大写：人民币</w:t>
      </w:r>
      <w:r>
        <w:rPr>
          <w:rFonts w:hint="eastAsia" w:ascii="仿宋" w:hAnsi="仿宋" w:eastAsia="仿宋" w:cs="仿宋"/>
          <w:color w:val="auto"/>
          <w:sz w:val="28"/>
          <w:szCs w:val="28"/>
          <w:lang w:eastAsia="zh-CN"/>
        </w:rPr>
        <w:t>叁佰伍拾</w:t>
      </w:r>
      <w:r>
        <w:rPr>
          <w:rFonts w:hint="eastAsia" w:ascii="仿宋" w:hAnsi="仿宋" w:eastAsia="仿宋" w:cs="仿宋"/>
          <w:color w:val="auto"/>
          <w:sz w:val="28"/>
          <w:szCs w:val="28"/>
        </w:rPr>
        <w:t xml:space="preserve">万元整。    </w:t>
      </w:r>
    </w:p>
    <w:p w14:paraId="7D60546A">
      <w:pPr>
        <w:tabs>
          <w:tab w:val="left" w:pos="840"/>
        </w:tabs>
        <w:spacing w:line="500" w:lineRule="exact"/>
        <w:ind w:firstLine="840" w:firstLineChars="300"/>
        <w:rPr>
          <w:rFonts w:ascii="仿宋" w:hAnsi="仿宋" w:eastAsia="仿宋" w:cs="仿宋"/>
          <w:color w:val="auto"/>
          <w:sz w:val="28"/>
          <w:szCs w:val="28"/>
        </w:rPr>
      </w:pPr>
      <w:r>
        <w:rPr>
          <w:rFonts w:hint="eastAsia" w:ascii="仿宋" w:hAnsi="仿宋" w:eastAsia="仿宋" w:cs="仿宋"/>
          <w:color w:val="auto"/>
          <w:sz w:val="28"/>
          <w:szCs w:val="28"/>
        </w:rPr>
        <w:t>2.付款方式：</w:t>
      </w:r>
    </w:p>
    <w:p w14:paraId="5B4F31D9">
      <w:pPr>
        <w:tabs>
          <w:tab w:val="left" w:pos="840"/>
        </w:tabs>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 xml:space="preserve">  服务期满1年完成履约验收合格后，乙方提供符合税法规定的全额正式发票，达到付款条件起30日内，支付相应金额服务费。</w:t>
      </w:r>
    </w:p>
    <w:p w14:paraId="576B524D">
      <w:pPr>
        <w:widowControl/>
        <w:numPr>
          <w:ilvl w:val="0"/>
          <w:numId w:val="2"/>
        </w:numPr>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完成工作量及时限</w:t>
      </w:r>
    </w:p>
    <w:p w14:paraId="039C609B">
      <w:pPr>
        <w:widowControl/>
        <w:autoSpaceDE/>
        <w:autoSpaceDN/>
        <w:spacing w:line="500" w:lineRule="exact"/>
        <w:ind w:firstLine="560" w:firstLineChars="200"/>
        <w:textAlignment w:val="bottom"/>
        <w:rPr>
          <w:rFonts w:ascii="仿宋" w:hAnsi="仿宋" w:eastAsia="仿宋" w:cs="仿宋"/>
          <w:bCs/>
          <w:color w:val="auto"/>
          <w:sz w:val="28"/>
          <w:szCs w:val="28"/>
        </w:rPr>
      </w:pPr>
      <w:r>
        <w:rPr>
          <w:rFonts w:hint="eastAsia" w:ascii="仿宋" w:hAnsi="仿宋" w:eastAsia="仿宋" w:cs="仿宋"/>
          <w:bCs/>
          <w:color w:val="auto"/>
          <w:sz w:val="28"/>
          <w:szCs w:val="28"/>
        </w:rPr>
        <w:t>合同签订后30天内完成环境搭建及上线；正式上线后服务期1年；在项目实施过程中，若因故导致项目进度中断或停滞，经甲乙双方友好协商并达成一致意见后，项目服务期限将予以相应顺延。项目所需软硬件、人员由乙方提供，按照服务期要求</w:t>
      </w:r>
      <w:r>
        <w:rPr>
          <w:rFonts w:hint="eastAsia" w:ascii="仿宋" w:hAnsi="仿宋" w:eastAsia="仿宋" w:cs="仿宋"/>
          <w:b w:val="0"/>
          <w:bCs/>
          <w:color w:val="auto"/>
          <w:sz w:val="28"/>
          <w:szCs w:val="28"/>
        </w:rPr>
        <w:t>配备。</w:t>
      </w:r>
    </w:p>
    <w:p w14:paraId="73605E01">
      <w:pPr>
        <w:widowControl/>
        <w:autoSpaceDE/>
        <w:autoSpaceDN/>
        <w:spacing w:line="500" w:lineRule="exact"/>
        <w:ind w:firstLine="562" w:firstLineChars="200"/>
        <w:textAlignment w:val="bottom"/>
        <w:rPr>
          <w:rFonts w:hint="default" w:ascii="仿宋" w:hAnsi="仿宋" w:eastAsia="仿宋" w:cs="仿宋"/>
          <w:b w:val="0"/>
          <w:bCs/>
          <w:color w:val="auto"/>
          <w:sz w:val="28"/>
          <w:szCs w:val="28"/>
          <w:lang w:val="en-US"/>
        </w:rPr>
      </w:pPr>
      <w:r>
        <w:rPr>
          <w:rFonts w:hint="eastAsia" w:ascii="仿宋" w:hAnsi="仿宋" w:eastAsia="仿宋" w:cs="仿宋"/>
          <w:b/>
          <w:bCs w:val="0"/>
          <w:color w:val="auto"/>
          <w:sz w:val="28"/>
          <w:szCs w:val="28"/>
          <w:lang w:val="en-US" w:eastAsia="zh-CN"/>
        </w:rPr>
        <w:t>四、人员配置要求</w:t>
      </w:r>
      <w:r>
        <w:rPr>
          <w:rFonts w:hint="eastAsia" w:ascii="仿宋" w:hAnsi="仿宋" w:eastAsia="仿宋" w:cs="仿宋"/>
          <w:bCs/>
          <w:color w:val="auto"/>
          <w:sz w:val="28"/>
          <w:szCs w:val="28"/>
          <w:lang w:val="en-US" w:eastAsia="zh-CN"/>
        </w:rPr>
        <w:t>(详见附件）</w:t>
      </w:r>
    </w:p>
    <w:p w14:paraId="6B9D31B1">
      <w:pPr>
        <w:spacing w:line="500" w:lineRule="exact"/>
        <w:ind w:firstLine="562"/>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、实施范围</w:t>
      </w:r>
    </w:p>
    <w:p w14:paraId="40E3665E">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本项目所有采购内容，需覆盖西北妇女儿童医院同一法人下的所有院区中所有涉及的业务科室，并且不限制终端使用数量。</w:t>
      </w:r>
    </w:p>
    <w:p w14:paraId="2ED698E0">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.实施方案:一</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针对本项目情况制定科学、合理可行的实施方案，包括但不限于实施方案的科学性、合理性、规范性和可操作性，包括件开、安装调试、测试、试运行、调优等内容，以及组织架构、工作时间进度表、工作租序和步骤、管理和协调方法、关键步骤的思路和要点等;现场需配置能满足一年内完成工期的人员及设备并对任务角色近行明确，经过双方确认后方可开工。</w:t>
      </w:r>
    </w:p>
    <w:p w14:paraId="075283DD">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.实施情况</w:t>
      </w:r>
    </w:p>
    <w:p w14:paraId="027F913D">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乙方</w:t>
      </w:r>
      <w:r>
        <w:rPr>
          <w:rFonts w:hint="eastAsia" w:ascii="仿宋" w:hAnsi="仿宋" w:eastAsia="仿宋" w:cs="仿宋"/>
          <w:color w:val="auto"/>
          <w:sz w:val="28"/>
          <w:szCs w:val="28"/>
        </w:rPr>
        <w:t>需配合</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完成规范要求的评估工作，包括：协助评价/测评/评估标准的解读、数据填报、实证/文审材料准备、现场迎评以及评审后功能整改等技术支持。</w:t>
      </w:r>
    </w:p>
    <w:p w14:paraId="290A5526">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注：投标报价需包含上述咨询、技术支持涉及的相关费用。</w:t>
      </w:r>
    </w:p>
    <w:p w14:paraId="2BC6E514">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需提供和协助</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通过信息安全等级保护测评工作，等保测评涉及的本次采购软件系统的改造、升级费用一并包含在本次报价中。</w:t>
      </w:r>
    </w:p>
    <w:p w14:paraId="79EEA2E6">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必须为后续的新增功能接口的开发提供统一、规范、友好的接口开发机制。</w:t>
      </w:r>
    </w:p>
    <w:p w14:paraId="0E010EE4">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（4）一经确定的项目组成员在实施过程中如因</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单方面需更换，须提供书面说明，经</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同意后方可进行调换，项目实施过程中，</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按照项目所处阶段按需委派相应数量的专业工程师参与项目实施，</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保留要求和建议的权利。</w:t>
      </w:r>
    </w:p>
    <w:p w14:paraId="003D414D">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对实施团队的管理应充分尊重</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对实施团队的评价和考核。如果不满足</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的要求，</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有权提出更换实施经理在内的人员。</w:t>
      </w:r>
    </w:p>
    <w:p w14:paraId="01FA8144">
      <w:pPr>
        <w:numPr>
          <w:ilvl w:val="-1"/>
          <w:numId w:val="0"/>
        </w:numPr>
        <w:spacing w:line="500" w:lineRule="exact"/>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六、其他要求</w:t>
      </w:r>
    </w:p>
    <w:p w14:paraId="32705AC3">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乙方</w:t>
      </w:r>
      <w:r>
        <w:rPr>
          <w:rFonts w:ascii="仿宋_GB2312" w:hAnsi="仿宋_GB2312" w:eastAsia="仿宋_GB2312" w:cs="仿宋_GB2312"/>
          <w:color w:val="auto"/>
          <w:sz w:val="28"/>
          <w:szCs w:val="28"/>
        </w:rPr>
        <w:t>提供的数字化病案服务须满足以下规范要求：</w:t>
      </w:r>
    </w:p>
    <w:p w14:paraId="51579461">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满足及遵循《全国医院信息化建设标准与规范（试行）》（2018年版）相关要求。</w:t>
      </w:r>
    </w:p>
    <w:p w14:paraId="68078ED5">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满足及遵循《智慧医疗分级评价方法及标准》（2025年版）6级标准相关要求。</w:t>
      </w:r>
    </w:p>
    <w:p w14:paraId="26BCD655">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满足及遵循《国家医疗健康信息医院信息互联互通标准化成熟度测评方案》（2020年版）五级乙等相关要求。</w:t>
      </w:r>
    </w:p>
    <w:p w14:paraId="1E617D59">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满足及遵循《医院智慧服务分级评估标准体系（试行）》（最新版）四级相关要求。</w:t>
      </w:r>
    </w:p>
    <w:p w14:paraId="64598B51">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满足及遵循《医院智慧管理分级评估标准体系（试行）》三级相关要求。</w:t>
      </w:r>
    </w:p>
    <w:p w14:paraId="64E6FA07">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满足及遵循《国务院办公厅关于推动公立医院高质量发展的意见》</w:t>
      </w:r>
    </w:p>
    <w:p w14:paraId="678B02D8">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满足及遵循《国家三级公立医院绩效考核操作手册》（2020版）相关条款。</w:t>
      </w:r>
    </w:p>
    <w:p w14:paraId="08D9F17A">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满足及遵循国家卫健委关于进一步改善医疗服务行动计划相关要求。</w:t>
      </w:r>
    </w:p>
    <w:p w14:paraId="15ACE1B7">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满足及遵循《三级医院评审标准实施细则》和《三级妇幼保健院评审标准实施细则》要求。</w:t>
      </w:r>
    </w:p>
    <w:p w14:paraId="289A9C35">
      <w:pPr>
        <w:pStyle w:val="19"/>
        <w:spacing w:line="500" w:lineRule="exact"/>
        <w:ind w:firstLine="560" w:firstLineChars="200"/>
        <w:rPr>
          <w:color w:val="auto"/>
          <w:sz w:val="28"/>
          <w:szCs w:val="28"/>
        </w:rPr>
      </w:pPr>
      <w:r>
        <w:rPr>
          <w:rFonts w:ascii="仿宋_GB2312" w:hAnsi="仿宋_GB2312" w:eastAsia="仿宋_GB2312" w:cs="仿宋_GB2312"/>
          <w:color w:val="auto"/>
          <w:sz w:val="28"/>
          <w:szCs w:val="28"/>
        </w:rPr>
        <w:t>满足及遵循《陕西省智慧医院建设细则》（2024年版）相关要求。</w:t>
      </w:r>
    </w:p>
    <w:p w14:paraId="48622781">
      <w:pPr>
        <w:pStyle w:val="19"/>
        <w:spacing w:line="50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2</w:t>
      </w:r>
      <w:r>
        <w:rPr>
          <w:rFonts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乙方须保证甲方在使用该货物或其任何一部分时，不受第三方侵权指控，同时不得向第三方泄露甲方提供的任何技术文件和相关信息等。</w:t>
      </w:r>
    </w:p>
    <w:p w14:paraId="1E29E571">
      <w:pPr>
        <w:pStyle w:val="19"/>
        <w:spacing w:line="50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3.乙方所投产品必须为最新版本并且承诺在项目实施过程中无条件满足符合中、省的技术类标准和业务规范变化的需求修改，非增加子系统或功能类的个性化需求，乙方须一并满足。</w:t>
      </w:r>
    </w:p>
    <w:p w14:paraId="5B4A0100">
      <w:pPr>
        <w:pStyle w:val="19"/>
        <w:spacing w:line="50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4.必须不低于已通过互联互通四甲、电子病历5级案例应用功能。</w:t>
      </w:r>
    </w:p>
    <w:p w14:paraId="26EE1AE8">
      <w:pPr>
        <w:pStyle w:val="19"/>
        <w:spacing w:line="500" w:lineRule="exact"/>
        <w:ind w:firstLine="560" w:firstLineChars="200"/>
        <w:rPr>
          <w:color w:val="auto"/>
          <w:sz w:val="28"/>
          <w:szCs w:val="28"/>
        </w:rPr>
      </w:pPr>
      <w:r>
        <w:rPr>
          <w:rFonts w:hint="eastAsia" w:ascii="仿宋_GB2312" w:hAnsi="仿宋_GB2312" w:eastAsia="仿宋_GB2312" w:cs="仿宋_GB2312"/>
          <w:color w:val="auto"/>
          <w:sz w:val="28"/>
          <w:szCs w:val="28"/>
          <w:lang w:val="en-US" w:eastAsia="zh-CN"/>
        </w:rPr>
        <w:t>5.乙方所投产品必须包含原厂商授权的知识库并在上线前提供原厂商的授权许可使用证明文件。</w:t>
      </w:r>
    </w:p>
    <w:p w14:paraId="33E11473">
      <w:pPr>
        <w:pStyle w:val="19"/>
        <w:spacing w:line="50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ascii="仿宋_GB2312" w:hAnsi="仿宋_GB2312" w:eastAsia="仿宋_GB2312" w:cs="仿宋_GB2312"/>
          <w:color w:val="auto"/>
          <w:sz w:val="28"/>
          <w:szCs w:val="28"/>
        </w:rPr>
        <w:t>.系统接口：</w:t>
      </w:r>
      <w:r>
        <w:rPr>
          <w:rFonts w:hint="eastAsia" w:ascii="仿宋_GB2312" w:hAnsi="仿宋_GB2312" w:eastAsia="仿宋_GB2312" w:cs="仿宋_GB2312"/>
          <w:color w:val="auto"/>
          <w:sz w:val="28"/>
          <w:szCs w:val="28"/>
          <w:lang w:val="en-US" w:eastAsia="zh-CN"/>
        </w:rPr>
        <w:t>合同价款</w:t>
      </w:r>
      <w:r>
        <w:rPr>
          <w:rFonts w:ascii="仿宋_GB2312" w:hAnsi="仿宋_GB2312" w:eastAsia="仿宋_GB2312" w:cs="仿宋_GB2312"/>
          <w:color w:val="auto"/>
          <w:sz w:val="28"/>
          <w:szCs w:val="28"/>
        </w:rPr>
        <w:t>中需包含本次采购系统与集成平台、系统与电子病历以及系统与数据中心等所有接口费用。</w:t>
      </w:r>
      <w:r>
        <w:rPr>
          <w:rFonts w:hint="eastAsia" w:ascii="仿宋_GB2312" w:hAnsi="仿宋_GB2312" w:eastAsia="仿宋_GB2312" w:cs="仿宋_GB2312"/>
          <w:color w:val="auto"/>
          <w:sz w:val="28"/>
          <w:szCs w:val="28"/>
          <w:lang w:val="en-US" w:eastAsia="zh-CN"/>
        </w:rPr>
        <w:t>本项目采购的软件所有权、使用权及相关知识产权均归甲方（医院）所有，乙方不得设置任何使用限制或权利保留。</w:t>
      </w:r>
    </w:p>
    <w:p w14:paraId="2B8FD7C8">
      <w:pPr>
        <w:numPr>
          <w:ilvl w:val="-1"/>
          <w:numId w:val="0"/>
        </w:numPr>
        <w:spacing w:line="50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甲方责任</w:t>
      </w:r>
    </w:p>
    <w:p w14:paraId="563C6011">
      <w:pPr>
        <w:widowControl/>
        <w:autoSpaceDE/>
        <w:autoSpaceDN/>
        <w:spacing w:line="500" w:lineRule="exact"/>
        <w:ind w:firstLine="560"/>
        <w:textAlignment w:val="bottom"/>
        <w:rPr>
          <w:rFonts w:ascii="仿宋" w:hAnsi="仿宋" w:eastAsia="仿宋" w:cs="仿宋"/>
          <w:color w:val="auto"/>
          <w:sz w:val="28"/>
          <w:szCs w:val="28"/>
        </w:rPr>
      </w:pPr>
      <w:r>
        <w:rPr>
          <w:rFonts w:hint="eastAsia" w:ascii="仿宋" w:hAnsi="仿宋" w:eastAsia="仿宋" w:cs="仿宋"/>
          <w:color w:val="auto"/>
          <w:sz w:val="28"/>
          <w:szCs w:val="28"/>
        </w:rPr>
        <w:t>1.甲方应指定工作人员负责执行本合同，支持和配合乙方的工作，并为乙方完成本合同规定服务提供必要条件；</w:t>
      </w:r>
    </w:p>
    <w:p w14:paraId="52E42EE8">
      <w:pPr>
        <w:widowControl/>
        <w:autoSpaceDE/>
        <w:autoSpaceDN/>
        <w:spacing w:line="500" w:lineRule="exact"/>
        <w:ind w:firstLine="560"/>
        <w:textAlignment w:val="bottom"/>
        <w:rPr>
          <w:rFonts w:ascii="仿宋" w:hAnsi="仿宋" w:eastAsia="仿宋" w:cs="仿宋"/>
          <w:color w:val="auto"/>
          <w:sz w:val="28"/>
          <w:szCs w:val="28"/>
        </w:rPr>
      </w:pPr>
      <w:r>
        <w:rPr>
          <w:rFonts w:hint="eastAsia" w:ascii="仿宋" w:hAnsi="仿宋" w:eastAsia="仿宋" w:cs="仿宋"/>
          <w:color w:val="auto"/>
          <w:sz w:val="28"/>
          <w:szCs w:val="28"/>
        </w:rPr>
        <w:t>2.甲方应向乙方提供符合病案翻拍制作要求的合格工作场地；</w:t>
      </w:r>
    </w:p>
    <w:p w14:paraId="77F9FCA4">
      <w:pPr>
        <w:widowControl/>
        <w:autoSpaceDE/>
        <w:autoSpaceDN/>
        <w:spacing w:line="500" w:lineRule="exact"/>
        <w:ind w:firstLine="560"/>
        <w:textAlignment w:val="bottom"/>
        <w:rPr>
          <w:rFonts w:ascii="仿宋" w:hAnsi="仿宋" w:eastAsia="仿宋" w:cs="仿宋"/>
          <w:color w:val="auto"/>
          <w:sz w:val="28"/>
          <w:szCs w:val="28"/>
        </w:rPr>
      </w:pPr>
      <w:r>
        <w:rPr>
          <w:rFonts w:hint="eastAsia" w:ascii="仿宋" w:hAnsi="仿宋" w:eastAsia="仿宋" w:cs="仿宋"/>
          <w:color w:val="auto"/>
          <w:sz w:val="28"/>
          <w:szCs w:val="28"/>
        </w:rPr>
        <w:t>3.甲方应提供数据存储、备份设备以及其他为本合同目的可能需要使用的</w:t>
      </w:r>
    </w:p>
    <w:p w14:paraId="03505D09">
      <w:pPr>
        <w:widowControl/>
        <w:autoSpaceDE/>
        <w:autoSpaceDN/>
        <w:spacing w:line="500" w:lineRule="exact"/>
        <w:textAlignment w:val="bottom"/>
        <w:rPr>
          <w:rFonts w:ascii="仿宋" w:hAnsi="仿宋" w:eastAsia="仿宋" w:cs="仿宋"/>
          <w:color w:val="auto"/>
          <w:sz w:val="28"/>
          <w:szCs w:val="28"/>
        </w:rPr>
      </w:pPr>
      <w:r>
        <w:rPr>
          <w:rFonts w:hint="eastAsia" w:ascii="仿宋" w:hAnsi="仿宋" w:eastAsia="仿宋" w:cs="仿宋"/>
          <w:color w:val="auto"/>
          <w:sz w:val="28"/>
          <w:szCs w:val="28"/>
        </w:rPr>
        <w:t>硬件设备、网络设施（乙方可就此提供说明），设备的可靠运行及安全维护维修等由甲方自行承担；</w:t>
      </w:r>
    </w:p>
    <w:p w14:paraId="70406E41">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4.甲方的委托行为及其他相关病案管理行为，须遵守国家法律法规规定。由于甲方违法违规操作造成的损失，责任由甲方承担。</w:t>
      </w:r>
    </w:p>
    <w:p w14:paraId="4FCA74B3">
      <w:pPr>
        <w:widowControl/>
        <w:autoSpaceDE/>
        <w:autoSpaceDN/>
        <w:spacing w:line="500" w:lineRule="exact"/>
        <w:ind w:firstLine="560"/>
        <w:textAlignment w:val="bottom"/>
        <w:rPr>
          <w:rFonts w:ascii="仿宋" w:hAnsi="仿宋" w:eastAsia="仿宋" w:cs="仿宋"/>
          <w:color w:val="auto"/>
          <w:sz w:val="28"/>
          <w:szCs w:val="28"/>
        </w:rPr>
      </w:pPr>
      <w:r>
        <w:rPr>
          <w:rFonts w:hint="eastAsia" w:ascii="仿宋" w:hAnsi="仿宋" w:eastAsia="仿宋" w:cs="仿宋"/>
          <w:color w:val="auto"/>
          <w:sz w:val="28"/>
          <w:szCs w:val="28"/>
        </w:rPr>
        <w:t>5.甲方具有合同有效期内相关软件系统、相关技术文档的使用权。</w:t>
      </w:r>
    </w:p>
    <w:p w14:paraId="239650A8">
      <w:pPr>
        <w:spacing w:line="5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、乙方责任</w:t>
      </w:r>
    </w:p>
    <w:p w14:paraId="637916DB">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1.乙方需提供完整的培训方案，培训的内容、次数和方式由甲方提出，甲方负责提供培训场地、培训电脑和培训人员的召集，乙方负责培训环境的搭建、培训文档的准备、培训的实施等。</w:t>
      </w:r>
    </w:p>
    <w:p w14:paraId="0479CAD1">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2.乙方提供培训内容：1）系统软件的用户使用培训，应用软件操作培训；2）系统管理培训、甲方技术人员维护培训；3）应用软件操作疑难问题解答。</w:t>
      </w:r>
    </w:p>
    <w:p w14:paraId="2F16E2C6">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3.乙方应根据合同的规定，在双方约定的时间内完成服务项目内容。</w:t>
      </w:r>
    </w:p>
    <w:p w14:paraId="2EF0F757">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4.乙方应根据工作需要，派出相关专业的工作人员进行项目配合及监督执行。</w:t>
      </w:r>
    </w:p>
    <w:p w14:paraId="4A857168">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5.乙方应按国家规定和本合同及招标文件约定的服务规范和要求进行服务，按本合同规定的内容、时间完成项目，并对项目质量负责。</w:t>
      </w:r>
    </w:p>
    <w:p w14:paraId="26DC001C">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、培训</w:t>
      </w:r>
    </w:p>
    <w:p w14:paraId="1B1769FE">
      <w:pPr>
        <w:widowControl/>
        <w:autoSpaceDE/>
        <w:autoSpaceDN/>
        <w:spacing w:line="500" w:lineRule="exact"/>
        <w:ind w:firstLine="560"/>
        <w:textAlignment w:val="bottom"/>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.培训</w:t>
      </w:r>
      <w:r>
        <w:rPr>
          <w:rFonts w:hint="eastAsia" w:ascii="仿宋" w:hAnsi="仿宋" w:eastAsia="仿宋" w:cs="仿宋"/>
          <w:color w:val="auto"/>
          <w:sz w:val="28"/>
          <w:szCs w:val="28"/>
          <w:lang w:val="en-US" w:eastAsia="zh-CN"/>
        </w:rPr>
        <w:t>要求：</w:t>
      </w:r>
    </w:p>
    <w:p w14:paraId="24BF7F09">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需提供完整的培训方案，培训的内容、次数和方式由</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提出，</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负责提供培训场地、培训电脑和培训人员的召集，</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负责培训环境的搭建、培训文档的准备、培训的实施等。</w:t>
      </w:r>
    </w:p>
    <w:p w14:paraId="5A766350">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（2）培训内容：</w:t>
      </w:r>
    </w:p>
    <w:p w14:paraId="02D2ECF6">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1）系统软件的用户使用培训，应用软件操作培训；</w:t>
      </w:r>
    </w:p>
    <w:p w14:paraId="2F032D32">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2）系统管理培训、</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技术人员维护培训；</w:t>
      </w:r>
    </w:p>
    <w:p w14:paraId="273ECC2D">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3）应用软件操作疑难问题解答。</w:t>
      </w:r>
    </w:p>
    <w:p w14:paraId="1640D520">
      <w:pPr>
        <w:spacing w:line="5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lang w:val="en-US" w:eastAsia="zh-CN"/>
        </w:rPr>
        <w:t>十</w:t>
      </w:r>
      <w:r>
        <w:rPr>
          <w:rFonts w:hint="eastAsia" w:ascii="仿宋" w:hAnsi="仿宋" w:eastAsia="仿宋" w:cs="仿宋"/>
          <w:b/>
          <w:bCs/>
          <w:color w:val="auto"/>
          <w:sz w:val="28"/>
          <w:szCs w:val="28"/>
        </w:rPr>
        <w:t>、验收标准</w:t>
      </w:r>
    </w:p>
    <w:p w14:paraId="53B65C76">
      <w:pPr>
        <w:widowControl/>
        <w:autoSpaceDE/>
        <w:autoSpaceDN/>
        <w:spacing w:line="500" w:lineRule="exact"/>
        <w:ind w:firstLine="560"/>
        <w:textAlignment w:val="bottom"/>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.验收</w:t>
      </w:r>
      <w:r>
        <w:rPr>
          <w:rFonts w:hint="eastAsia" w:ascii="仿宋" w:hAnsi="仿宋" w:eastAsia="仿宋" w:cs="仿宋"/>
          <w:color w:val="auto"/>
          <w:sz w:val="28"/>
          <w:szCs w:val="28"/>
          <w:lang w:val="en-US" w:eastAsia="zh-CN"/>
        </w:rPr>
        <w:t>要求：</w:t>
      </w:r>
    </w:p>
    <w:p w14:paraId="32E20287">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（1）验收分两个阶段：1、完成环境搭建并正式上线；2、服务期满1年后完成履约验收。</w:t>
      </w:r>
    </w:p>
    <w:p w14:paraId="6A3AC2D4">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完成合同及招标文件规定的全部内容，由</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提出正式上线验收申请，</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组织相关人员进行项目验收，出具验收报告。正式验收完成后，须继续配合完成相关评级内容。</w:t>
      </w:r>
    </w:p>
    <w:p w14:paraId="6C5CE31E">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（3）验收资料。在项目验收时，</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需提供但不限于项目实施方案、需求说明书、使用人员签字的培训记录、系统操作说明、系统维护说明、验收申请、数据业务流、数据字典及表结构说明、用户手册、数据库用户名及密码等资料。</w:t>
      </w:r>
    </w:p>
    <w:p w14:paraId="1691FB90">
      <w:pPr>
        <w:spacing w:line="5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lang w:val="en-US" w:eastAsia="zh-CN"/>
        </w:rPr>
        <w:t>十一</w:t>
      </w:r>
      <w:r>
        <w:rPr>
          <w:rFonts w:hint="eastAsia" w:ascii="仿宋" w:hAnsi="仿宋" w:eastAsia="仿宋" w:cs="仿宋"/>
          <w:b/>
          <w:bCs/>
          <w:color w:val="auto"/>
          <w:sz w:val="28"/>
          <w:szCs w:val="28"/>
        </w:rPr>
        <w:t>、保密要求</w:t>
      </w:r>
    </w:p>
    <w:p w14:paraId="5A040AC4">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1.乙方须与员工签订保密协议或要求员工签订保密承诺，确保员工保守甲方秘密、病案相关个人隐私。</w:t>
      </w:r>
    </w:p>
    <w:p w14:paraId="576C4E76">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对于甲方因本合同提供乙方持有或处理的病案（及其他敏感信息），乙方须采取必要的安全措施，确保其不被损伤、销毁、丢弃、窃取、删除、更改、摘抄、公布、出版，不被未经甲方同意或授权的组织或个人接触、复制、使用。</w:t>
      </w:r>
    </w:p>
    <w:p w14:paraId="59D95F20">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3.乙方保证只允许已向甲方备案的员工因完成本合同规定服务的需要，而接触甲方病案；并确保接触该病案的乙方员工接受与乙方同样的约束。</w:t>
      </w:r>
    </w:p>
    <w:p w14:paraId="5D29D718">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4.甲方有义务保守乙方的商业秘密，包括服务内容、服务价格标准、操作流程、技术方法、软件系统、仪器设备等。</w:t>
      </w:r>
    </w:p>
    <w:p w14:paraId="4D8F5EEA">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5.乙方配备负责翻拍质量控制、管理的专职人员，并负责支付前述人员工资。</w:t>
      </w:r>
    </w:p>
    <w:p w14:paraId="76A0DFC6">
      <w:pPr>
        <w:spacing w:line="5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rPr>
        <w:t>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rPr>
        <w:t>、知识产权</w:t>
      </w:r>
    </w:p>
    <w:p w14:paraId="7ADB84B8">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1.合同双方对在签订和履行本合同过程中从任何一方获知的对方的技术和商业秘密，无论在本合同期限内还是合同终止后，均应共同遵守《中华人民共和国反不正当竞争法》及国家有关版权、专利、商标等知识产权等方面的法律法规的规定，相互尊重对方的知识产权，对所知悉的对方的技术秘密和商业秘密负有保密责任。未经一方事先书面授权，任一方不得以任何方式向任何其他组织或个人泄露、转让、许可使用、交换、赠予或与任何其他组织或个人共同使用或不正当使用。违反本条规定，给对方造成损失的，违约方应承担相应的法律责任。</w:t>
      </w:r>
    </w:p>
    <w:p w14:paraId="492EDF45">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2.系统软件产品版权属于乙方所有。该项目的技术实施方案、产品、用户</w:t>
      </w:r>
    </w:p>
    <w:p w14:paraId="3B62A3A4">
      <w:pPr>
        <w:widowControl/>
        <w:autoSpaceDE/>
        <w:autoSpaceDN/>
        <w:spacing w:line="500" w:lineRule="exact"/>
        <w:ind w:firstLine="0"/>
        <w:textAlignment w:val="bottom"/>
        <w:rPr>
          <w:rFonts w:ascii="仿宋" w:hAnsi="仿宋" w:eastAsia="仿宋" w:cs="仿宋"/>
          <w:color w:val="auto"/>
          <w:sz w:val="28"/>
          <w:szCs w:val="28"/>
        </w:rPr>
      </w:pPr>
      <w:r>
        <w:rPr>
          <w:rFonts w:hint="eastAsia" w:ascii="仿宋" w:hAnsi="仿宋" w:eastAsia="仿宋" w:cs="仿宋"/>
          <w:color w:val="auto"/>
          <w:sz w:val="28"/>
          <w:szCs w:val="28"/>
        </w:rPr>
        <w:t>手册及附属的信息数据均属保密范围。任一方泄密，视为违约，守约方保留追究其责任的权利。乙方对系统软件的用户手册拥有著作权、修改权和发布权等著作权权利。</w:t>
      </w:r>
    </w:p>
    <w:p w14:paraId="2F20BC1C">
      <w:pPr>
        <w:widowControl/>
        <w:autoSpaceDE/>
        <w:autoSpaceDN/>
        <w:spacing w:line="500" w:lineRule="exact"/>
        <w:ind w:firstLine="560"/>
        <w:textAlignment w:val="bottom"/>
        <w:rPr>
          <w:rFonts w:hint="eastAsia" w:ascii="仿宋" w:hAnsi="仿宋" w:eastAsia="仿宋" w:cs="仿宋"/>
          <w:color w:val="auto"/>
          <w:sz w:val="28"/>
          <w:szCs w:val="28"/>
        </w:rPr>
      </w:pPr>
      <w:r>
        <w:rPr>
          <w:rFonts w:hint="eastAsia" w:ascii="仿宋" w:hAnsi="仿宋" w:eastAsia="仿宋" w:cs="仿宋"/>
          <w:color w:val="auto"/>
          <w:sz w:val="28"/>
          <w:szCs w:val="28"/>
        </w:rPr>
        <w:t>3.乙方应保证甲方在使用乙方根据本合同向甲方提供的产品或服务时，其任何一部分免受第三方提出的侵犯其专利权、商标权或工业设计权等的起诉。</w:t>
      </w:r>
    </w:p>
    <w:p w14:paraId="32F48DFB">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十</w:t>
      </w:r>
      <w:r>
        <w:rPr>
          <w:rFonts w:hint="eastAsia" w:ascii="仿宋" w:hAnsi="仿宋" w:eastAsia="仿宋" w:cs="仿宋"/>
          <w:b/>
          <w:bCs/>
          <w:color w:val="auto"/>
          <w:sz w:val="28"/>
          <w:szCs w:val="28"/>
          <w:lang w:val="en-US" w:eastAsia="zh-CN"/>
        </w:rPr>
        <w:t>三</w:t>
      </w:r>
      <w:r>
        <w:rPr>
          <w:rFonts w:hint="eastAsia" w:ascii="仿宋" w:hAnsi="仿宋" w:eastAsia="仿宋" w:cs="仿宋"/>
          <w:b/>
          <w:bCs/>
          <w:color w:val="auto"/>
          <w:sz w:val="28"/>
          <w:szCs w:val="28"/>
        </w:rPr>
        <w:t>、违约责任及争议解决</w:t>
      </w:r>
    </w:p>
    <w:p w14:paraId="31B86568">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依据《中华人民共和国民法典》等相关条款和本合同约定，乙方未全面履行合同义务或者发生违约，甲方有权终止合同，乙方应向甲方赔偿损失，并报请政府采购监督管理机关进行相应的行政处罚。甲方违约的，应当赔偿给乙方造成的经济损失。</w:t>
      </w:r>
    </w:p>
    <w:p w14:paraId="39EFB789">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2.在服务期内，甲方如果发现乙方的服务内容、服务质量等存在与合同中任何一项不符，乙方应向甲方支付合同总额10%的违约金。</w:t>
      </w:r>
    </w:p>
    <w:p w14:paraId="016F6474">
      <w:pPr>
        <w:widowControl/>
        <w:kinsoku w:val="0"/>
        <w:autoSpaceDE/>
        <w:autoSpaceDN/>
        <w:adjustRightInd w:val="0"/>
        <w:snapToGrid w:val="0"/>
        <w:spacing w:line="5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3.因本合同在执行过程中发生纠纷，由双方协商解决，协商不成向甲方所在地人民法院提起诉讼。</w:t>
      </w:r>
    </w:p>
    <w:p w14:paraId="6A004371">
      <w:pPr>
        <w:widowControl/>
        <w:autoSpaceDE/>
        <w:autoSpaceDN/>
        <w:spacing w:line="500" w:lineRule="exact"/>
        <w:ind w:firstLine="562"/>
        <w:textAlignment w:val="bottom"/>
        <w:rPr>
          <w:rFonts w:ascii="仿宋" w:hAnsi="仿宋" w:eastAsia="仿宋" w:cs="仿宋"/>
          <w:b/>
          <w:bCs/>
          <w:color w:val="auto"/>
          <w:sz w:val="28"/>
          <w:szCs w:val="28"/>
        </w:rPr>
      </w:pPr>
      <w:r>
        <w:rPr>
          <w:rFonts w:hint="eastAsia" w:ascii="仿宋" w:hAnsi="仿宋" w:eastAsia="仿宋" w:cs="仿宋"/>
          <w:b/>
          <w:bCs/>
          <w:color w:val="auto"/>
          <w:sz w:val="28"/>
          <w:szCs w:val="28"/>
        </w:rPr>
        <w:t>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、不可抗力</w:t>
      </w:r>
    </w:p>
    <w:p w14:paraId="52A29D2F">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1.本条款所称“不可抗力”指合同任一方无法合理控制并导致其无法履行本合同承诺或义务的情形。这些情形包括但不限于：（1）疫情、天灾、地震、干旱、风暴、台风、暴风雨、暴雨、泥流、塌方、冲垮、爆炸、火灾及任何自然灾害；（2）战争行为、公敌行为、恐怖活动、暴动、内乱、罢工、恶意损坏、革命、政变、政府干预（包括新法律、法规或法令）。</w:t>
      </w:r>
    </w:p>
    <w:p w14:paraId="70D5E861">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2.在合同有效期内，任何一方因不可抗力事件导致不能履行合同，则合同履行期可延长，其延长期与不可抗力影响期相同。</w:t>
      </w:r>
    </w:p>
    <w:p w14:paraId="689DD541">
      <w:pPr>
        <w:widowControl/>
        <w:autoSpaceDE/>
        <w:autoSpaceDN/>
        <w:spacing w:line="500" w:lineRule="exact"/>
        <w:ind w:firstLine="560" w:firstLineChars="200"/>
        <w:textAlignment w:val="bottom"/>
        <w:rPr>
          <w:rFonts w:ascii="仿宋" w:hAnsi="仿宋" w:eastAsia="仿宋" w:cs="仿宋"/>
          <w:color w:val="auto"/>
          <w:sz w:val="28"/>
          <w:szCs w:val="28"/>
        </w:rPr>
      </w:pPr>
      <w:r>
        <w:rPr>
          <w:rFonts w:hint="eastAsia" w:ascii="仿宋" w:hAnsi="仿宋" w:eastAsia="仿宋" w:cs="仿宋"/>
          <w:color w:val="auto"/>
          <w:sz w:val="28"/>
          <w:szCs w:val="28"/>
        </w:rPr>
        <w:t>3.不可抗力事件发生后，应立即通知对方，并寄送有关权威机构出具的证明。</w:t>
      </w:r>
    </w:p>
    <w:p w14:paraId="77CDC491">
      <w:pPr>
        <w:widowControl/>
        <w:kinsoku w:val="0"/>
        <w:autoSpaceDE/>
        <w:autoSpaceDN/>
        <w:adjustRightInd w:val="0"/>
        <w:snapToGrid w:val="0"/>
        <w:spacing w:line="500" w:lineRule="exact"/>
        <w:ind w:firstLine="552"/>
        <w:textAlignment w:val="baseline"/>
        <w:outlineLvl w:val="1"/>
        <w:rPr>
          <w:rFonts w:ascii="仿宋" w:hAnsi="仿宋" w:eastAsia="仿宋" w:cs="仿宋"/>
          <w:color w:val="auto"/>
          <w:spacing w:val="-1"/>
          <w:sz w:val="28"/>
          <w:szCs w:val="28"/>
        </w:rPr>
      </w:pPr>
      <w:r>
        <w:rPr>
          <w:rFonts w:hint="eastAsia" w:ascii="仿宋" w:hAnsi="仿宋" w:eastAsia="仿宋" w:cs="仿宋"/>
          <w:color w:val="auto"/>
          <w:spacing w:val="-2"/>
          <w:sz w:val="28"/>
          <w:szCs w:val="28"/>
          <w14:textOutline w14:w="5080" w14:cap="flat" w14:cmpd="sng" w14:algn="ctr">
            <w14:solidFill>
              <w14:srgbClr w14:val="000000"/>
            </w14:solidFill>
            <w14:prstDash w14:val="solid"/>
            <w14:miter w14:val="0"/>
          </w14:textOutline>
        </w:rPr>
        <w:t>十</w:t>
      </w:r>
      <w:r>
        <w:rPr>
          <w:rFonts w:hint="eastAsia" w:ascii="仿宋" w:hAnsi="仿宋" w:eastAsia="仿宋" w:cs="仿宋"/>
          <w:color w:val="auto"/>
          <w:spacing w:val="-2"/>
          <w:sz w:val="28"/>
          <w:szCs w:val="28"/>
          <w:lang w:val="en-US" w:eastAsia="zh-CN"/>
          <w14:textOutline w14:w="5080" w14:cap="flat" w14:cmpd="sng" w14:algn="ctr">
            <w14:solidFill>
              <w14:srgbClr w14:val="000000"/>
            </w14:solidFill>
            <w14:prstDash w14:val="solid"/>
            <w14:miter w14:val="0"/>
          </w14:textOutline>
        </w:rPr>
        <w:t>五</w:t>
      </w:r>
      <w:r>
        <w:rPr>
          <w:rFonts w:hint="eastAsia" w:ascii="仿宋" w:hAnsi="仿宋" w:eastAsia="仿宋" w:cs="仿宋"/>
          <w:color w:val="auto"/>
          <w:spacing w:val="-1"/>
          <w:sz w:val="28"/>
          <w:szCs w:val="28"/>
          <w14:textOutline w14:w="5080" w14:cap="flat" w14:cmpd="sng" w14:algn="ctr">
            <w14:solidFill>
              <w14:srgbClr w14:val="000000"/>
            </w14:solidFill>
            <w14:prstDash w14:val="solid"/>
            <w14:miter w14:val="0"/>
          </w14:textOutline>
        </w:rPr>
        <w:t>、其他</w:t>
      </w:r>
    </w:p>
    <w:p w14:paraId="7191F375">
      <w:pPr>
        <w:widowControl/>
        <w:kinsoku w:val="0"/>
        <w:autoSpaceDE/>
        <w:autoSpaceDN/>
        <w:adjustRightInd w:val="0"/>
        <w:snapToGrid w:val="0"/>
        <w:spacing w:line="500" w:lineRule="exact"/>
        <w:ind w:firstLine="556" w:firstLineChars="200"/>
        <w:textAlignment w:val="baseline"/>
        <w:rPr>
          <w:rFonts w:ascii="仿宋" w:hAnsi="仿宋" w:eastAsia="仿宋" w:cs="仿宋"/>
          <w:color w:val="auto"/>
          <w:spacing w:val="-1"/>
          <w:sz w:val="28"/>
          <w:szCs w:val="28"/>
        </w:rPr>
      </w:pPr>
      <w:r>
        <w:rPr>
          <w:rFonts w:hint="eastAsia" w:ascii="仿宋" w:hAnsi="仿宋" w:eastAsia="仿宋" w:cs="仿宋"/>
          <w:color w:val="auto"/>
          <w:spacing w:val="-1"/>
          <w:sz w:val="28"/>
          <w:szCs w:val="28"/>
        </w:rPr>
        <w:t>1.招标文件、投标文件也是合同的组成部分，具有同等法律效力，合同中未约定的以招标文件、投标文件为准。</w:t>
      </w:r>
    </w:p>
    <w:p w14:paraId="2EDB08A8">
      <w:pPr>
        <w:widowControl/>
        <w:kinsoku w:val="0"/>
        <w:autoSpaceDE/>
        <w:autoSpaceDN/>
        <w:adjustRightInd w:val="0"/>
        <w:snapToGrid w:val="0"/>
        <w:spacing w:line="500" w:lineRule="exact"/>
        <w:ind w:firstLine="552" w:firstLineChars="200"/>
        <w:textAlignment w:val="baseline"/>
        <w:rPr>
          <w:rFonts w:hint="eastAsia" w:ascii="仿宋" w:hAnsi="仿宋" w:eastAsia="仿宋" w:cs="仿宋"/>
          <w:color w:val="auto"/>
          <w:spacing w:val="-1"/>
          <w:sz w:val="28"/>
          <w:szCs w:val="28"/>
        </w:rPr>
      </w:pPr>
      <w:r>
        <w:rPr>
          <w:rFonts w:hint="eastAsia" w:ascii="仿宋" w:hAnsi="仿宋" w:eastAsia="仿宋" w:cs="仿宋"/>
          <w:color w:val="auto"/>
          <w:spacing w:val="-2"/>
          <w:sz w:val="28"/>
          <w:szCs w:val="28"/>
        </w:rPr>
        <w:t>2.乙方不得将本</w:t>
      </w:r>
      <w:r>
        <w:rPr>
          <w:rFonts w:hint="eastAsia" w:ascii="仿宋" w:hAnsi="仿宋" w:eastAsia="仿宋" w:cs="仿宋"/>
          <w:color w:val="auto"/>
          <w:spacing w:val="-1"/>
          <w:sz w:val="28"/>
          <w:szCs w:val="28"/>
        </w:rPr>
        <w:t>合同全部或部分权利、义务转让给第三方。</w:t>
      </w:r>
    </w:p>
    <w:p w14:paraId="795424F4">
      <w:pPr>
        <w:widowControl/>
        <w:kinsoku w:val="0"/>
        <w:autoSpaceDE/>
        <w:autoSpaceDN/>
        <w:adjustRightInd w:val="0"/>
        <w:snapToGrid w:val="0"/>
        <w:spacing w:line="500" w:lineRule="exact"/>
        <w:ind w:firstLine="556" w:firstLineChars="200"/>
        <w:textAlignment w:val="baseline"/>
        <w:rPr>
          <w:rFonts w:ascii="仿宋" w:hAnsi="仿宋" w:eastAsia="仿宋" w:cs="仿宋"/>
          <w:color w:val="auto"/>
          <w:sz w:val="28"/>
          <w:szCs w:val="28"/>
        </w:rPr>
      </w:pPr>
      <w:r>
        <w:rPr>
          <w:rFonts w:hint="eastAsia" w:ascii="仿宋" w:hAnsi="仿宋" w:eastAsia="仿宋" w:cs="仿宋"/>
          <w:color w:val="auto"/>
          <w:spacing w:val="-1"/>
          <w:sz w:val="28"/>
          <w:szCs w:val="28"/>
        </w:rPr>
        <w:t>3.本合同一式肆份，经甲乙双方法定代表人签字或盖章，并加盖公章后生效，甲方叁份，乙方壹份。</w:t>
      </w:r>
    </w:p>
    <w:p w14:paraId="6F38A8A8">
      <w:pPr>
        <w:spacing w:line="500" w:lineRule="exact"/>
        <w:rPr>
          <w:rFonts w:ascii="仿宋" w:hAnsi="仿宋" w:eastAsia="仿宋" w:cs="仿宋"/>
          <w:color w:val="auto"/>
          <w:sz w:val="28"/>
          <w:szCs w:val="28"/>
        </w:rPr>
      </w:pPr>
    </w:p>
    <w:p w14:paraId="191E3C54">
      <w:pPr>
        <w:spacing w:line="500" w:lineRule="exact"/>
        <w:rPr>
          <w:rFonts w:hint="eastAsia" w:ascii="仿宋" w:hAnsi="仿宋" w:eastAsia="仿宋" w:cs="仿宋"/>
          <w:color w:val="auto"/>
          <w:sz w:val="28"/>
          <w:szCs w:val="28"/>
        </w:rPr>
      </w:pPr>
    </w:p>
    <w:p w14:paraId="2E32CEBB">
      <w:pPr>
        <w:spacing w:line="500" w:lineRule="exact"/>
        <w:rPr>
          <w:rFonts w:hint="eastAsia" w:ascii="仿宋" w:hAnsi="仿宋" w:eastAsia="仿宋" w:cs="仿宋"/>
          <w:color w:val="auto"/>
          <w:sz w:val="28"/>
          <w:szCs w:val="28"/>
        </w:rPr>
      </w:pPr>
    </w:p>
    <w:p w14:paraId="632B0E23">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甲    方                         乙    方</w:t>
      </w:r>
    </w:p>
    <w:p w14:paraId="3E29244A">
      <w:pPr>
        <w:spacing w:line="500" w:lineRule="exact"/>
        <w:ind w:left="5880" w:hanging="5880" w:hangingChars="2100"/>
        <w:rPr>
          <w:rFonts w:ascii="仿宋" w:hAnsi="仿宋" w:eastAsia="仿宋" w:cs="仿宋"/>
          <w:color w:val="auto"/>
          <w:sz w:val="28"/>
          <w:szCs w:val="28"/>
        </w:rPr>
      </w:pPr>
      <w:r>
        <w:rPr>
          <w:rFonts w:hint="eastAsia" w:ascii="仿宋" w:hAnsi="仿宋" w:eastAsia="仿宋" w:cs="仿宋"/>
          <w:color w:val="auto"/>
          <w:sz w:val="28"/>
          <w:szCs w:val="28"/>
        </w:rPr>
        <w:t>单位名称：西北妇女儿童医院       单位名称：</w:t>
      </w:r>
    </w:p>
    <w:p w14:paraId="31C89DBD">
      <w:pPr>
        <w:adjustRightInd w:val="0"/>
        <w:spacing w:line="500" w:lineRule="exact"/>
        <w:ind w:left="4760" w:hanging="4760" w:hangingChars="1700"/>
        <w:rPr>
          <w:rFonts w:ascii="仿宋" w:hAnsi="仿宋" w:eastAsia="仿宋" w:cs="仿宋"/>
          <w:color w:val="auto"/>
          <w:sz w:val="28"/>
          <w:szCs w:val="28"/>
        </w:rPr>
      </w:pPr>
      <w:r>
        <w:rPr>
          <w:rFonts w:hint="eastAsia" w:ascii="仿宋" w:hAnsi="仿宋" w:eastAsia="仿宋" w:cs="仿宋"/>
          <w:color w:val="auto"/>
          <w:sz w:val="28"/>
          <w:szCs w:val="28"/>
        </w:rPr>
        <w:t>单位地址：西安市雁翔路1616号    单位地址：</w:t>
      </w:r>
    </w:p>
    <w:p w14:paraId="2C6B8D2D">
      <w:pPr>
        <w:spacing w:line="500" w:lineRule="exact"/>
        <w:rPr>
          <w:rFonts w:ascii="仿宋" w:hAnsi="仿宋" w:eastAsia="仿宋" w:cs="仿宋"/>
          <w:color w:val="auto"/>
          <w:sz w:val="28"/>
          <w:szCs w:val="28"/>
        </w:rPr>
      </w:pPr>
    </w:p>
    <w:p w14:paraId="100B4B4E">
      <w:pPr>
        <w:spacing w:line="50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val="en-US" w:eastAsia="zh-CN"/>
        </w:rPr>
        <w:t>李亚军</w:t>
      </w:r>
      <w:r>
        <w:rPr>
          <w:rFonts w:hint="eastAsia" w:ascii="仿宋" w:hAnsi="仿宋" w:eastAsia="仿宋" w:cs="仿宋"/>
          <w:color w:val="auto"/>
          <w:sz w:val="28"/>
          <w:szCs w:val="28"/>
        </w:rPr>
        <w:t xml:space="preserve">               法定代表人：</w:t>
      </w:r>
    </w:p>
    <w:p w14:paraId="28958E37">
      <w:pPr>
        <w:spacing w:line="500" w:lineRule="exact"/>
        <w:ind w:left="7280" w:hanging="7280" w:hangingChars="2600"/>
        <w:rPr>
          <w:rFonts w:ascii="仿宋" w:hAnsi="仿宋" w:eastAsia="仿宋" w:cs="仿宋"/>
          <w:color w:val="auto"/>
          <w:sz w:val="28"/>
          <w:szCs w:val="28"/>
        </w:rPr>
      </w:pPr>
    </w:p>
    <w:p w14:paraId="3535EAA2">
      <w:pPr>
        <w:spacing w:line="500" w:lineRule="exact"/>
        <w:ind w:left="7280" w:hanging="7280" w:hangingChars="26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联系电话：</w:t>
      </w:r>
    </w:p>
    <w:p w14:paraId="08812066">
      <w:pPr>
        <w:spacing w:line="500" w:lineRule="exact"/>
        <w:ind w:left="7280" w:hanging="7280" w:hangingChars="26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联系人：</w:t>
      </w:r>
    </w:p>
    <w:p w14:paraId="7FBA76DC">
      <w:pPr>
        <w:pStyle w:val="18"/>
        <w:spacing w:line="500" w:lineRule="exact"/>
        <w:ind w:firstLine="0" w:firstLineChars="0"/>
        <w:rPr>
          <w:rFonts w:ascii="仿宋" w:hAnsi="仿宋" w:eastAsia="仿宋" w:cs="仿宋"/>
          <w:color w:val="auto"/>
          <w:sz w:val="28"/>
          <w:szCs w:val="28"/>
        </w:rPr>
      </w:pPr>
      <w:r>
        <w:rPr>
          <w:rFonts w:hint="eastAsia" w:ascii="仿宋" w:hAnsi="仿宋" w:eastAsia="仿宋" w:cs="仿宋"/>
          <w:color w:val="auto"/>
          <w:sz w:val="28"/>
          <w:szCs w:val="28"/>
        </w:rPr>
        <w:t xml:space="preserve">开户银行：中国银行北大街支行     开户银行： </w:t>
      </w:r>
    </w:p>
    <w:p w14:paraId="445A474B">
      <w:pPr>
        <w:spacing w:line="500" w:lineRule="exact"/>
        <w:ind w:left="7269" w:leftChars="2128" w:hanging="2800" w:hangingChars="1000"/>
        <w:rPr>
          <w:rFonts w:ascii="仿宋" w:hAnsi="仿宋" w:eastAsia="仿宋" w:cs="仿宋"/>
          <w:color w:val="auto"/>
          <w:sz w:val="28"/>
          <w:szCs w:val="28"/>
        </w:rPr>
      </w:pPr>
    </w:p>
    <w:p w14:paraId="3028E04F">
      <w:pPr>
        <w:pStyle w:val="18"/>
        <w:spacing w:line="500" w:lineRule="exact"/>
        <w:ind w:firstLine="0" w:firstLineChars="0"/>
        <w:rPr>
          <w:rFonts w:ascii="仿宋" w:hAnsi="仿宋" w:eastAsia="仿宋" w:cs="仿宋"/>
          <w:color w:val="auto"/>
          <w:sz w:val="28"/>
          <w:szCs w:val="28"/>
        </w:rPr>
      </w:pPr>
      <w:r>
        <w:rPr>
          <w:rFonts w:hint="eastAsia" w:ascii="仿宋" w:hAnsi="仿宋" w:eastAsia="仿宋" w:cs="仿宋"/>
          <w:color w:val="auto"/>
          <w:sz w:val="28"/>
          <w:szCs w:val="28"/>
        </w:rPr>
        <w:t xml:space="preserve">账号：103208712015                账号： </w:t>
      </w:r>
    </w:p>
    <w:p w14:paraId="1FEB71BC">
      <w:pPr>
        <w:pStyle w:val="18"/>
        <w:spacing w:line="500" w:lineRule="exact"/>
        <w:ind w:firstLine="0" w:firstLineChars="0"/>
        <w:rPr>
          <w:rFonts w:ascii="仿宋" w:hAnsi="仿宋" w:eastAsia="仿宋" w:cs="仿宋"/>
          <w:color w:val="auto"/>
          <w:sz w:val="28"/>
          <w:szCs w:val="28"/>
        </w:rPr>
      </w:pPr>
      <w:r>
        <w:rPr>
          <w:rFonts w:hint="eastAsia" w:ascii="仿宋" w:hAnsi="仿宋" w:eastAsia="仿宋" w:cs="仿宋"/>
          <w:color w:val="auto"/>
          <w:sz w:val="28"/>
          <w:szCs w:val="28"/>
        </w:rPr>
        <w:t xml:space="preserve">纳税人识别号：126100000881820988  纳税人识别号： </w:t>
      </w:r>
    </w:p>
    <w:p w14:paraId="520F6C26">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 xml:space="preserve">     </w:t>
      </w:r>
    </w:p>
    <w:p w14:paraId="6A9B7347">
      <w:pPr>
        <w:spacing w:line="500" w:lineRule="exact"/>
        <w:rPr>
          <w:rFonts w:ascii="仿宋" w:hAnsi="仿宋" w:eastAsia="仿宋" w:cs="仿宋"/>
          <w:color w:val="auto"/>
          <w:sz w:val="28"/>
          <w:szCs w:val="28"/>
        </w:rPr>
      </w:pPr>
    </w:p>
    <w:p w14:paraId="40E9E567">
      <w:pPr>
        <w:autoSpaceDE/>
        <w:autoSpaceDN/>
        <w:adjustRightInd w:val="0"/>
        <w:spacing w:line="500" w:lineRule="exact"/>
        <w:ind w:firstLine="3080" w:firstLineChars="1100"/>
        <w:jc w:val="left"/>
        <w:rPr>
          <w:rFonts w:ascii="仿宋" w:hAnsi="仿宋" w:eastAsia="仿宋" w:cs="仿宋"/>
          <w:color w:val="auto"/>
          <w:sz w:val="28"/>
          <w:szCs w:val="28"/>
        </w:rPr>
      </w:pPr>
      <w:r>
        <w:rPr>
          <w:rFonts w:hint="eastAsia" w:ascii="仿宋" w:hAnsi="仿宋" w:eastAsia="仿宋" w:cs="仿宋"/>
          <w:color w:val="auto"/>
          <w:sz w:val="28"/>
          <w:szCs w:val="28"/>
        </w:rPr>
        <w:t>签订时间：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日 </w:t>
      </w:r>
    </w:p>
    <w:p w14:paraId="2CB56884">
      <w:pPr>
        <w:autoSpaceDE/>
        <w:autoSpaceDN/>
        <w:adjustRightInd w:val="0"/>
        <w:spacing w:line="500" w:lineRule="exact"/>
        <w:ind w:firstLine="3080" w:firstLineChars="1100"/>
        <w:jc w:val="left"/>
        <w:rPr>
          <w:rFonts w:ascii="仿宋" w:hAnsi="仿宋" w:eastAsia="仿宋" w:cs="仿宋"/>
          <w:color w:val="auto"/>
          <w:sz w:val="28"/>
          <w:szCs w:val="28"/>
        </w:rPr>
      </w:pPr>
      <w:r>
        <w:rPr>
          <w:rFonts w:hint="eastAsia" w:ascii="仿宋" w:hAnsi="仿宋" w:eastAsia="仿宋" w:cs="仿宋"/>
          <w:color w:val="auto"/>
          <w:sz w:val="28"/>
          <w:szCs w:val="28"/>
        </w:rPr>
        <w:t>签订地点：西安市</w:t>
      </w:r>
    </w:p>
    <w:p w14:paraId="7B02A75B">
      <w:pPr>
        <w:rPr>
          <w:rFonts w:ascii="仿宋" w:hAnsi="仿宋" w:eastAsia="仿宋" w:cs="仿宋"/>
          <w:color w:val="auto"/>
          <w:sz w:val="28"/>
          <w:szCs w:val="28"/>
        </w:rPr>
      </w:pPr>
    </w:p>
    <w:p w14:paraId="3DE158F4">
      <w:pPr>
        <w:rPr>
          <w:rFonts w:ascii="仿宋" w:hAnsi="仿宋" w:eastAsia="仿宋" w:cs="仿宋"/>
          <w:color w:val="auto"/>
          <w:sz w:val="28"/>
          <w:szCs w:val="28"/>
        </w:rPr>
        <w:sectPr>
          <w:footerReference r:id="rId3" w:type="default"/>
          <w:pgSz w:w="11906" w:h="16838"/>
          <w:pgMar w:top="1157" w:right="1179" w:bottom="1157" w:left="1179" w:header="851" w:footer="992" w:gutter="0"/>
          <w:pgNumType w:start="1"/>
          <w:cols w:space="720" w:num="1"/>
          <w:docGrid w:type="lines" w:linePitch="312" w:charSpace="0"/>
        </w:sectPr>
      </w:pPr>
    </w:p>
    <w:p w14:paraId="75EAC2AB">
      <w:pPr>
        <w:rPr>
          <w:rFonts w:ascii="仿宋" w:hAnsi="仿宋" w:eastAsia="仿宋" w:cs="仿宋"/>
          <w:color w:val="auto"/>
          <w:sz w:val="28"/>
          <w:szCs w:val="28"/>
        </w:rPr>
      </w:pPr>
    </w:p>
    <w:p w14:paraId="3FF422D6">
      <w:pPr>
        <w:rPr>
          <w:rFonts w:ascii="仿宋" w:hAnsi="仿宋" w:eastAsia="仿宋" w:cs="仿宋"/>
          <w:color w:val="auto"/>
          <w:sz w:val="28"/>
          <w:szCs w:val="28"/>
        </w:rPr>
      </w:pPr>
    </w:p>
    <w:p w14:paraId="0A82C45D">
      <w:pPr>
        <w:rPr>
          <w:rFonts w:ascii="仿宋" w:hAnsi="仿宋" w:eastAsia="仿宋" w:cs="仿宋"/>
          <w:color w:val="auto"/>
          <w:sz w:val="28"/>
          <w:szCs w:val="28"/>
        </w:rPr>
      </w:pPr>
    </w:p>
    <w:sectPr>
      <w:footerReference r:id="rId4" w:type="default"/>
      <w:pgSz w:w="11906" w:h="16838"/>
      <w:pgMar w:top="1157" w:right="1179" w:bottom="1157" w:left="117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AF6A46-2ABA-407B-9DF9-3469A67108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C16EA40F-E0F0-491C-AD94-A2B42E2E0E04}"/>
  </w:font>
  <w:font w:name="仿宋">
    <w:panose1 w:val="02010609060101010101"/>
    <w:charset w:val="86"/>
    <w:family w:val="modern"/>
    <w:pitch w:val="default"/>
    <w:sig w:usb0="800002BF" w:usb1="38CF7CFA" w:usb2="00000016" w:usb3="00000000" w:csb0="00040001" w:csb1="00000000"/>
    <w:embedRegular r:id="rId3" w:fontKey="{D3C70A46-FE56-4B49-9A12-3D296ECC7295}"/>
  </w:font>
  <w:font w:name="仿宋_GB2312">
    <w:altName w:val="仿宋"/>
    <w:panose1 w:val="00000000000000000000"/>
    <w:charset w:val="00"/>
    <w:family w:val="auto"/>
    <w:pitch w:val="default"/>
    <w:sig w:usb0="00000000" w:usb1="00000000" w:usb2="00000000" w:usb3="00000000" w:csb0="00000000" w:csb1="00000000"/>
    <w:embedRegular r:id="rId4" w:fontKey="{D03C64A9-E903-491E-A9BD-5E937C9E7D26}"/>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052A5">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8EAB73">
                          <w:pPr>
                            <w:pStyle w:val="7"/>
                          </w:pPr>
                          <w:r>
                            <w:t xml:space="preserve">第 </w:t>
                          </w:r>
                          <w:r>
                            <w:fldChar w:fldCharType="begin"/>
                          </w:r>
                          <w:r>
                            <w:instrText xml:space="preserve"> PAGE  \* MERGEFORMAT </w:instrText>
                          </w:r>
                          <w:r>
                            <w:fldChar w:fldCharType="separate"/>
                          </w:r>
                          <w:r>
                            <w:t>8</w:t>
                          </w:r>
                          <w:r>
                            <w:fldChar w:fldCharType="end"/>
                          </w:r>
                          <w:r>
                            <w:t xml:space="preserve"> 页 共 </w:t>
                          </w:r>
                          <w:r>
                            <w:rPr>
                              <w:rFonts w:hint="eastAsia"/>
                              <w:lang w:val="en-US" w:eastAsia="zh-CN"/>
                            </w:rPr>
                            <w:t>10</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88EAB73">
                    <w:pPr>
                      <w:pStyle w:val="7"/>
                    </w:pPr>
                    <w:r>
                      <w:t xml:space="preserve">第 </w:t>
                    </w:r>
                    <w:r>
                      <w:fldChar w:fldCharType="begin"/>
                    </w:r>
                    <w:r>
                      <w:instrText xml:space="preserve"> PAGE  \* MERGEFORMAT </w:instrText>
                    </w:r>
                    <w:r>
                      <w:fldChar w:fldCharType="separate"/>
                    </w:r>
                    <w:r>
                      <w:t>8</w:t>
                    </w:r>
                    <w:r>
                      <w:fldChar w:fldCharType="end"/>
                    </w:r>
                    <w:r>
                      <w:t xml:space="preserve"> 页 共 </w:t>
                    </w:r>
                    <w:r>
                      <w:rPr>
                        <w:rFonts w:hint="eastAsia"/>
                        <w:lang w:val="en-US" w:eastAsia="zh-CN"/>
                      </w:rPr>
                      <w:t>10</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0DBC4">
    <w:pPr>
      <w:pStyle w:val="7"/>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BF9E9A"/>
    <w:multiLevelType w:val="singleLevel"/>
    <w:tmpl w:val="A6BF9E9A"/>
    <w:lvl w:ilvl="0" w:tentative="0">
      <w:start w:val="4"/>
      <w:numFmt w:val="chineseCounting"/>
      <w:suff w:val="nothing"/>
      <w:lvlText w:val="（%1）"/>
      <w:lvlJc w:val="left"/>
      <w:rPr>
        <w:rFonts w:hint="eastAsia"/>
      </w:rPr>
    </w:lvl>
  </w:abstractNum>
  <w:abstractNum w:abstractNumId="1">
    <w:nsid w:val="E4413C17"/>
    <w:multiLevelType w:val="singleLevel"/>
    <w:tmpl w:val="E4413C17"/>
    <w:lvl w:ilvl="0" w:tentative="0">
      <w:start w:val="3"/>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什么糖">
    <w15:presenceInfo w15:providerId="WPS Office" w15:userId="37666266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jNWE5ODNjYjc4NTQ0YjFmZWZlZjI4YmM1NzBlYjkifQ=="/>
    <w:docVar w:name="KGWebUrl" w:val="http://10.7.1.9/seeyon/officeservlet"/>
  </w:docVars>
  <w:rsids>
    <w:rsidRoot w:val="0000747A"/>
    <w:rsid w:val="0000747A"/>
    <w:rsid w:val="004A2F75"/>
    <w:rsid w:val="004C0004"/>
    <w:rsid w:val="00752C32"/>
    <w:rsid w:val="009C38C8"/>
    <w:rsid w:val="00A857D9"/>
    <w:rsid w:val="00CC32EF"/>
    <w:rsid w:val="00DF0CC0"/>
    <w:rsid w:val="00E96C78"/>
    <w:rsid w:val="00F30EDB"/>
    <w:rsid w:val="00FE316E"/>
    <w:rsid w:val="02354D60"/>
    <w:rsid w:val="033873AF"/>
    <w:rsid w:val="04152103"/>
    <w:rsid w:val="05D001B3"/>
    <w:rsid w:val="078135FA"/>
    <w:rsid w:val="09651572"/>
    <w:rsid w:val="09AB20DD"/>
    <w:rsid w:val="0A0E5A92"/>
    <w:rsid w:val="15282FD9"/>
    <w:rsid w:val="1A757DA2"/>
    <w:rsid w:val="1D1B3E09"/>
    <w:rsid w:val="1E876D65"/>
    <w:rsid w:val="1F960056"/>
    <w:rsid w:val="2304553A"/>
    <w:rsid w:val="23447230"/>
    <w:rsid w:val="241D0075"/>
    <w:rsid w:val="26BC05C1"/>
    <w:rsid w:val="283755B5"/>
    <w:rsid w:val="2AB13717"/>
    <w:rsid w:val="2D26502B"/>
    <w:rsid w:val="2FFF1444"/>
    <w:rsid w:val="31983484"/>
    <w:rsid w:val="31FF2EFF"/>
    <w:rsid w:val="32D823BB"/>
    <w:rsid w:val="32EB2A4A"/>
    <w:rsid w:val="353114F6"/>
    <w:rsid w:val="36F66CFF"/>
    <w:rsid w:val="37615A51"/>
    <w:rsid w:val="37B81E72"/>
    <w:rsid w:val="3B955244"/>
    <w:rsid w:val="3C700C3E"/>
    <w:rsid w:val="43200F7B"/>
    <w:rsid w:val="4BD5286C"/>
    <w:rsid w:val="4E2B2C17"/>
    <w:rsid w:val="50F01FCF"/>
    <w:rsid w:val="531C0EE3"/>
    <w:rsid w:val="582232DD"/>
    <w:rsid w:val="58D50403"/>
    <w:rsid w:val="5C3910C0"/>
    <w:rsid w:val="62BA5D33"/>
    <w:rsid w:val="641E3962"/>
    <w:rsid w:val="66DF73D5"/>
    <w:rsid w:val="67C717AB"/>
    <w:rsid w:val="68092B8D"/>
    <w:rsid w:val="68212C69"/>
    <w:rsid w:val="6BDD07AA"/>
    <w:rsid w:val="6BF252DD"/>
    <w:rsid w:val="6F0E7CBF"/>
    <w:rsid w:val="7218332F"/>
    <w:rsid w:val="74161847"/>
    <w:rsid w:val="7C501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autoRedefine/>
    <w:qFormat/>
    <w:uiPriority w:val="0"/>
    <w:pPr>
      <w:keepNext/>
      <w:keepLines/>
      <w:spacing w:line="360" w:lineRule="auto"/>
      <w:ind w:firstLine="200" w:firstLineChars="200"/>
      <w:jc w:val="left"/>
      <w:outlineLvl w:val="0"/>
    </w:pPr>
    <w:rPr>
      <w:b/>
      <w:bCs/>
      <w:kern w:val="44"/>
      <w:sz w:val="24"/>
      <w:szCs w:val="44"/>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99"/>
    <w:pPr>
      <w:spacing w:before="120"/>
    </w:pPr>
    <w:rPr>
      <w:rFonts w:asciiTheme="majorHAnsi" w:hAnsiTheme="majorHAnsi" w:cstheme="majorBidi"/>
      <w:sz w:val="24"/>
    </w:rPr>
  </w:style>
  <w:style w:type="paragraph" w:styleId="5">
    <w:name w:val="annotation text"/>
    <w:basedOn w:val="1"/>
    <w:link w:val="16"/>
    <w:autoRedefine/>
    <w:qFormat/>
    <w:uiPriority w:val="0"/>
    <w:pPr>
      <w:jc w:val="left"/>
    </w:pPr>
  </w:style>
  <w:style w:type="paragraph" w:styleId="6">
    <w:name w:val="Body Text"/>
    <w:basedOn w:val="1"/>
    <w:next w:val="1"/>
    <w:qFormat/>
    <w:uiPriority w:val="0"/>
    <w:rPr>
      <w:color w:val="99330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autoRedefine/>
    <w:qFormat/>
    <w:uiPriority w:val="0"/>
    <w:pPr>
      <w:spacing w:beforeAutospacing="1" w:afterAutospacing="1"/>
      <w:jc w:val="left"/>
    </w:pPr>
    <w:rPr>
      <w:kern w:val="0"/>
      <w:sz w:val="24"/>
    </w:rPr>
  </w:style>
  <w:style w:type="paragraph" w:styleId="10">
    <w:name w:val="annotation subject"/>
    <w:basedOn w:val="5"/>
    <w:next w:val="5"/>
    <w:link w:val="17"/>
    <w:autoRedefine/>
    <w:qFormat/>
    <w:uiPriority w:val="0"/>
    <w:rPr>
      <w:b/>
      <w:bCs/>
    </w:rPr>
  </w:style>
  <w:style w:type="character" w:styleId="13">
    <w:name w:val="annotation reference"/>
    <w:basedOn w:val="12"/>
    <w:autoRedefine/>
    <w:qFormat/>
    <w:uiPriority w:val="0"/>
    <w:rPr>
      <w:sz w:val="21"/>
      <w:szCs w:val="21"/>
    </w:rPr>
  </w:style>
  <w:style w:type="character" w:customStyle="1" w:styleId="14">
    <w:name w:val="bsharetext"/>
    <w:basedOn w:val="12"/>
    <w:autoRedefine/>
    <w:qFormat/>
    <w:uiPriority w:val="0"/>
  </w:style>
  <w:style w:type="paragraph" w:customStyle="1" w:styleId="15">
    <w:name w:val="修订1"/>
    <w:autoRedefine/>
    <w:hidden/>
    <w:unhideWhenUsed/>
    <w:qFormat/>
    <w:uiPriority w:val="99"/>
    <w:rPr>
      <w:rFonts w:ascii="Calibri" w:hAnsi="Calibri" w:eastAsia="宋体" w:cs="宋体"/>
      <w:kern w:val="2"/>
      <w:sz w:val="21"/>
      <w:szCs w:val="22"/>
      <w:lang w:val="en-US" w:eastAsia="zh-CN" w:bidi="ar-SA"/>
    </w:rPr>
  </w:style>
  <w:style w:type="character" w:customStyle="1" w:styleId="16">
    <w:name w:val="批注文字 字符"/>
    <w:basedOn w:val="12"/>
    <w:link w:val="5"/>
    <w:autoRedefine/>
    <w:qFormat/>
    <w:uiPriority w:val="0"/>
    <w:rPr>
      <w:rFonts w:ascii="Calibri" w:hAnsi="Calibri" w:cs="宋体"/>
      <w:kern w:val="2"/>
      <w:sz w:val="21"/>
      <w:szCs w:val="22"/>
    </w:rPr>
  </w:style>
  <w:style w:type="character" w:customStyle="1" w:styleId="17">
    <w:name w:val="批注主题 字符"/>
    <w:basedOn w:val="16"/>
    <w:link w:val="10"/>
    <w:autoRedefine/>
    <w:qFormat/>
    <w:uiPriority w:val="0"/>
    <w:rPr>
      <w:rFonts w:ascii="Calibri" w:hAnsi="Calibri" w:cs="宋体"/>
      <w:b/>
      <w:bCs/>
      <w:kern w:val="2"/>
      <w:sz w:val="21"/>
      <w:szCs w:val="22"/>
    </w:rPr>
  </w:style>
  <w:style w:type="paragraph" w:customStyle="1" w:styleId="18">
    <w:name w:val="列出段落1"/>
    <w:basedOn w:val="1"/>
    <w:autoRedefine/>
    <w:qFormat/>
    <w:uiPriority w:val="34"/>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 w:type="paragraph" w:customStyle="1" w:styleId="20">
    <w:name w:val="Table Text"/>
    <w:basedOn w:val="1"/>
    <w:semiHidden/>
    <w:qFormat/>
    <w:uiPriority w:val="0"/>
    <w:rPr>
      <w:rFonts w:ascii="Arial" w:hAnsi="Arial" w:eastAsia="Arial" w:cs="Arial"/>
      <w:sz w:val="21"/>
      <w:szCs w:val="21"/>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5219</Words>
  <Characters>5364</Characters>
  <Lines>4</Lines>
  <Paragraphs>10</Paragraphs>
  <TotalTime>4</TotalTime>
  <ScaleCrop>false</ScaleCrop>
  <LinksUpToDate>false</LinksUpToDate>
  <CharactersWithSpaces>5526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2025-09-29T06:13:00Z</dcterms:created>
  <dc:creator>Administrator</dc:creator>
  <cp:lastModifiedBy>寇祎祎</cp:lastModifiedBy>
  <cp:lastPrinted>2025-09-29T07:06:00Z</cp:lastPrinted>
  <dcterms:modified xsi:type="dcterms:W3CDTF">2026-04-24T02:15:40Z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4ED58B866BB44B5985A2A0D9508DB2D6_13</vt:lpwstr>
  </property>
  <property fmtid="{D5CDD505-2E9C-101B-9397-08002B2CF9AE}" pid="4" name="KSOTemplateDocerSaveRecord">
    <vt:lpwstr>eyJoZGlkIjoiZGQxMWVjZDRiMzBiZDFjMTFhMjQ4MjdiOGY5ODE1YjgiLCJ1c2VySWQiOiIyNjk4MjQzMDMifQ==</vt:lpwstr>
  </property>
</Properties>
</file>