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C1A4EF">
      <w:pPr>
        <w:pStyle w:val="4"/>
        <w:ind w:left="0" w:leftChars="0" w:right="0" w:rightChars="0" w:firstLine="0" w:firstLineChars="0"/>
        <w:jc w:val="center"/>
        <w:rPr>
          <w:rFonts w:hint="eastAsia"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t>采购需求</w:t>
      </w:r>
    </w:p>
    <w:p w14:paraId="24FCD1E0">
      <w:pPr>
        <w:pStyle w:val="4"/>
        <w:ind w:firstLine="480"/>
        <w:rPr>
          <w:rFonts w:ascii="仿宋_GB2312" w:hAnsi="仿宋_GB2312" w:eastAsia="仿宋_GB2312" w:cs="仿宋_GB2312"/>
        </w:rPr>
      </w:pPr>
      <w:r>
        <w:rPr>
          <w:rFonts w:ascii="仿宋_GB2312" w:hAnsi="仿宋_GB2312" w:eastAsia="仿宋_GB2312" w:cs="仿宋_GB2312"/>
        </w:rPr>
        <w:t>第十一届中国博物馆及相关产品与技术博览会（简称“博博会”）将于 2026 年 11 月 13 日至 16 日在海口市海南国际会展中心举办。该展会全方位展示海内外优质文博技术产品及创新业态，为海内外各界搭建文博资源交流商洽平台。 第十一届中国博物馆及相关产品与技术博览会2号馆博物馆M区光地展位，面积 180 平方米（12米×15米），位于 2M04 号位置。布展、撤展时间根据展会组委会要求执行。</w:t>
      </w:r>
    </w:p>
    <w:p w14:paraId="38141EA2">
      <w:pPr>
        <w:pStyle w:val="4"/>
        <w:ind w:firstLine="480"/>
        <w:rPr>
          <w:rFonts w:ascii="仿宋_GB2312" w:hAnsi="仿宋_GB2312" w:eastAsia="仿宋_GB2312" w:cs="仿宋_GB2312"/>
          <w:b/>
          <w:bCs/>
        </w:rPr>
      </w:pPr>
      <w:r>
        <w:rPr>
          <w:rFonts w:ascii="仿宋_GB2312" w:hAnsi="仿宋_GB2312" w:eastAsia="仿宋_GB2312" w:cs="仿宋_GB2312"/>
          <w:b/>
          <w:bCs/>
        </w:rPr>
        <w:t>一、展位设计需求</w:t>
      </w:r>
    </w:p>
    <w:p w14:paraId="3998711F">
      <w:pPr>
        <w:pStyle w:val="4"/>
        <w:ind w:firstLine="480"/>
        <w:rPr>
          <w:rFonts w:ascii="仿宋_GB2312" w:hAnsi="仿宋_GB2312" w:eastAsia="仿宋_GB2312" w:cs="仿宋_GB2312"/>
        </w:rPr>
      </w:pPr>
      <w:r>
        <w:rPr>
          <w:rFonts w:ascii="仿宋_GB2312" w:hAnsi="仿宋_GB2312" w:eastAsia="仿宋_GB2312" w:cs="仿宋_GB2312"/>
        </w:rPr>
        <w:t>1.展位面积：180㎡（12米×15米）</w:t>
      </w:r>
    </w:p>
    <w:p w14:paraId="77AD84B0">
      <w:pPr>
        <w:pStyle w:val="4"/>
        <w:ind w:firstLine="480"/>
        <w:rPr>
          <w:rFonts w:ascii="仿宋_GB2312" w:hAnsi="仿宋_GB2312" w:eastAsia="仿宋_GB2312" w:cs="仿宋_GB2312"/>
        </w:rPr>
      </w:pPr>
      <w:r>
        <w:rPr>
          <w:rFonts w:ascii="仿宋_GB2312" w:hAnsi="仿宋_GB2312" w:eastAsia="仿宋_GB2312" w:cs="仿宋_GB2312"/>
        </w:rPr>
        <w:t>2.展位属性：特装展位，非标准标摊；不含文物真品，全部为文物复制品、高清图文、IP形象、文创实物、出版物、数字多媒体。</w:t>
      </w:r>
    </w:p>
    <w:p w14:paraId="43F05903">
      <w:pPr>
        <w:pStyle w:val="4"/>
        <w:ind w:firstLine="480"/>
        <w:rPr>
          <w:rFonts w:ascii="仿宋_GB2312" w:hAnsi="仿宋_GB2312" w:eastAsia="仿宋_GB2312" w:cs="仿宋_GB2312"/>
        </w:rPr>
      </w:pPr>
      <w:r>
        <w:rPr>
          <w:rFonts w:ascii="仿宋_GB2312" w:hAnsi="仿宋_GB2312" w:eastAsia="仿宋_GB2312" w:cs="仿宋_GB2312"/>
        </w:rPr>
        <w:t>3.服务范围：概念创意设计、效果图、施工图、展陈大纲排版、弱电灯光、制作、工厂预搭、现场搭建、开展期间驻场运维、保洁、接待配套、展后拆除清运、资料报审（主场报审图纸、消防、电路图、材料说明）。</w:t>
      </w:r>
    </w:p>
    <w:p w14:paraId="5D43F339">
      <w:pPr>
        <w:pStyle w:val="4"/>
        <w:ind w:firstLine="480"/>
        <w:rPr>
          <w:rFonts w:ascii="仿宋_GB2312" w:hAnsi="仿宋_GB2312" w:eastAsia="仿宋_GB2312" w:cs="仿宋_GB2312"/>
        </w:rPr>
      </w:pPr>
      <w:r>
        <w:rPr>
          <w:rFonts w:ascii="仿宋_GB2312" w:hAnsi="仿宋_GB2312" w:eastAsia="仿宋_GB2312" w:cs="仿宋_GB2312"/>
        </w:rPr>
        <w:t>4.核心目标：</w:t>
      </w:r>
    </w:p>
    <w:p w14:paraId="06F3DAB8">
      <w:pPr>
        <w:pStyle w:val="4"/>
        <w:ind w:firstLine="480"/>
        <w:rPr>
          <w:rFonts w:ascii="仿宋_GB2312" w:hAnsi="仿宋_GB2312" w:eastAsia="仿宋_GB2312" w:cs="仿宋_GB2312"/>
        </w:rPr>
      </w:pPr>
      <w:r>
        <w:rPr>
          <w:rFonts w:ascii="仿宋_GB2312" w:hAnsi="仿宋_GB2312" w:eastAsia="仿宋_GB2312" w:cs="仿宋_GB2312"/>
        </w:rPr>
        <w:t>(1)对外：树立陕历博“古都明珠，华夏宝库”官方形象，展示馆藏资源、研究成果、IP矩阵、文创转化成果；</w:t>
      </w:r>
    </w:p>
    <w:p w14:paraId="6EDDFF3F">
      <w:pPr>
        <w:pStyle w:val="4"/>
        <w:ind w:firstLine="480"/>
        <w:rPr>
          <w:rFonts w:ascii="仿宋_GB2312" w:hAnsi="仿宋_GB2312" w:eastAsia="仿宋_GB2312" w:cs="仿宋_GB2312"/>
        </w:rPr>
      </w:pPr>
      <w:r>
        <w:rPr>
          <w:rFonts w:ascii="仿宋_GB2312" w:hAnsi="仿宋_GB2312" w:eastAsia="仿宋_GB2312" w:cs="仿宋_GB2312"/>
        </w:rPr>
        <w:t>(2)对内（文博同行）：展示文保、数字化、社教、策展成果，促进行业交流、授权合作对接；</w:t>
      </w:r>
    </w:p>
    <w:p w14:paraId="42E5F050">
      <w:pPr>
        <w:pStyle w:val="4"/>
        <w:ind w:firstLine="480"/>
        <w:rPr>
          <w:rFonts w:ascii="仿宋_GB2312" w:hAnsi="仿宋_GB2312" w:eastAsia="仿宋_GB2312" w:cs="仿宋_GB2312"/>
        </w:rPr>
      </w:pPr>
      <w:r>
        <w:rPr>
          <w:rFonts w:ascii="仿宋_GB2312" w:hAnsi="仿宋_GB2312" w:eastAsia="仿宋_GB2312" w:cs="仿宋_GB2312"/>
        </w:rPr>
        <w:t>(3)大众传播：设置打卡点，适合短视频、媒体拍照，兼顾互动体验，提升传播；</w:t>
      </w:r>
    </w:p>
    <w:p w14:paraId="78640E2C">
      <w:pPr>
        <w:pStyle w:val="4"/>
        <w:ind w:firstLine="480"/>
        <w:rPr>
          <w:rFonts w:ascii="仿宋_GB2312" w:hAnsi="仿宋_GB2312" w:eastAsia="仿宋_GB2312" w:cs="仿宋_GB2312"/>
        </w:rPr>
      </w:pPr>
      <w:r>
        <w:rPr>
          <w:rFonts w:ascii="仿宋_GB2312" w:hAnsi="仿宋_GB2312" w:eastAsia="仿宋_GB2312" w:cs="仿宋_GB2312"/>
        </w:rPr>
        <w:t>(4)合规底线：遵守博博会主场管理、展馆消防、特装材料、用电、荷载、限高规定，所有素材版权可控，图像、文物线稿、文字由陕历博审核确认后方可落地 。</w:t>
      </w:r>
    </w:p>
    <w:p w14:paraId="7D437B43">
      <w:pPr>
        <w:pStyle w:val="4"/>
        <w:ind w:firstLine="480"/>
        <w:rPr>
          <w:rFonts w:ascii="仿宋_GB2312" w:hAnsi="仿宋_GB2312" w:eastAsia="仿宋_GB2312" w:cs="仿宋_GB2312"/>
        </w:rPr>
      </w:pPr>
      <w:r>
        <w:rPr>
          <w:rFonts w:ascii="仿宋_GB2312" w:hAnsi="仿宋_GB2312" w:eastAsia="仿宋_GB2312" w:cs="仿宋_GB2312"/>
        </w:rPr>
        <w:t>5.设计风格：庄重、雅致、现代、高级，文博风，网红但不浮夸。提取何家村金银器、杜虎符、唐代卷草纹、云纹、阙楼、汉瓦等元素做抽象化、模块化运用。</w:t>
      </w:r>
    </w:p>
    <w:p w14:paraId="1587E22F">
      <w:pPr>
        <w:pStyle w:val="4"/>
        <w:ind w:firstLine="480"/>
        <w:rPr>
          <w:rFonts w:ascii="仿宋_GB2312" w:hAnsi="仿宋_GB2312" w:eastAsia="仿宋_GB2312" w:cs="仿宋_GB2312"/>
        </w:rPr>
      </w:pPr>
      <w:r>
        <w:rPr>
          <w:rFonts w:ascii="仿宋_GB2312" w:hAnsi="仿宋_GB2312" w:eastAsia="仿宋_GB2312" w:cs="仿宋_GB2312"/>
        </w:rPr>
        <w:t>6.设计原则：</w:t>
      </w:r>
    </w:p>
    <w:p w14:paraId="1933A31C">
      <w:pPr>
        <w:pStyle w:val="4"/>
        <w:ind w:firstLine="480"/>
        <w:rPr>
          <w:rFonts w:ascii="仿宋_GB2312" w:hAnsi="仿宋_GB2312" w:eastAsia="仿宋_GB2312" w:cs="仿宋_GB2312"/>
        </w:rPr>
      </w:pPr>
      <w:r>
        <w:rPr>
          <w:rFonts w:ascii="仿宋_GB2312" w:hAnsi="仿宋_GB2312" w:eastAsia="仿宋_GB2312" w:cs="仿宋_GB2312"/>
        </w:rPr>
        <w:t>(1)人流动线优先：单向+可回游，避免堵点；主入口开阔；洽谈区相对安静，和人流区适度区隔；</w:t>
      </w:r>
    </w:p>
    <w:p w14:paraId="084FD2A5">
      <w:pPr>
        <w:pStyle w:val="4"/>
        <w:ind w:firstLine="480"/>
        <w:rPr>
          <w:rFonts w:ascii="仿宋_GB2312" w:hAnsi="仿宋_GB2312" w:eastAsia="仿宋_GB2312" w:cs="仿宋_GB2312"/>
        </w:rPr>
      </w:pPr>
      <w:r>
        <w:rPr>
          <w:rFonts w:ascii="仿宋_GB2312" w:hAnsi="仿宋_GB2312" w:eastAsia="仿宋_GB2312" w:cs="仿宋_GB2312"/>
        </w:rPr>
        <w:t>(2)可识别性强：门头/主形象墙为视觉核心，远距离可识别“陕西历史博物馆”中英文LOGO；</w:t>
      </w:r>
    </w:p>
    <w:p w14:paraId="09E066A1">
      <w:pPr>
        <w:pStyle w:val="4"/>
        <w:ind w:firstLine="480"/>
        <w:rPr>
          <w:rFonts w:ascii="仿宋_GB2312" w:hAnsi="仿宋_GB2312" w:eastAsia="仿宋_GB2312" w:cs="仿宋_GB2312"/>
        </w:rPr>
      </w:pPr>
      <w:r>
        <w:rPr>
          <w:rFonts w:ascii="仿宋_GB2312" w:hAnsi="仿宋_GB2312" w:eastAsia="仿宋_GB2312" w:cs="仿宋_GB2312"/>
        </w:rPr>
        <w:t>(3)模块化：优先模块化展柜、模块墙，便于报审、预搭、拆装；</w:t>
      </w:r>
    </w:p>
    <w:p w14:paraId="1147E751">
      <w:pPr>
        <w:pStyle w:val="4"/>
        <w:ind w:firstLine="480"/>
        <w:rPr>
          <w:rFonts w:ascii="仿宋_GB2312" w:hAnsi="仿宋_GB2312" w:eastAsia="仿宋_GB2312" w:cs="仿宋_GB2312"/>
        </w:rPr>
      </w:pPr>
      <w:r>
        <w:rPr>
          <w:rFonts w:ascii="仿宋_GB2312" w:hAnsi="仿宋_GB2312" w:eastAsia="仿宋_GB2312" w:cs="仿宋_GB2312"/>
        </w:rPr>
        <w:t>(4)灯光专业：博物馆级展陈照明，重点防眩光，文创展柜重点洗光，通用区域柔和环境光；无频闪，适合拍照录像；</w:t>
      </w:r>
    </w:p>
    <w:p w14:paraId="65D0C440">
      <w:pPr>
        <w:pStyle w:val="4"/>
        <w:ind w:firstLine="480"/>
        <w:rPr>
          <w:rFonts w:ascii="仿宋_GB2312" w:hAnsi="仿宋_GB2312" w:eastAsia="仿宋_GB2312" w:cs="仿宋_GB2312"/>
        </w:rPr>
      </w:pPr>
      <w:r>
        <w:rPr>
          <w:rFonts w:ascii="仿宋_GB2312" w:hAnsi="仿宋_GB2312" w:eastAsia="仿宋_GB2312" w:cs="仿宋_GB2312"/>
        </w:rPr>
        <w:t>(5)材料环保阻燃：所有饰面、板材、布艺必须满足展馆B1级阻燃，提供阻燃检测，主场报审必备；禁止现场喷漆；</w:t>
      </w:r>
    </w:p>
    <w:p w14:paraId="27863680">
      <w:pPr>
        <w:pStyle w:val="4"/>
        <w:ind w:firstLine="480"/>
        <w:rPr>
          <w:rFonts w:ascii="仿宋_GB2312" w:hAnsi="仿宋_GB2312" w:eastAsia="仿宋_GB2312" w:cs="仿宋_GB2312"/>
        </w:rPr>
      </w:pPr>
      <w:r>
        <w:rPr>
          <w:rFonts w:ascii="仿宋_GB2312" w:hAnsi="仿宋_GB2312" w:eastAsia="仿宋_GB2312" w:cs="仿宋_GB2312"/>
        </w:rPr>
        <w:t>(6)无障碍友好：地面尽量无高差，如有高差必须做缓坡、警示；</w:t>
      </w:r>
    </w:p>
    <w:p w14:paraId="77049FC1">
      <w:pPr>
        <w:pStyle w:val="4"/>
        <w:ind w:firstLine="480"/>
        <w:rPr>
          <w:rFonts w:ascii="仿宋_GB2312" w:hAnsi="仿宋_GB2312" w:eastAsia="仿宋_GB2312" w:cs="仿宋_GB2312"/>
        </w:rPr>
      </w:pPr>
      <w:r>
        <w:rPr>
          <w:rFonts w:ascii="仿宋_GB2312" w:hAnsi="仿宋_GB2312" w:eastAsia="仿宋_GB2312" w:cs="仿宋_GB2312"/>
        </w:rPr>
        <w:t>(7)版权管理：所有文物图像、线描、文字、IP（花舞大唐、杜虎符、葡萄花鸟纹银香囊等）最终由陕历博审核，乙方不得自行使用外部网图。</w:t>
      </w:r>
    </w:p>
    <w:p w14:paraId="22F74685">
      <w:pPr>
        <w:pStyle w:val="4"/>
        <w:ind w:firstLine="480"/>
        <w:rPr>
          <w:rFonts w:ascii="仿宋_GB2312" w:hAnsi="仿宋_GB2312" w:eastAsia="仿宋_GB2312" w:cs="仿宋_GB2312"/>
        </w:rPr>
      </w:pPr>
      <w:r>
        <w:rPr>
          <w:rFonts w:ascii="仿宋_GB2312" w:hAnsi="仿宋_GB2312" w:eastAsia="仿宋_GB2312" w:cs="仿宋_GB2312"/>
        </w:rPr>
        <w:t>7.硬性需求：</w:t>
      </w:r>
    </w:p>
    <w:p w14:paraId="69361F31">
      <w:pPr>
        <w:pStyle w:val="4"/>
        <w:ind w:firstLine="480"/>
        <w:rPr>
          <w:rFonts w:ascii="仿宋_GB2312" w:hAnsi="仿宋_GB2312" w:eastAsia="仿宋_GB2312" w:cs="仿宋_GB2312"/>
        </w:rPr>
      </w:pPr>
      <w:r>
        <w:rPr>
          <w:rFonts w:ascii="仿宋_GB2312" w:hAnsi="仿宋_GB2312" w:eastAsia="仿宋_GB2312" w:cs="仿宋_GB2312"/>
        </w:rPr>
        <w:t>(1)须按博博会通知执行限高、悬挑、悬挂、吊装规定，方案初稿即预留复核；</w:t>
      </w:r>
    </w:p>
    <w:p w14:paraId="1E0AB39E">
      <w:pPr>
        <w:pStyle w:val="4"/>
        <w:ind w:firstLine="480"/>
        <w:rPr>
          <w:rFonts w:ascii="仿宋_GB2312" w:hAnsi="仿宋_GB2312" w:eastAsia="仿宋_GB2312" w:cs="仿宋_GB2312"/>
        </w:rPr>
      </w:pPr>
      <w:r>
        <w:rPr>
          <w:rFonts w:ascii="仿宋_GB2312" w:hAnsi="仿宋_GB2312" w:eastAsia="仿宋_GB2312" w:cs="仿宋_GB2312"/>
        </w:rPr>
        <w:t>(2)强弱电分离，单独回路、漏电保护，电路图纳入主场报审；</w:t>
      </w:r>
    </w:p>
    <w:p w14:paraId="4E60542B">
      <w:pPr>
        <w:pStyle w:val="4"/>
        <w:ind w:firstLine="480"/>
        <w:rPr>
          <w:rFonts w:ascii="仿宋_GB2312" w:hAnsi="仿宋_GB2312" w:eastAsia="仿宋_GB2312" w:cs="仿宋_GB2312"/>
        </w:rPr>
      </w:pPr>
      <w:r>
        <w:rPr>
          <w:rFonts w:ascii="仿宋_GB2312" w:hAnsi="仿宋_GB2312" w:eastAsia="仿宋_GB2312" w:cs="仿宋_GB2312"/>
        </w:rPr>
        <w:t>(3)不得占用公共通道、消防栓、应急出口；</w:t>
      </w:r>
    </w:p>
    <w:p w14:paraId="4399B065">
      <w:pPr>
        <w:pStyle w:val="4"/>
        <w:ind w:firstLine="480"/>
        <w:rPr>
          <w:rFonts w:ascii="仿宋_GB2312" w:hAnsi="仿宋_GB2312" w:eastAsia="仿宋_GB2312" w:cs="仿宋_GB2312"/>
        </w:rPr>
      </w:pPr>
      <w:r>
        <w:rPr>
          <w:rFonts w:ascii="仿宋_GB2312" w:hAnsi="仿宋_GB2312" w:eastAsia="仿宋_GB2312" w:cs="仿宋_GB2312"/>
        </w:rPr>
        <w:t>(4)所有落地结构需考虑展馆地面荷载，禁止超重固定。</w:t>
      </w:r>
    </w:p>
    <w:p w14:paraId="70F6D7BD">
      <w:pPr>
        <w:pStyle w:val="4"/>
        <w:ind w:firstLine="480"/>
        <w:rPr>
          <w:rFonts w:ascii="仿宋_GB2312" w:hAnsi="仿宋_GB2312" w:eastAsia="仿宋_GB2312" w:cs="仿宋_GB2312"/>
        </w:rPr>
      </w:pPr>
      <w:r>
        <w:rPr>
          <w:rFonts w:ascii="仿宋_GB2312" w:hAnsi="仿宋_GB2312" w:eastAsia="仿宋_GB2312" w:cs="仿宋_GB2312"/>
        </w:rPr>
        <w:t>8.社会教育区域设计需求：</w:t>
      </w:r>
    </w:p>
    <w:p w14:paraId="2C5030FD">
      <w:pPr>
        <w:pStyle w:val="4"/>
        <w:ind w:firstLine="480"/>
        <w:rPr>
          <w:rFonts w:ascii="仿宋_GB2312" w:hAnsi="仿宋_GB2312" w:eastAsia="仿宋_GB2312" w:cs="仿宋_GB2312"/>
        </w:rPr>
      </w:pPr>
      <w:r>
        <w:rPr>
          <w:rFonts w:ascii="仿宋_GB2312" w:hAnsi="仿宋_GB2312" w:eastAsia="仿宋_GB2312" w:cs="仿宋_GB2312"/>
        </w:rPr>
        <w:t>(1)教育文创展示区：用于材料包及教育文创样品展示和介绍，配置商品展示柜1组、2人位长条桌1张及椅子2把，配套桌布、4个阶梯式展示架及宣传册取放架1个，满足陈列和讲解需求。</w:t>
      </w:r>
    </w:p>
    <w:p w14:paraId="78882529">
      <w:pPr>
        <w:pStyle w:val="4"/>
        <w:ind w:firstLine="480"/>
        <w:rPr>
          <w:rFonts w:ascii="仿宋_GB2312" w:hAnsi="仿宋_GB2312" w:eastAsia="仿宋_GB2312" w:cs="仿宋_GB2312"/>
        </w:rPr>
      </w:pPr>
      <w:r>
        <w:rPr>
          <w:rFonts w:ascii="仿宋_GB2312" w:hAnsi="仿宋_GB2312" w:eastAsia="仿宋_GB2312" w:cs="仿宋_GB2312"/>
        </w:rPr>
        <w:t>(2)数字课程体验区：用于虚拟仿真课程体验，保留约3米×3米活动空间，配置隔离带或区域边界、大屏电视1台及必要电源，满足体验和观众观看需求。</w:t>
      </w:r>
    </w:p>
    <w:p w14:paraId="49D8A1B2">
      <w:pPr>
        <w:pStyle w:val="4"/>
        <w:ind w:firstLine="480"/>
        <w:rPr>
          <w:rFonts w:ascii="仿宋_GB2312" w:hAnsi="仿宋_GB2312" w:eastAsia="仿宋_GB2312" w:cs="仿宋_GB2312"/>
        </w:rPr>
      </w:pPr>
      <w:r>
        <w:rPr>
          <w:rFonts w:ascii="仿宋_GB2312" w:hAnsi="仿宋_GB2312" w:eastAsia="仿宋_GB2312" w:cs="仿宋_GB2312"/>
        </w:rPr>
        <w:t>(3)教育文创体验区：用于材料包体验及手作互动，配置4人位长条桌1张及椅子4把，配套桌布，保留活动操作及物料整理空间。</w:t>
      </w:r>
    </w:p>
    <w:p w14:paraId="6E5F101C">
      <w:pPr>
        <w:pStyle w:val="4"/>
        <w:ind w:firstLine="480"/>
        <w:rPr>
          <w:rFonts w:ascii="仿宋_GB2312" w:hAnsi="仿宋_GB2312" w:eastAsia="仿宋_GB2312" w:cs="仿宋_GB2312"/>
        </w:rPr>
      </w:pPr>
      <w:r>
        <w:rPr>
          <w:rFonts w:ascii="仿宋_GB2312" w:hAnsi="仿宋_GB2312" w:eastAsia="仿宋_GB2312" w:cs="仿宋_GB2312"/>
        </w:rPr>
        <w:t>9.文创展示区域设计需求：</w:t>
      </w:r>
    </w:p>
    <w:p w14:paraId="39D773DD">
      <w:pPr>
        <w:pStyle w:val="4"/>
        <w:ind w:firstLine="480"/>
        <w:rPr>
          <w:rFonts w:ascii="仿宋_GB2312" w:hAnsi="仿宋_GB2312" w:eastAsia="仿宋_GB2312" w:cs="仿宋_GB2312"/>
        </w:rPr>
      </w:pPr>
      <w:r>
        <w:rPr>
          <w:rFonts w:ascii="仿宋_GB2312" w:hAnsi="仿宋_GB2312" w:eastAsia="仿宋_GB2312" w:cs="仿宋_GB2312"/>
        </w:rPr>
        <w:t>(1)文创展示体验区：满足约200至300件或组文创产品展示体验，配置4组融入文物元素的主题展示单元，合理组织陈列层次，并设置便于补货和存放产品的储物空间。</w:t>
      </w:r>
    </w:p>
    <w:p w14:paraId="77C02057">
      <w:pPr>
        <w:pStyle w:val="4"/>
        <w:ind w:firstLine="480"/>
        <w:rPr>
          <w:rFonts w:ascii="仿宋_GB2312" w:hAnsi="仿宋_GB2312" w:eastAsia="仿宋_GB2312" w:cs="仿宋_GB2312"/>
        </w:rPr>
      </w:pPr>
      <w:r>
        <w:rPr>
          <w:rFonts w:ascii="仿宋_GB2312" w:hAnsi="仿宋_GB2312" w:eastAsia="仿宋_GB2312" w:cs="仿宋_GB2312"/>
        </w:rPr>
        <w:t>(2)精品展示区：用于约80件高端或重点文创产品陈列，配置展示柜台2组及必要展示辅件，突出产品品质及文化内涵，设置可陈列冰箱贴的磁吸展示区域。</w:t>
      </w:r>
    </w:p>
    <w:p w14:paraId="46343B4D">
      <w:pPr>
        <w:pStyle w:val="4"/>
        <w:ind w:firstLine="480"/>
        <w:rPr>
          <w:rFonts w:ascii="仿宋_GB2312" w:hAnsi="仿宋_GB2312" w:eastAsia="仿宋_GB2312" w:cs="仿宋_GB2312"/>
        </w:rPr>
      </w:pPr>
      <w:r>
        <w:rPr>
          <w:rFonts w:ascii="仿宋_GB2312" w:hAnsi="仿宋_GB2312" w:eastAsia="仿宋_GB2312" w:cs="仿宋_GB2312"/>
        </w:rPr>
        <w:t>(3)文创互动区：配置数字大屏2块，用于播放博物馆及文创宣传内容，配套必要的播放和安装设施，保证画面清晰、运行稳定。</w:t>
      </w:r>
      <w:bookmarkStart w:id="0" w:name="_GoBack"/>
      <w:bookmarkEnd w:id="0"/>
    </w:p>
    <w:p w14:paraId="6E309BFF">
      <w:pPr>
        <w:pStyle w:val="4"/>
        <w:ind w:firstLine="480"/>
        <w:rPr>
          <w:rFonts w:ascii="仿宋_GB2312" w:hAnsi="仿宋_GB2312" w:eastAsia="仿宋_GB2312" w:cs="仿宋_GB2312"/>
        </w:rPr>
      </w:pPr>
      <w:r>
        <w:rPr>
          <w:rFonts w:ascii="仿宋_GB2312" w:hAnsi="仿宋_GB2312" w:eastAsia="仿宋_GB2312" w:cs="仿宋_GB2312"/>
        </w:rPr>
        <w:t>(4)服务接待区：配置服务台1组、长桌1张及配套座椅，满足咨询、接待、休息及打卡盖章需求。结合馆名标识、文物元素及艺术背景形成便于合影的展示场景。</w:t>
      </w:r>
    </w:p>
    <w:p w14:paraId="1316A064">
      <w:pPr>
        <w:pStyle w:val="4"/>
        <w:ind w:firstLine="480"/>
        <w:rPr>
          <w:rFonts w:ascii="仿宋_GB2312" w:hAnsi="仿宋_GB2312" w:eastAsia="仿宋_GB2312" w:cs="仿宋_GB2312"/>
        </w:rPr>
      </w:pPr>
      <w:r>
        <w:rPr>
          <w:rFonts w:ascii="仿宋_GB2312" w:hAnsi="仿宋_GB2312" w:eastAsia="仿宋_GB2312" w:cs="仿宋_GB2312"/>
        </w:rPr>
        <w:t>(5)艺术装置：设置立体艺术装置2件，以代表性文创产品对应的文物原型为参照，形成具有辨识度的展示及打卡节点。分别布置于前场左侧和后场右侧，其中后场装置靠近社教区域，均与整体空间协调。</w:t>
      </w:r>
    </w:p>
    <w:p w14:paraId="62B64D8B">
      <w:pPr>
        <w:pStyle w:val="4"/>
        <w:ind w:firstLine="480"/>
        <w:rPr>
          <w:rFonts w:ascii="仿宋_GB2312" w:hAnsi="仿宋_GB2312" w:eastAsia="仿宋_GB2312" w:cs="仿宋_GB2312"/>
          <w:b/>
          <w:bCs/>
        </w:rPr>
      </w:pPr>
      <w:r>
        <w:rPr>
          <w:rFonts w:ascii="仿宋_GB2312" w:hAnsi="仿宋_GB2312" w:eastAsia="仿宋_GB2312" w:cs="仿宋_GB2312"/>
          <w:b/>
          <w:bCs/>
        </w:rPr>
        <w:t>二、设计布展要求</w:t>
      </w:r>
    </w:p>
    <w:p w14:paraId="6DBF180A">
      <w:pPr>
        <w:pStyle w:val="4"/>
        <w:ind w:firstLine="480"/>
        <w:rPr>
          <w:rFonts w:ascii="仿宋_GB2312" w:hAnsi="仿宋_GB2312" w:eastAsia="仿宋_GB2312" w:cs="仿宋_GB2312"/>
        </w:rPr>
      </w:pPr>
      <w:r>
        <w:rPr>
          <w:rFonts w:ascii="仿宋_GB2312" w:hAnsi="仿宋_GB2312" w:eastAsia="仿宋_GB2312" w:cs="仿宋_GB2312"/>
        </w:rPr>
        <w:t>1.以采购人提供的展位平面布局图为基础，在保留整体设计理念、主要功能分区的前提下开展设计，满足文博成果展示、文创展示体验、社会教育体验及服务接待等需求，体现陕西历史博物馆文化特色及品牌形象。供应商应重点完善造型尺度、材料工艺、展台展柜、灯光电气、设备配置及安装细节。</w:t>
      </w:r>
    </w:p>
    <w:p w14:paraId="7699B207">
      <w:pPr>
        <w:pStyle w:val="4"/>
        <w:ind w:firstLine="480"/>
        <w:rPr>
          <w:rFonts w:ascii="仿宋_GB2312" w:hAnsi="仿宋_GB2312" w:eastAsia="仿宋_GB2312" w:cs="仿宋_GB2312"/>
        </w:rPr>
      </w:pPr>
      <w:r>
        <w:rPr>
          <w:rFonts w:ascii="仿宋_GB2312" w:hAnsi="仿宋_GB2312" w:eastAsia="仿宋_GB2312" w:cs="仿宋_GB2312"/>
        </w:rPr>
        <w:t>2. 材料应优先采用环保、阻燃、可回收或可重复利用材料，饰面、喷绘、喷漆、胶黏剂等应满足展馆消防、环保和安全要求。</w:t>
      </w:r>
    </w:p>
    <w:p w14:paraId="12AD1DD9">
      <w:pPr>
        <w:pStyle w:val="4"/>
        <w:ind w:firstLine="480"/>
        <w:rPr>
          <w:rFonts w:ascii="仿宋_GB2312" w:hAnsi="仿宋_GB2312" w:eastAsia="仿宋_GB2312" w:cs="仿宋_GB2312"/>
        </w:rPr>
      </w:pPr>
      <w:r>
        <w:rPr>
          <w:rFonts w:ascii="仿宋_GB2312" w:hAnsi="仿宋_GB2312" w:eastAsia="仿宋_GB2312" w:cs="仿宋_GB2312"/>
        </w:rPr>
        <w:t>3. 展台为单层结构，搭建高度、结构形式及消防条件须符合展商手册要求；本届展会特装展台限高5米，具体以主办方、场馆最终审核为准。</w:t>
      </w:r>
    </w:p>
    <w:p w14:paraId="33E59B79">
      <w:pPr>
        <w:pStyle w:val="4"/>
        <w:ind w:firstLine="480"/>
        <w:rPr>
          <w:rFonts w:ascii="仿宋_GB2312" w:hAnsi="仿宋_GB2312" w:eastAsia="仿宋_GB2312" w:cs="仿宋_GB2312"/>
        </w:rPr>
      </w:pPr>
      <w:r>
        <w:rPr>
          <w:rFonts w:ascii="仿宋_GB2312" w:hAnsi="仿宋_GB2312" w:eastAsia="仿宋_GB2312" w:cs="仿宋_GB2312"/>
        </w:rPr>
        <w:t>4. 方案应充分考虑运输、现场快速安装和撤展效率，尽量采用模块化、装配式或可重复利用的结构形式。</w:t>
      </w:r>
    </w:p>
    <w:p w14:paraId="5AB9DE3A">
      <w:pPr>
        <w:pStyle w:val="4"/>
        <w:ind w:firstLine="480"/>
        <w:rPr>
          <w:rFonts w:ascii="仿宋_GB2312" w:hAnsi="仿宋_GB2312" w:eastAsia="仿宋_GB2312" w:cs="仿宋_GB2312"/>
        </w:rPr>
      </w:pPr>
      <w:r>
        <w:rPr>
          <w:rFonts w:ascii="仿宋_GB2312" w:hAnsi="仿宋_GB2312" w:eastAsia="仿宋_GB2312" w:cs="仿宋_GB2312"/>
        </w:rPr>
        <w:t>5、负责项目所需全部材料、设备、工具、辅材、包装、装卸和运输，并确保按施工节点运抵展馆。</w:t>
      </w:r>
    </w:p>
    <w:p w14:paraId="0A937A81">
      <w:pPr>
        <w:pStyle w:val="4"/>
        <w:ind w:firstLine="480"/>
        <w:rPr>
          <w:rFonts w:ascii="仿宋_GB2312" w:hAnsi="仿宋_GB2312" w:eastAsia="仿宋_GB2312" w:cs="仿宋_GB2312"/>
        </w:rPr>
      </w:pPr>
      <w:r>
        <w:rPr>
          <w:rFonts w:ascii="仿宋_GB2312" w:hAnsi="仿宋_GB2312" w:eastAsia="仿宋_GB2312" w:cs="仿宋_GB2312"/>
        </w:rPr>
        <w:t>6、供应商应保证所提供的设计方案、图片、字体、模型、软件、音乐、视频素材及其他成果不存在侵犯第三方知识产权的情形；使用采购人提供的馆藏图片、品牌标识及相关素材时，仅限本项目使用。未经采购人书面同意，供应商不得擅自对外发布采购人尚未公开的设计方案、展品清单、合作信息及其他内部资料。</w:t>
      </w:r>
    </w:p>
    <w:p w14:paraId="32371888">
      <w:pPr>
        <w:pStyle w:val="4"/>
        <w:ind w:firstLine="480"/>
        <w:rPr>
          <w:rFonts w:ascii="仿宋_GB2312" w:hAnsi="仿宋_GB2312" w:eastAsia="仿宋_GB2312" w:cs="仿宋_GB2312"/>
          <w:b/>
          <w:bCs/>
        </w:rPr>
      </w:pPr>
      <w:r>
        <w:rPr>
          <w:rFonts w:ascii="仿宋_GB2312" w:hAnsi="仿宋_GB2312" w:eastAsia="仿宋_GB2312" w:cs="仿宋_GB2312"/>
          <w:b/>
          <w:bCs/>
        </w:rPr>
        <w:t>三、采购服务要求</w:t>
      </w:r>
    </w:p>
    <w:p w14:paraId="6539868B">
      <w:pPr>
        <w:pStyle w:val="4"/>
        <w:ind w:firstLine="480"/>
        <w:rPr>
          <w:rFonts w:ascii="仿宋_GB2312" w:hAnsi="仿宋_GB2312" w:eastAsia="仿宋_GB2312" w:cs="仿宋_GB2312"/>
        </w:rPr>
      </w:pPr>
      <w:r>
        <w:rPr>
          <w:rFonts w:ascii="仿宋_GB2312" w:hAnsi="仿宋_GB2312" w:eastAsia="仿宋_GB2312" w:cs="仿宋_GB2312"/>
        </w:rPr>
        <w:t>1、本项目实施地点为海南省海口市海南国际会议展览中心，项目实施须严格遵守第十一届中国博物馆及相关产品与技术博览会及海南国际会议展览中心有关特装展位管理规定。根据展会主办方要求，相关报馆、审图、保险、施工许可、场地管理、水电及现场实施等须按照展会规定办理。供应商应充分考虑上述要求，负责完成项目实施所需全部协调、采购、报馆、施工及现场管理工作，相关费用均包含在响应总报价中，采购人不再另行支付。</w:t>
      </w:r>
    </w:p>
    <w:p w14:paraId="50F78083">
      <w:pPr>
        <w:pStyle w:val="4"/>
        <w:ind w:firstLine="480"/>
        <w:rPr>
          <w:rFonts w:ascii="仿宋_GB2312" w:hAnsi="仿宋_GB2312" w:eastAsia="仿宋_GB2312" w:cs="仿宋_GB2312"/>
        </w:rPr>
      </w:pPr>
      <w:r>
        <w:rPr>
          <w:rFonts w:ascii="仿宋_GB2312" w:hAnsi="仿宋_GB2312" w:eastAsia="仿宋_GB2312" w:cs="仿宋_GB2312"/>
        </w:rPr>
        <w:t>2、按照采购人确认的设计方案和施工图完成主体结构、造型构件、展台展柜、展架、画面、标识、灯光、电气及必要设备的制作加工。</w:t>
      </w:r>
    </w:p>
    <w:p w14:paraId="0E03EA19">
      <w:pPr>
        <w:pStyle w:val="4"/>
        <w:ind w:firstLine="480"/>
        <w:rPr>
          <w:rFonts w:ascii="仿宋_GB2312" w:hAnsi="仿宋_GB2312" w:eastAsia="仿宋_GB2312" w:cs="仿宋_GB2312"/>
        </w:rPr>
      </w:pPr>
      <w:r>
        <w:rPr>
          <w:rFonts w:ascii="仿宋_GB2312" w:hAnsi="仿宋_GB2312" w:eastAsia="仿宋_GB2312" w:cs="仿宋_GB2312"/>
        </w:rPr>
        <w:t>3、负责与主办方、主场服务商、展馆及相关服务机构沟通，完成展位认领、资料提交、图纸审核、设施申报、施工证件等项目实施所需事项。</w:t>
      </w:r>
    </w:p>
    <w:p w14:paraId="2264EC58">
      <w:pPr>
        <w:pStyle w:val="4"/>
        <w:ind w:firstLine="480"/>
        <w:rPr>
          <w:rFonts w:ascii="仿宋_GB2312" w:hAnsi="仿宋_GB2312" w:eastAsia="仿宋_GB2312" w:cs="仿宋_GB2312"/>
        </w:rPr>
      </w:pPr>
      <w:r>
        <w:rPr>
          <w:rFonts w:ascii="仿宋_GB2312" w:hAnsi="仿宋_GB2312" w:eastAsia="仿宋_GB2312" w:cs="仿宋_GB2312"/>
        </w:rPr>
        <w:t>4、负责按照展会要求办理或采购审图、展览会责任保险、场地管理、水电气、电箱、必要的安全设备及其他强制性场馆服务。</w:t>
      </w:r>
    </w:p>
    <w:p w14:paraId="27CD0A6D">
      <w:pPr>
        <w:pStyle w:val="4"/>
        <w:ind w:firstLine="480"/>
        <w:rPr>
          <w:rFonts w:ascii="仿宋_GB2312" w:hAnsi="仿宋_GB2312" w:eastAsia="仿宋_GB2312" w:cs="仿宋_GB2312"/>
        </w:rPr>
      </w:pPr>
      <w:r>
        <w:rPr>
          <w:rFonts w:ascii="仿宋_GB2312" w:hAnsi="仿宋_GB2312" w:eastAsia="仿宋_GB2312" w:cs="仿宋_GB2312"/>
        </w:rPr>
        <w:t>5、 展会期间须安排能够及时处理展台结构、灯光、电气、画面、设备等问题的现场服务人员或应急保障人员，确保展台正常运行。</w:t>
      </w:r>
    </w:p>
    <w:p w14:paraId="4E529A3A">
      <w:pPr>
        <w:pStyle w:val="4"/>
        <w:ind w:firstLine="480"/>
        <w:rPr>
          <w:rFonts w:ascii="仿宋_GB2312" w:hAnsi="仿宋_GB2312" w:eastAsia="仿宋_GB2312" w:cs="仿宋_GB2312"/>
        </w:rPr>
      </w:pPr>
      <w:r>
        <w:rPr>
          <w:rFonts w:ascii="仿宋_GB2312" w:hAnsi="仿宋_GB2312" w:eastAsia="仿宋_GB2312" w:cs="仿宋_GB2312"/>
        </w:rPr>
        <w:t>6、展会结束后按主办方规定时间完成全部撤展、拆除、清运和场地恢复，配合完成撤场验收及相关手续。</w:t>
      </w:r>
    </w:p>
    <w:p w14:paraId="3A8322C1">
      <w:pPr>
        <w:pStyle w:val="4"/>
        <w:ind w:firstLine="480"/>
        <w:rPr>
          <w:rFonts w:ascii="仿宋_GB2312" w:hAnsi="仿宋_GB2312" w:eastAsia="仿宋_GB2312" w:cs="仿宋_GB2312"/>
        </w:rPr>
      </w:pPr>
      <w:r>
        <w:rPr>
          <w:rFonts w:ascii="仿宋_GB2312" w:hAnsi="仿宋_GB2312" w:eastAsia="仿宋_GB2312" w:cs="仿宋_GB2312"/>
        </w:rPr>
        <w:t>7、供应商作为本项目合同履约和成果交付责任主体，应对项目进度、质量、安全、现场协调及最终实施效果向采购人负责。其履约组织和现场实施方式应符合采购文件、响应文件、合同约定以及展会主办方和展馆管理规定。</w:t>
      </w:r>
    </w:p>
    <w:p w14:paraId="47C4F0DF">
      <w:pPr>
        <w:pStyle w:val="4"/>
        <w:rPr>
          <w:rFonts w:hint="eastAsia"/>
          <w:lang w:val="en-US" w:eastAsia="zh-Hans"/>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3AEA6C4B"/>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2856</Words>
  <Characters>3129</Characters>
  <Lines>0</Lines>
  <Paragraphs>0</Paragraphs>
  <TotalTime>2</TotalTime>
  <ScaleCrop>false</ScaleCrop>
  <LinksUpToDate>false</LinksUpToDate>
  <CharactersWithSpaces>3186</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陕西省政府采购综合管理平台</dc:creator>
  <cp:lastModifiedBy>新昱</cp:lastModifiedBy>
  <dcterms:modified xsi:type="dcterms:W3CDTF">2026-10-15T09:22:01Z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KSOTemplateDocerSaveRecord">
    <vt:lpwstr>eyJoZGlkIjoiYjNjNTkyNDJjNWFiYWRmMjRlNGYzNzgwOGFjNTE0OGUiLCJ1c2VySWQiOiI1MDU3ODU5ODQifQ==</vt:lpwstr>
  </property>
  <property fmtid="{D5CDD505-2E9C-101B-9397-08002B2CF9AE}" pid="4" name="ICV">
    <vt:lpwstr>C00F3A025B1C4F46B936FB9DEFA54AAB_12</vt:lpwstr>
  </property>
</Properties>
</file>