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版本号：DQA-2026033-ZB20260518001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无人机挂载高速立体视觉测量设备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DQA-2026033-ZB</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无人机挂载高速立体视觉测量设备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DQA-2026033-ZB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无人机挂载高速立体视觉测量设备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本项目拟采购无人机挂载高速立体视觉测量设备。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银行账号：52880188000158704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说明：1.中标人在签订合同前5个工作日内，向采购人缴纳合同总价5%的履约保证金； 2.中标人如期履约完成且不存在其他任何违约责任，采购人无息由原缴费账户退还履约保证金全款。 3.若中标人未能按照合同约定履行，则采购人有权全额扣除履约保证金，并保留追究中标人违约相关的法律责任。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代理服务费收费标准：中标供应商在领取中标通知书前，须向采购代理机构一次性支付采购代理服务费，采购代理服务费按照中标金额的0.69%计取。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本项目拟采购无人机挂载高速立体视觉测量设备。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无人机挂载高速立体视觉测量设备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标的名称：无人机挂载高速立体视觉测量设备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8"/>
              <w:gridCol w:w="343"/>
              <w:gridCol w:w="1547"/>
              <w:gridCol w:w="126"/>
              <w:gridCol w:w="144"/>
              <w:gridCol w:w="284"/>
            </w:tblGrid>
            <w:tr>
              <w:tc>
                <w:tcPr>
                  <w:tcW w:type="dxa" w:w="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技术指标要求</w:t>
                  </w:r>
                </w:p>
              </w:tc>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最高限价（单价）（元）</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无人机挂载高速立体视觉测量设备</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▲1.立体视觉摄像机(4目)最大分辨率≥1920×1080</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2.可调分辨率类型≥12种</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▲3.帧频≥3200FPS</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4.ISO≥25000</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5.曝光时间≤100ns且可以按照≤10ns步进</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6. 内存≥128GB，录制时间≥10s，机身自带Type-C数据接口，支持USB3.0协议数据传输，可以外接硬盘导出数据</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7.数据传输支持万兆网且兼容千兆网，万兆网导出速度≥5Gbps，支持通过Type-C接口选配外接拓展旋钮和按钮进行脱机交互</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8. 输出I/O不低于1路B码，1路RS485/RS422，1路SDI，支持输出配置：PAL720p@25fps、PAL720p@50fps、PAL1080p@25fps、PAL1080p@50fps</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9. 标定与</w:t>
                  </w:r>
                  <w:r>
                    <w:rPr>
                      <w:rFonts w:ascii="仿宋_GB2312" w:hAnsi="仿宋_GB2312" w:cs="仿宋_GB2312" w:eastAsia="仿宋_GB2312"/>
                      <w:sz w:val="19"/>
                    </w:rPr>
                    <w:t>测量功能</w:t>
                  </w:r>
                  <w:r>
                    <w:rPr>
                      <w:rFonts w:ascii="仿宋_GB2312" w:hAnsi="仿宋_GB2312" w:cs="仿宋_GB2312" w:eastAsia="仿宋_GB2312"/>
                      <w:sz w:val="19"/>
                    </w:rPr>
                    <w:t>(需提供视频</w:t>
                  </w:r>
                  <w:r>
                    <w:rPr>
                      <w:rFonts w:ascii="仿宋_GB2312" w:hAnsi="仿宋_GB2312" w:cs="仿宋_GB2312" w:eastAsia="仿宋_GB2312"/>
                      <w:sz w:val="19"/>
                    </w:rPr>
                    <w:t>演示</w:t>
                  </w:r>
                  <w:r>
                    <w:rPr>
                      <w:rFonts w:ascii="仿宋_GB2312" w:hAnsi="仿宋_GB2312" w:cs="仿宋_GB2312" w:eastAsia="仿宋_GB2312"/>
                      <w:sz w:val="19"/>
                    </w:rPr>
                    <w:t>证明材料</w:t>
                  </w:r>
                  <w:r>
                    <w:rPr>
                      <w:rFonts w:ascii="仿宋_GB2312" w:hAnsi="仿宋_GB2312" w:cs="仿宋_GB2312" w:eastAsia="仿宋_GB2312"/>
                      <w:sz w:val="19"/>
                    </w:rPr>
                    <w:t>，</w:t>
                  </w:r>
                  <w:r>
                    <w:rPr>
                      <w:rFonts w:ascii="仿宋_GB2312" w:hAnsi="仿宋_GB2312" w:cs="仿宋_GB2312" w:eastAsia="仿宋_GB2312"/>
                      <w:sz w:val="19"/>
                    </w:rPr>
                    <w:t>演示视频以</w:t>
                  </w:r>
                  <w:r>
                    <w:rPr>
                      <w:rFonts w:ascii="仿宋_GB2312" w:hAnsi="仿宋_GB2312" w:cs="仿宋_GB2312" w:eastAsia="仿宋_GB2312"/>
                      <w:sz w:val="19"/>
                    </w:rPr>
                    <w:t>U盘形式提供，并于开标前与投标文件纸质版一同邮寄或递交至陕西德勤招标有限公司</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▲1）支持标定类型≥3种模式；</w:t>
                  </w:r>
                </w:p>
                <w:p>
                  <w:pPr>
                    <w:pStyle w:val="null3"/>
                    <w:jc w:val="both"/>
                  </w:pPr>
                  <w:r>
                    <w:rPr>
                      <w:rFonts w:ascii="仿宋_GB2312" w:hAnsi="仿宋_GB2312" w:cs="仿宋_GB2312" w:eastAsia="仿宋_GB2312"/>
                      <w:sz w:val="19"/>
                    </w:rPr>
                    <w:t>▲2）标定方式≥5个控制点；</w:t>
                  </w:r>
                </w:p>
                <w:p>
                  <w:pPr>
                    <w:pStyle w:val="null3"/>
                    <w:jc w:val="both"/>
                  </w:pPr>
                  <w:r>
                    <w:rPr>
                      <w:rFonts w:ascii="仿宋_GB2312" w:hAnsi="仿宋_GB2312" w:cs="仿宋_GB2312" w:eastAsia="仿宋_GB2312"/>
                      <w:sz w:val="19"/>
                    </w:rPr>
                    <w:t>▲3）支持≤0.01像素的运动测量精度，≥30个标记点的跟踪测量；</w:t>
                  </w:r>
                </w:p>
                <w:p>
                  <w:pPr>
                    <w:pStyle w:val="null3"/>
                    <w:jc w:val="both"/>
                  </w:pPr>
                  <w:r>
                    <w:rPr>
                      <w:rFonts w:ascii="仿宋_GB2312" w:hAnsi="仿宋_GB2312" w:cs="仿宋_GB2312" w:eastAsia="仿宋_GB2312"/>
                      <w:sz w:val="19"/>
                    </w:rPr>
                    <w:t>▲4）具备X/Y/Z坐标、速度、加速度、俯仰角、偏航角、滚转角、角速度、角加速度等测量功能；</w:t>
                  </w:r>
                </w:p>
                <w:p>
                  <w:pPr>
                    <w:pStyle w:val="null3"/>
                    <w:jc w:val="both"/>
                  </w:pPr>
                  <w:r>
                    <w:rPr>
                      <w:rFonts w:ascii="仿宋_GB2312" w:hAnsi="仿宋_GB2312" w:cs="仿宋_GB2312" w:eastAsia="仿宋_GB2312"/>
                      <w:sz w:val="19"/>
                    </w:rPr>
                    <w:t>▲5）支持三维轨迹姿态的动态计算与显示，具备测量功能，包括两点间距、多点间距、角度、标注、半径、直径、圆面积、圆心间距、多边形面积；</w:t>
                  </w:r>
                </w:p>
                <w:p>
                  <w:pPr>
                    <w:pStyle w:val="null3"/>
                    <w:jc w:val="both"/>
                  </w:pPr>
                  <w:r>
                    <w:rPr>
                      <w:rFonts w:ascii="仿宋_GB2312" w:hAnsi="仿宋_GB2312" w:cs="仿宋_GB2312" w:eastAsia="仿宋_GB2312"/>
                      <w:sz w:val="19"/>
                    </w:rPr>
                    <w:t>▲6）具备模拟相机，自定义分区，电动镜头调焦、对焦、光圈调整，分区预览，保存触发前后帧数设置功能；</w:t>
                  </w:r>
                </w:p>
                <w:p>
                  <w:pPr>
                    <w:pStyle w:val="null3"/>
                    <w:jc w:val="both"/>
                  </w:pPr>
                  <w:r>
                    <w:rPr>
                      <w:rFonts w:ascii="仿宋_GB2312" w:hAnsi="仿宋_GB2312" w:cs="仿宋_GB2312" w:eastAsia="仿宋_GB2312"/>
                      <w:sz w:val="19"/>
                    </w:rPr>
                    <w:t>▲7）支持关键帧定位：即拖即显，缩略图预览，事</w:t>
                  </w:r>
                  <w:r>
                    <w:rPr>
                      <w:rFonts w:ascii="仿宋_GB2312" w:hAnsi="仿宋_GB2312" w:cs="仿宋_GB2312" w:eastAsia="仿宋_GB2312"/>
                      <w:sz w:val="19"/>
                    </w:rPr>
                    <w:t>件帧编辑，快速定位，正反向播放，关键事件打标记；支持多任务协同：支持录制、导出、回放任务同步操作；集成与兼容：支持集成电动镜头、移动硬盘等。</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450,000.00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合同签订之日起30日历日内在西安工业大学未央校区交货安装验收完毕。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设设备安装调试经采购人验收合格后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1.验收标准及方法：采购设备的验收流程包括：到货验收、安装调试、试运行、最终验收。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 安装调试：在确认设备符合要求后，由中标人进行设备的安装和调试，确保设备能够正常运行。 试运行：设备安装调试完成后，通常会进入试运行期。本项目运行期为1周，试运行期间，如果出现质量问题，中标人需负责修复或更换货物。试运行结束后，由采购人组织正式验收。 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 2.培训要求：中标人须负责开展培训服务，供应商须为每台设备提供不少于1-2个工作日的现场专业培训。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本项目整体质保期：收合格后5年；质保期满后，中标（成交）供应商仍需提供专业维修服务。 质保期内免费提供正常使用的易损件和备件；软件系统提供终身免费升级服务。 设备经过双方检验认可后，签署验收报告，产品保修期自验收合格之日起计算，由中标（成交）供应商提供产品保修文件。 质保期内所有维修服务均由中标（成交）供应商免费上门取、送、修。安装调试1个月内，如有质量问题，设备整机无条件退换货并提供备件以保证教学正常开展。在保修期内，任何质量问题，中标（成交）供应商负责免费维修。 质保期过后需换件时，原则上应提供原装器件，并按成本价收费。 供应商须为每台设备提供不少于1-2个工作日的现场专业培训。 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1）投标人需要在线提交所有通过电子化交易平台实施的政府采购项目的投标文件，同时，线下提交纸质投标文件正本壹份、副本壹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高新区丈八一路1号汇鑫中心D座2206室（陕西德勤招标有限公司）。 3、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deqinjxm@126.com（邮件命名：项目编号）；投标人应在投标文件中附保函扫描件。保函必须由具有开具投标保函资格的单位开具；若中标人违约，开具保函单位承担连带责任；（2）投标保证金的提交金额、时间不满足招标文件要求的，投标无效；（3）未按指定账户提交的，我公司将退回，投标人须在文件递交截止时间前按照指定账户再次提交。 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1.1投标报价低于全部通过符合性审查供应商投标报价平均值50%的，即投标报价&lt;全部通过符合性审查供应商投标报价平均值×50%； 1.2投标报价低于通过符合性审查的次低报价供应商投标报价50%的，即投标报价&lt;通过符合性审查的次低报价供应商投标报价×50%； 1.3投标报价低于采购项目最高限价45%的，即投标报价&lt;采购项目最高限价×45%； 1.4评标委员会基于专业判断，认为供应商报价过低，有可能影响产品质量或者不能诚信履约的其他情形。 2.相关法律法规对供应商报价有规定的，从其规定。 3.评标委员会启动异常低价投标审查后，属于（1）中第（1.1）项至第（1.4）项情形的，应当要求相关供应商在30分钟内对投标价格作出解释，提供项目具体成本测算等与报价合理性相关的书面说明及必要的证明材料，包括但不限于原材料成本、人工成本、制造费用等。其中，属于第（1.3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控股管理关系 中国境内生产的组件成本核算基本规则 法定代表人授权书 投标人应提交的相关资格证明材料 近三年无重大违法、违纪书面声明 产品技术参数表 投标函 残疾人福利性单位声明函 标的清单 非联合体不分包投标声明 关于符合本国产品标准的声明函 投标文件封面 书面声明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控股管理关系 中国境内生产的组件成本核算基本规则 法定代表人授权书 投标人应提交的相关资格证明材料 近三年无重大违法、违纪书面声明 产品技术参数表 投标函 残疾人福利性单位声明函 标的清单 非联合体不分包投标声明 关于符合本国产品标准的声明函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（4）未超出采购预算或招标文件规定的最高限价（包括单价最高限价）。</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控股管理关系 中国境内生产的组件成本核算基本规则 法定代表人授权书 投标人应提交的相关资格证明材料 近三年无重大违法、违纪书面声明 产品技术参数表 投标函 残疾人福利性单位声明函 标的清单 非联合体不分包投标声明 关于符合本国产品标准的声明函 投标文件封面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控股管理关系 中国境内生产的组件成本核算基本规则 法定代表人授权书 投标人应提交的相关资格证明材料 近三年无重大违法、违纪书面声明 产品技术参数表 投标函 残疾人福利性单位声明函 标的清单 非联合体不分包投标声明 关于符合本国产品标准的声明函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30分。结合规格、技术参数偏离表的响应证明材料，按招标文件内配置最低要求，每出现1个负偏离，扣0.5分，带“▲”号指标项每出现1个负偏离扣3分。扣完为止。 注：投标人须按招标文件要求提供带“▲”号指标项的证明材料（证明材料包括但不限于第三方机构出具的检测报告或功能截图或产品说明书或技术参数白皮书等，加盖投标人公章。其中“标定与测量功能”的所有技术指标须提供视频演示资料（以U盘形式提供视频演示资料）），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时间合理性，1、提供具体可行的实施方案，具体的供货组织安排；2、详细的人员、财力调配、运输、派送措施及设备到货后验收；3、实施进度及保证措施设备安装；4、人员组成及人员调配、安装调试等。根据方案的完整全面，实施方案组织合理，调配运输方案清晰明确，进度保障措施先进可靠，能够切实保障项目时效性的得10分；每有一项缺项内容扣2.5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1、整体配置具有合理性、一致性、兼容性；2、产品品牌、型号、产地明确，备品配件供应有保障；3、可提供的增值服务；4、保证使用单位能熟练操作维护和正常使用。选型方案先进可靠，质量保证承诺详尽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1、培训地点及时间安排；2、培训内容安排，内容至少应包括：所提供产品的原理和技术性能、操作维护方法、安装调试、排除故障等各个方面；3、现场及远程培训方案； 4、拟派培训人员团队。 评审标准： 方案描述详尽清晰，可行性高，内容完整无缺项漏项，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针对本项目提供售后服务方案，内容包含：1、为本项目配备的售后服务团队；2、为本项目提供的后期运维及提升等服务承诺；3、可提供增值服务；4、保修期的保修范围和维护期的服务范围等。 评审标准： 方案描述详尽清晰，可行性高，内容完整无缺项漏项，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提供自2023年1月1日至投标文件递交截止时间前同类项目原厂家业绩（以合同签订时间为准），需提供清晰有效的完整合同复印件及对应货款发票复印件（任意一张），每提供1份得1分，本项满分5分。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2、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