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版本号：SXHC2026-22020260814001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2026年排水监测运行维护项目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SXHC2026-220</w:t>
      </w:r>
      <w:r>
        <w:br/>
      </w:r>
      <w:r>
        <w:br/>
      </w:r>
      <w:r>
        <w:br/>
      </w:r>
    </w:p>
    <w:p>
      <w:pPr>
        <w:pStyle w:val="null3"/>
        <w:jc w:val="center"/>
        <w:outlineLvl w:val="2"/>
      </w:pPr>
      <w:r>
        <w:rPr>
          <w:rFonts w:ascii="仿宋_GB2312" w:hAnsi="仿宋_GB2312" w:cs="仿宋_GB2312" w:eastAsia="仿宋_GB2312"/>
          <w:sz w:val="28"/>
          <w:b/>
        </w:rPr>
        <w:t>西安市排水管理中心</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西安市排水管理中心</w:t>
      </w:r>
      <w:r>
        <w:rPr>
          <w:rFonts w:ascii="仿宋_GB2312" w:hAnsi="仿宋_GB2312" w:cs="仿宋_GB2312" w:eastAsia="仿宋_GB2312"/>
        </w:rPr>
        <w:t>委托，拟对</w:t>
      </w:r>
      <w:r>
        <w:rPr>
          <w:rFonts w:ascii="仿宋_GB2312" w:hAnsi="仿宋_GB2312" w:cs="仿宋_GB2312" w:eastAsia="仿宋_GB2312"/>
        </w:rPr>
        <w:t>2026年排水监测运行维护项目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SXHC2026-220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2026年排水监测运行维护项目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2026年排水监测运行维护服务。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采购包1（2026年排水监测运行维护项目）：属于专门面向中小企业采购。</w:t>
      </w:r>
    </w:p>
    <w:p>
      <w:pPr>
        <w:pStyle w:val="null3"/>
      </w:pPr>
      <w:r>
        <w:rPr>
          <w:rFonts w:ascii="仿宋_GB2312" w:hAnsi="仿宋_GB2312" w:cs="仿宋_GB2312" w:eastAsia="仿宋_GB2312"/>
        </w:rPr>
        <w:t>供应商合同分包的，分包意向协议中分包意向供应商应当为中小企业。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西安市排水管理中心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西安市经开区凤锦路58号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029-61253847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段晓琳、赵凡、张聪聪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说明：（一）成交供应商在收到采购代理机构的成交通知书后 7个工作日内，以履约保函的形式向采购人提交履约保证金。（二）采用履约保函形式交纳履约保证金时，应注意以下事项：1.履约保函的受益人为采购人，成交供应商未能按合同规定履行其义务时，采购人有权从履约保证金中取得补偿。2.履约保函的内容包括但不限于保函申请人、项目名称、担保金额、保函有效期（履约保函的有效期至少应覆盖至合同验收之日，履约保函有效期不足的，供应商应向履约保函签发机构办理担保续期手续）；3.保函申请人须与供应商名称一致。（三）履约保证金在项目验收合格后，成交供应商无违约行为，采购人无息退还。（四）成交供应商没有按照规定提交履约保证金或履约担保的，视为放弃成交资格，给采购人造成的损失的，成交供应商应当对此予以赔偿。（五）如遇以下情况，履约保证金不予退还：1.合同签订后各项服务不能按合同期限要求完成的；2.发现问题经整改后仍不能按合同履约的；3.服务质量经多次整改后仍验收不合格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收费标准参照《国家计委关于印发〈招标代理服务收费管理暂行办法〉的通知》（计价格〔2002〕1980号）及《国家发展改革委关于降低部分建设项目收费标准规范收费行为等有关问题的通知》（发改价格〔2011〕534号）基准费率核定；按上述标准计算得出的招标代理服务费金额不足6000元的，按固定6000元计取。 2、招标代理服务费可以采取现金、支票、银行汇票、电汇、网银等方式缴纳。 3、招标代理服务费缴纳信息： 银行户名：陕西华采招标有限公司 开户银行：招商银行陕西自贸试验区西安高新科技支行账号：129905942210666 联系人：韩工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西安市排水管理中心</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西安市排水管理中心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西安市排水管理中心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8%，分包履行的内容：仪器设备的检定/校准；化学试剂废液处置及危化品废物的清运；水质的监测服务，后期经采购人同意成交供应商可将上述工作内容分包，但需按照磋商文件技术要求分包给具有专业资质的服务商；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商完成全部任务后，向采购人递交验收通知书，经采购人确认后，组织进行系统验收。成立本项目验收小组（不少于5人且为奇数），召开验收会议，验收合格后，出具验收报告（验收单）并签字，验收报告（验收单）应当列明各项标准的验收情况及项目总体绩效评价，作为对本次服务的最终认可及项目款项结算依据等。 二、在项目实施过程中或验收时，如发现质量不符合规定，服务商负责无偿返工。 三、服务商对设备检定和校准报告、检测报告及其他本项目相关的服务成果负责，服务技术质量保证的相关费用包含在投标报价中，采购人不另行支付。服务商所供的成果文件必须保证符合国家相关程序和相关规定，质量符合现行的国家及行业相关的技术规范和规定要求，确保真实性、可靠性。 四、 如遇以下情况，履约保证金不予退还： 1.合同签订后各项服务不能按合同期限要求完成的； 2.发现问题经整改后仍不能按合同履约的； 3.服务质量经多次整改后仍验收不合格的。</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联系电话：029-68255920-808</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2026年排水监测运行维护服务。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1,850,000.00</w:t>
      </w:r>
    </w:p>
    <w:p>
      <w:pPr>
        <w:pStyle w:val="null3"/>
      </w:pPr>
      <w:r>
        <w:rPr>
          <w:rFonts w:ascii="仿宋_GB2312" w:hAnsi="仿宋_GB2312" w:cs="仿宋_GB2312" w:eastAsia="仿宋_GB2312"/>
        </w:rPr>
        <w:t>采购包最高限价（元）: 1,850,000.00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2026年排水监测运行维护服务项目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标的名称：2026年排水监测运行维护服务项目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b/>
              </w:rPr>
              <w:t>一、项目概况</w:t>
            </w:r>
          </w:p>
          <w:p>
            <w:pPr>
              <w:pStyle w:val="null3"/>
              <w:ind w:firstLine="402"/>
              <w:jc w:val="both"/>
            </w:pPr>
            <w:r>
              <w:rPr>
                <w:rFonts w:ascii="仿宋_GB2312" w:hAnsi="仿宋_GB2312" w:cs="仿宋_GB2312" w:eastAsia="仿宋_GB2312"/>
              </w:rPr>
              <w:t>西安市排水管理中心城市排水监测实验室拥有电感耦合等离子体质谱仪、连续流动分析仪、超高效液相色谱仪、电感耦合等离子体发射光谱仪、气相色谱质谱联用仪、原子吸收光谱仪、走航式多普勒测量船等大型分析仪器，主要以国家、行业、地方法律、法规和标准为依据，对城市排水设施的排水水质水量等参数进行监测，为排水设施的规划、建设、管理及维护等工作提供数据支持和技术服务。中心实验室于2011年12月首次通过了省级资质认定，为保障排水监测工作的正常运行，并持续保持资质，2026年排水监测运行维护服务项目，实施内容主要包括实验仪器设备运行维护、实验室运行保障及排水监测服务等服务内容。</w:t>
            </w:r>
          </w:p>
          <w:p>
            <w:pPr>
              <w:pStyle w:val="null3"/>
              <w:ind w:firstLine="402"/>
              <w:jc w:val="both"/>
            </w:pPr>
            <w:r>
              <w:rPr>
                <w:rFonts w:ascii="仿宋_GB2312" w:hAnsi="仿宋_GB2312" w:cs="仿宋_GB2312" w:eastAsia="仿宋_GB2312"/>
                <w:b/>
              </w:rPr>
              <w:t>二、采购服务内容</w:t>
            </w:r>
          </w:p>
          <w:p>
            <w:pPr>
              <w:pStyle w:val="null3"/>
              <w:ind w:firstLine="402"/>
              <w:jc w:val="center"/>
            </w:pPr>
            <w:r>
              <w:rPr>
                <w:rFonts w:ascii="仿宋_GB2312" w:hAnsi="仿宋_GB2312" w:cs="仿宋_GB2312" w:eastAsia="仿宋_GB2312"/>
                <w:b/>
              </w:rPr>
              <w:t>采购项目明细表</w:t>
            </w:r>
          </w:p>
          <w:tbl>
            <w:tblPr>
              <w:tblInd w:type="dxa" w:w="120"/>
              <w:tblBorders>
                <w:top w:val="none" w:color="000000" w:sz="4"/>
                <w:left w:val="none" w:color="000000" w:sz="4"/>
                <w:bottom w:val="none" w:color="000000" w:sz="4"/>
                <w:right w:val="none" w:color="000000" w:sz="4"/>
                <w:insideH w:val="none"/>
                <w:insideV w:val="none"/>
              </w:tblBorders>
            </w:tblPr>
            <w:tblGrid>
              <w:gridCol w:w="191"/>
              <w:gridCol w:w="538"/>
              <w:gridCol w:w="1811"/>
            </w:tblGrid>
            <w:tr>
              <w:tc>
                <w:tcPr>
                  <w:tcW w:type="dxa" w:w="19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序号</w:t>
                  </w:r>
                </w:p>
              </w:tc>
              <w:tc>
                <w:tcPr>
                  <w:tcW w:type="dxa" w:w="53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排水监测运行维护服务项目</w:t>
                  </w:r>
                </w:p>
              </w:tc>
              <w:tc>
                <w:tcPr>
                  <w:tcW w:type="dxa" w:w="181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服务内容</w:t>
                  </w:r>
                </w:p>
              </w:tc>
            </w:tr>
            <w:tr>
              <w:tc>
                <w:tcPr>
                  <w:tcW w:type="dxa" w:w="1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实验仪器设备运行维护</w:t>
                  </w:r>
                </w:p>
              </w:tc>
              <w:tc>
                <w:tcPr>
                  <w:tcW w:type="dxa" w:w="18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主要服务内容为：现场监测、采样、实验室检测等仪器设备的维护、故障维修，保障设备正常运行的耗材采购，仪器相关培训，仪器设备检定/校准等。</w:t>
                  </w:r>
                </w:p>
              </w:tc>
            </w:tr>
            <w:tr>
              <w:tc>
                <w:tcPr>
                  <w:tcW w:type="dxa" w:w="1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1.1</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仪器设备运行维护</w:t>
                  </w:r>
                </w:p>
              </w:tc>
              <w:tc>
                <w:tcPr>
                  <w:tcW w:type="dxa" w:w="18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仪器设备维护保养、故障维修、仪器耗材、培训等</w:t>
                  </w:r>
                </w:p>
              </w:tc>
            </w:tr>
            <w:tr>
              <w:tc>
                <w:tcPr>
                  <w:tcW w:type="dxa" w:w="1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1.2</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仪器设备检定/校准</w:t>
                  </w:r>
                </w:p>
              </w:tc>
              <w:tc>
                <w:tcPr>
                  <w:tcW w:type="dxa" w:w="18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仪器设备的检定/校准</w:t>
                  </w:r>
                </w:p>
              </w:tc>
            </w:tr>
            <w:tr>
              <w:tc>
                <w:tcPr>
                  <w:tcW w:type="dxa" w:w="1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2</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实验室运行保障</w:t>
                  </w:r>
                </w:p>
              </w:tc>
              <w:tc>
                <w:tcPr>
                  <w:tcW w:type="dxa" w:w="18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主要服务内容为：实验室安全运行保障、废弃物处理、基础设施维修、水电巡查维护、检测环境保洁、管理系统维护、资质认定运行保障等</w:t>
                  </w:r>
                </w:p>
              </w:tc>
            </w:tr>
            <w:tr>
              <w:tc>
                <w:tcPr>
                  <w:tcW w:type="dxa" w:w="1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2.1</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实验安全运行保障</w:t>
                  </w:r>
                </w:p>
              </w:tc>
              <w:tc>
                <w:tcPr>
                  <w:tcW w:type="dxa" w:w="18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实验室及危险化学品库房24小时安全值守、安全隐患排查、危险源的识别、安全制度的完善、灭火器年检等</w:t>
                  </w:r>
                </w:p>
              </w:tc>
            </w:tr>
            <w:tr>
              <w:tc>
                <w:tcPr>
                  <w:tcW w:type="dxa" w:w="1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2.2</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实验室危险废物处置及固体垃圾清运</w:t>
                  </w:r>
                </w:p>
              </w:tc>
              <w:tc>
                <w:tcPr>
                  <w:tcW w:type="dxa" w:w="18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化学试剂废液处置及危化品废物的清运</w:t>
                  </w:r>
                </w:p>
              </w:tc>
            </w:tr>
            <w:tr>
              <w:tc>
                <w:tcPr>
                  <w:tcW w:type="dxa" w:w="1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2.3</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实验室设施维修</w:t>
                  </w:r>
                </w:p>
              </w:tc>
              <w:tc>
                <w:tcPr>
                  <w:tcW w:type="dxa" w:w="18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实验室家具及通风系统维护、维修</w:t>
                  </w:r>
                </w:p>
              </w:tc>
            </w:tr>
            <w:tr>
              <w:tc>
                <w:tcPr>
                  <w:tcW w:type="dxa" w:w="1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2.4</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实验室水电检修维护</w:t>
                  </w:r>
                </w:p>
              </w:tc>
              <w:tc>
                <w:tcPr>
                  <w:tcW w:type="dxa" w:w="18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实验室水、电（包含变压器）的线路检修和维护</w:t>
                  </w:r>
                </w:p>
              </w:tc>
            </w:tr>
            <w:tr>
              <w:tc>
                <w:tcPr>
                  <w:tcW w:type="dxa" w:w="1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2.5</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实验室检测环境保洁</w:t>
                  </w:r>
                </w:p>
              </w:tc>
              <w:tc>
                <w:tcPr>
                  <w:tcW w:type="dxa" w:w="18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实验室检测环境的保洁</w:t>
                  </w:r>
                </w:p>
              </w:tc>
            </w:tr>
            <w:tr>
              <w:tc>
                <w:tcPr>
                  <w:tcW w:type="dxa" w:w="1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2.6</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实验室数据采集处理系统运维</w:t>
                  </w:r>
                </w:p>
              </w:tc>
              <w:tc>
                <w:tcPr>
                  <w:tcW w:type="dxa" w:w="18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实验室数据采集处理系统运行维护相关费用</w:t>
                  </w:r>
                </w:p>
              </w:tc>
            </w:tr>
            <w:tr>
              <w:tc>
                <w:tcPr>
                  <w:tcW w:type="dxa" w:w="1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2.7</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实验室资质维持运行</w:t>
                  </w:r>
                </w:p>
              </w:tc>
              <w:tc>
                <w:tcPr>
                  <w:tcW w:type="dxa" w:w="18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标准查新及体系运行相关费用</w:t>
                  </w:r>
                </w:p>
              </w:tc>
            </w:tr>
            <w:tr>
              <w:tc>
                <w:tcPr>
                  <w:tcW w:type="dxa" w:w="1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2.8</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实验室用房申购</w:t>
                  </w:r>
                </w:p>
              </w:tc>
              <w:tc>
                <w:tcPr>
                  <w:tcW w:type="dxa" w:w="18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为满足监测与实验室检测工作的实际需要</w:t>
                  </w:r>
                </w:p>
              </w:tc>
            </w:tr>
            <w:tr>
              <w:tc>
                <w:tcPr>
                  <w:tcW w:type="dxa" w:w="1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3</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排水监测服务</w:t>
                  </w:r>
                </w:p>
              </w:tc>
              <w:tc>
                <w:tcPr>
                  <w:tcW w:type="dxa" w:w="18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主要服务内容为：日常排水监测劳务服务费和排水水质、水量等监测服务等（委托有相关检测资质的第三方进行）。</w:t>
                  </w:r>
                </w:p>
              </w:tc>
            </w:tr>
            <w:tr>
              <w:tc>
                <w:tcPr>
                  <w:tcW w:type="dxa" w:w="1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3.1</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排水监测劳务</w:t>
                  </w:r>
                </w:p>
              </w:tc>
              <w:tc>
                <w:tcPr>
                  <w:tcW w:type="dxa" w:w="18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监测辅助用工</w:t>
                  </w:r>
                </w:p>
              </w:tc>
            </w:tr>
            <w:tr>
              <w:tc>
                <w:tcPr>
                  <w:tcW w:type="dxa" w:w="1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3.2</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流量、气体监测服务</w:t>
                  </w:r>
                </w:p>
              </w:tc>
              <w:tc>
                <w:tcPr>
                  <w:tcW w:type="dxa" w:w="18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管道流量下井及安装、气体的监测服务</w:t>
                  </w:r>
                </w:p>
              </w:tc>
            </w:tr>
            <w:tr>
              <w:tc>
                <w:tcPr>
                  <w:tcW w:type="dxa" w:w="1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3.3</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水质监测服务</w:t>
                  </w:r>
                </w:p>
              </w:tc>
              <w:tc>
                <w:tcPr>
                  <w:tcW w:type="dxa" w:w="18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水质监测服务（委托有相关检测资质的第三方进行）</w:t>
                  </w:r>
                </w:p>
              </w:tc>
            </w:tr>
          </w:tbl>
          <w:p>
            <w:pPr>
              <w:pStyle w:val="null3"/>
              <w:ind w:firstLine="402"/>
              <w:jc w:val="both"/>
            </w:pPr>
            <w:r>
              <w:rPr>
                <w:rFonts w:ascii="仿宋_GB2312" w:hAnsi="仿宋_GB2312" w:cs="仿宋_GB2312" w:eastAsia="仿宋_GB2312"/>
              </w:rPr>
              <w:t xml:space="preserve"> </w:t>
            </w:r>
          </w:p>
          <w:p>
            <w:pPr>
              <w:pStyle w:val="null3"/>
              <w:ind w:firstLine="402"/>
              <w:jc w:val="both"/>
            </w:pPr>
            <w:r>
              <w:rPr>
                <w:rFonts w:ascii="仿宋_GB2312" w:hAnsi="仿宋_GB2312" w:cs="仿宋_GB2312" w:eastAsia="仿宋_GB2312"/>
                <w:b/>
              </w:rPr>
              <w:t>（一）实验仪器设备运行维护</w:t>
            </w:r>
          </w:p>
          <w:p>
            <w:pPr>
              <w:pStyle w:val="null3"/>
              <w:ind w:firstLine="400"/>
              <w:jc w:val="both"/>
            </w:pPr>
            <w:r>
              <w:rPr>
                <w:rFonts w:ascii="仿宋_GB2312" w:hAnsi="仿宋_GB2312" w:cs="仿宋_GB2312" w:eastAsia="仿宋_GB2312"/>
              </w:rPr>
              <w:t>主要服务内容为：现场监测、采样、实验室检测等仪器设备的维护、故障维修，保障设备正常运行的耗材采购，仪器相关培训，仪器设备检定/校准等。</w:t>
            </w:r>
          </w:p>
          <w:p>
            <w:pPr>
              <w:pStyle w:val="null3"/>
              <w:ind w:firstLine="402"/>
              <w:jc w:val="both"/>
            </w:pPr>
            <w:r>
              <w:rPr>
                <w:rFonts w:ascii="仿宋_GB2312" w:hAnsi="仿宋_GB2312" w:cs="仿宋_GB2312" w:eastAsia="仿宋_GB2312"/>
                <w:b/>
              </w:rPr>
              <w:t>1.1仪器设备运行维护</w:t>
            </w:r>
          </w:p>
          <w:p>
            <w:pPr>
              <w:pStyle w:val="null3"/>
              <w:ind w:firstLine="402"/>
              <w:jc w:val="both"/>
            </w:pPr>
            <w:r>
              <w:rPr>
                <w:rFonts w:ascii="仿宋_GB2312" w:hAnsi="仿宋_GB2312" w:cs="仿宋_GB2312" w:eastAsia="仿宋_GB2312"/>
                <w:b/>
              </w:rPr>
              <w:t>服务内容：</w:t>
            </w:r>
          </w:p>
          <w:p>
            <w:pPr>
              <w:pStyle w:val="null3"/>
              <w:ind w:firstLine="400"/>
              <w:jc w:val="both"/>
            </w:pPr>
            <w:r>
              <w:rPr>
                <w:rFonts w:ascii="仿宋_GB2312" w:hAnsi="仿宋_GB2312" w:cs="仿宋_GB2312" w:eastAsia="仿宋_GB2312"/>
              </w:rPr>
              <w:t>为保障采购人实验室仪器设备(含现场监测、采样、实验室检测等相关设备）的正常运行，定期对仪器设备进行性能检查及维护保养，购置设备的相关耗材，对出现问题的设备，实时提供维修方案并及时维修，并提供仪器相关培训。 采购人的仪器设备维护保养清单见表1，主要仪器设备耗材采购清单参考表2，部分根据耗材可根据工作实际需要进行调整。</w:t>
            </w:r>
          </w:p>
          <w:p>
            <w:pPr>
              <w:pStyle w:val="null3"/>
              <w:ind w:firstLine="402"/>
              <w:jc w:val="center"/>
            </w:pPr>
            <w:r>
              <w:rPr>
                <w:rFonts w:ascii="仿宋_GB2312" w:hAnsi="仿宋_GB2312" w:cs="仿宋_GB2312" w:eastAsia="仿宋_GB2312"/>
                <w:b/>
              </w:rPr>
              <w:t>表1仪器设备维护保养清单</w:t>
            </w:r>
          </w:p>
          <w:tbl>
            <w:tblPr>
              <w:tblInd w:type="dxa" w:w="120"/>
              <w:tblBorders>
                <w:top w:val="none" w:color="000000" w:sz="4"/>
                <w:left w:val="none" w:color="000000" w:sz="4"/>
                <w:bottom w:val="none" w:color="000000" w:sz="4"/>
                <w:right w:val="none" w:color="000000" w:sz="4"/>
                <w:insideH w:val="none"/>
                <w:insideV w:val="none"/>
              </w:tblBorders>
            </w:tblPr>
            <w:tblGrid>
              <w:gridCol w:w="173"/>
              <w:gridCol w:w="777"/>
              <w:gridCol w:w="771"/>
              <w:gridCol w:w="227"/>
              <w:gridCol w:w="597"/>
            </w:tblGrid>
            <w:tr>
              <w:tc>
                <w:tcPr>
                  <w:tcW w:type="dxa" w:w="173"/>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序号</w:t>
                  </w:r>
                </w:p>
              </w:tc>
              <w:tc>
                <w:tcPr>
                  <w:tcW w:type="dxa" w:w="777"/>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仪器</w:t>
                  </w:r>
                </w:p>
              </w:tc>
              <w:tc>
                <w:tcPr>
                  <w:tcW w:type="dxa" w:w="771"/>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型号</w:t>
                  </w:r>
                </w:p>
              </w:tc>
              <w:tc>
                <w:tcPr>
                  <w:tcW w:type="dxa" w:w="227"/>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数量</w:t>
                  </w:r>
                </w:p>
              </w:tc>
              <w:tc>
                <w:tcPr>
                  <w:tcW w:type="dxa" w:w="597"/>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购置时间（年）</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气相色谱仪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Agilent 7890A</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2009</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气相色谱仪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7890B</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2014</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3</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气相色谱仪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TRACE 1310</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4</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原子吸收仪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iCE3500</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2009</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5</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质谱检测器</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5977B</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2016</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6</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电感耦合等离子体发射光谱仪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AvioTM 220 Max</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7</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原子荧光光度计</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Kylin S18</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2023</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8</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离子色谱仪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Inuvion</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2023</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9</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高效液相色谱仪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Acquity UHPLC Arc</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2022</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10</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全自动COD测定仪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RN6100</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2022</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11</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连续流动分析仪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Auto Analyzer 3</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2017</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12</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电感耦合等离子体质谱仪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iCAP RQ</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2017</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13</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纯水超纯水一体化系统</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Milli-Q Integral 10</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2014</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14</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纯水超纯水一体化系统</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Milli-Q Integral 10</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2017</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15</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全自动红外分光油分析仪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OL 1020</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2020</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16</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红外分光测油仪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OIL 480</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2014</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17</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CEM微波消解仪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MARS6</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2015</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18</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紫外可见分光光度计</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SPECORD 50 PLUS</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2015</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19</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双光束紫外可见分光光度计</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TU-1901</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紫外可见分光光度计</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Cary 50</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2009</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21</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超纯酸制备系统</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duoPUR</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2020</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22</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BOD5测定仪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BODTrakTMⅡ</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23</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溶解氧测定仪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4010-2W</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2019</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24</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千分之一电子天平</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GL323I-1SCN</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2020</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25</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万分之一电子天平</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CPA 124S</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2009</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26</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万分之一电子天平</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CPA 224S</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2009</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27</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生化培养箱</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SPX-150B-Ⅲ</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2010</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28</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COD自动消解回流仪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YHCOD-100</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2013</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29</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智能一体化蒸馏仪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STEHDB-106-3RW</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2016</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30</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干燥箱</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OMH180</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2016</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31</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干燥箱</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OMH180</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2016</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32</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马弗炉</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BF51894JC-1</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2016</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33</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超低温冰箱</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TF-40-400LA</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2016</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34</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样品制备平台</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7696A</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2016</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35</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吹扫捕集浓缩仪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AtomxXYZ</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2019</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36</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全自动定量平行浓缩仪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Auto EVA 12A</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37</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硫化物酸化吹脱系统</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ST201A1</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2023</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38</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可燃气体泄漏报警装置</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FG10</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2015</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39</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可燃气体防爆探测器</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YA-D100</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2023</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40</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微控数显电热板</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EH45APLUS</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2013</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41</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pH计/电导率仪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914</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2019</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42</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pH计</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913</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2020</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43</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数控超声波清洗器</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KQ-250DE</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2009</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44</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无油隔膜真空泵</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AP-9925</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2012</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45</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轨道式振荡器</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OS-200</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2012</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46</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净气型储药柜</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GR-600S</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2019</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47</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净气型储药柜</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GR-600S</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2019</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48</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智能型易燃品毒害品存储柜</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ZYC0060E</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2020</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49</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智能型易燃品毒害品存储柜</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ZYC0060E</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50</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智能型易燃品毒害品存储柜</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ZYC0060E</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51</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冰柜</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HYC-761GD</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2026</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52</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冰柜</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HYC-461GD</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2026</w:t>
                  </w:r>
                </w:p>
              </w:tc>
            </w:tr>
            <w:tr>
              <w:tc>
                <w:tcPr>
                  <w:tcW w:type="dxa" w:w="173"/>
                  <w:tcBorders>
                    <w:top w:val="none" w:color="000000" w:sz="4"/>
                    <w:left w:val="single" w:color="000000" w:sz="4"/>
                    <w:bottom w:val="non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53</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摩托罗拉防爆对讲机</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GP328</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2014</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54</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摩托罗拉防爆对讲机</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GP328</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2014</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55</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摩托罗拉防爆对讲机</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GP328</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2014</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56</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摩托罗拉防爆对讲机</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GP328</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2014</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57</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流速仪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LS1206B</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2019</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58</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流速仪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LS1206B</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2019</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non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59</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流速仪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LS1206B</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2019</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流速仪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LS1206B</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2019</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61</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流速仪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LS1206B</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2019</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62</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流量计</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isco 2150</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2014</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63</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流量计</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isco laserflow</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2016</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64</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管道潜望镜</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TR3000-HD</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2020</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65</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流速仪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FP211</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2020</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66</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流速仪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FP211</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2020</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non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67</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流速仪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FP211</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2020</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68</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流速仪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FP211</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2020</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69</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流速仪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FP211</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2020</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70</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流量计</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isco accQpulse</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2019</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71</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管道低空摄影测量机</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Phantom4 RTK</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2022</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72</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走航式多普勒测量船</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M9-C</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2022</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73</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野外水质采样固定剂箱</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1-5 mL</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2019</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74</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野外水质采样固定剂箱</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2-10 mL</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2020</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75</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液位仪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ECHO</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2019</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r>
              <w:tc>
                <w:tcPr>
                  <w:tcW w:type="dxa" w:w="17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76</w:t>
                  </w:r>
                </w:p>
              </w:tc>
              <w:tc>
                <w:tcPr>
                  <w:tcW w:type="dxa" w:w="77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便携式浊度仪</w:t>
                  </w:r>
                </w:p>
              </w:tc>
              <w:tc>
                <w:tcPr>
                  <w:tcW w:type="dxa" w:w="77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2100Q</w:t>
                  </w:r>
                </w:p>
              </w:tc>
              <w:tc>
                <w:tcPr>
                  <w:tcW w:type="dxa" w:w="22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2020</w:t>
                  </w:r>
                </w:p>
              </w:tc>
              <w:tc>
                <w:tcPr>
                  <w:tcW w:type="dxa" w:w="59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9"/>
                    </w:rPr>
                    <w:t>1</w:t>
                  </w:r>
                </w:p>
              </w:tc>
            </w:tr>
          </w:tbl>
          <w:p>
            <w:pPr>
              <w:pStyle w:val="null3"/>
              <w:ind w:firstLine="400"/>
              <w:jc w:val="both"/>
            </w:pPr>
            <w:r>
              <w:rPr>
                <w:rFonts w:ascii="仿宋_GB2312" w:hAnsi="仿宋_GB2312" w:cs="仿宋_GB2312" w:eastAsia="仿宋_GB2312"/>
                <w:b/>
              </w:rPr>
              <w:t>表2 主要仪器设备耗材采购清单</w:t>
            </w:r>
          </w:p>
          <w:tbl>
            <w:tblPr>
              <w:tblInd w:type="dxa" w:w="255"/>
              <w:tblBorders>
                <w:top w:val="none" w:color="000000" w:sz="4"/>
                <w:left w:val="none" w:color="000000" w:sz="4"/>
                <w:bottom w:val="none" w:color="000000" w:sz="4"/>
                <w:right w:val="none" w:color="000000" w:sz="4"/>
                <w:insideH w:val="none"/>
                <w:insideV w:val="none"/>
              </w:tblBorders>
            </w:tblPr>
            <w:tblGrid>
              <w:gridCol w:w="195"/>
              <w:gridCol w:w="642"/>
              <w:gridCol w:w="434"/>
              <w:gridCol w:w="728"/>
              <w:gridCol w:w="257"/>
              <w:gridCol w:w="275"/>
            </w:tblGrid>
            <w:tr>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仪器设备名称</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型号</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耗材名称</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原子吸收仪</w:t>
                  </w:r>
                </w:p>
              </w:tc>
              <w:tc>
                <w:tcPr>
                  <w:tcW w:type="dxa" w:w="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iCE3500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热电编码镉灯</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热电编码铍灯</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99.2%乙炔气体</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99.999%氩气气体</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原子荧光</w:t>
                  </w:r>
                </w:p>
              </w:tc>
              <w:tc>
                <w:tcPr>
                  <w:tcW w:type="dxa" w:w="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KylinS18</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汞灯</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硒灯</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99.999%氩气气体</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水质硫化物</w:t>
                  </w:r>
                </w:p>
                <w:p>
                  <w:pPr>
                    <w:pStyle w:val="null3"/>
                    <w:jc w:val="center"/>
                  </w:pPr>
                  <w:r>
                    <w:rPr>
                      <w:rFonts w:ascii="仿宋_GB2312" w:hAnsi="仿宋_GB2312" w:cs="仿宋_GB2312" w:eastAsia="仿宋_GB2312"/>
                      <w:sz w:val="19"/>
                    </w:rPr>
                    <w:t>酸化吹气仪</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TTL-HS</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99.999%氮气</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6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连续流动分析仪</w:t>
                  </w:r>
                </w:p>
              </w:tc>
              <w:tc>
                <w:tcPr>
                  <w:tcW w:type="dxa" w:w="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Auto Analyzer 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氨氮总氮总磷泵管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样品管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6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离子色谱仪</w:t>
                  </w:r>
                </w:p>
              </w:tc>
              <w:tc>
                <w:tcPr>
                  <w:tcW w:type="dxa" w:w="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Inuvion</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淋洗液</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水系微孔滤膜针筒过滤器</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99.999%氮气气体</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全自动红外</w:t>
                  </w:r>
                </w:p>
                <w:p>
                  <w:pPr>
                    <w:pStyle w:val="null3"/>
                    <w:jc w:val="center"/>
                  </w:pPr>
                  <w:r>
                    <w:rPr>
                      <w:rFonts w:ascii="仿宋_GB2312" w:hAnsi="仿宋_GB2312" w:cs="仿宋_GB2312" w:eastAsia="仿宋_GB2312"/>
                      <w:sz w:val="19"/>
                    </w:rPr>
                    <w:t>分光油分析仪</w:t>
                  </w:r>
                </w:p>
              </w:tc>
              <w:tc>
                <w:tcPr>
                  <w:tcW w:type="dxa" w:w="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OL 1020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6.35mm泵管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过滤膜OL-P0012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隔水膜</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活性炭OL-P0044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3*5清洗泵管OL-S0558</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硅酸镁柱OL-P0013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6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纯水超纯水一体化系统</w:t>
                  </w:r>
                </w:p>
              </w:tc>
              <w:tc>
                <w:tcPr>
                  <w:tcW w:type="dxa" w:w="43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Milli-Q Integral 10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PR0G0T0S2  Progard预纯化柱</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vMerge/>
                  <w:tcBorders>
                    <w:top w:val="none" w:color="000000" w:sz="4"/>
                    <w:left w:val="single" w:color="000000" w:sz="4"/>
                    <w:bottom w:val="none" w:color="000000" w:sz="4"/>
                    <w:right w:val="single" w:color="000000" w:sz="4"/>
                  </w:tcBorders>
                </w:tcPr>
                <w:p/>
              </w:tc>
              <w:tc>
                <w:tcPr>
                  <w:tcW w:type="dxa" w:w="642"/>
                  <w:vMerge/>
                  <w:tcBorders>
                    <w:top w:val="none" w:color="000000" w:sz="4"/>
                    <w:left w:val="none" w:color="000000" w:sz="4"/>
                    <w:bottom w:val="none" w:color="000000" w:sz="4"/>
                    <w:right w:val="single" w:color="000000" w:sz="4"/>
                  </w:tcBorders>
                </w:tcPr>
                <w:p/>
              </w:tc>
              <w:tc>
                <w:tcPr>
                  <w:tcW w:type="dxa" w:w="434"/>
                  <w:vMerge/>
                  <w:tcBorders>
                    <w:top w:val="none" w:color="000000" w:sz="4"/>
                    <w:left w:val="none" w:color="000000" w:sz="4"/>
                    <w:bottom w:val="non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Quantum TIX超纯化柱</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vMerge/>
                  <w:tcBorders>
                    <w:top w:val="none" w:color="000000" w:sz="4"/>
                    <w:left w:val="single" w:color="000000" w:sz="4"/>
                    <w:bottom w:val="none" w:color="000000" w:sz="4"/>
                    <w:right w:val="single" w:color="000000" w:sz="4"/>
                  </w:tcBorders>
                </w:tcPr>
                <w:p/>
              </w:tc>
              <w:tc>
                <w:tcPr>
                  <w:tcW w:type="dxa" w:w="642"/>
                  <w:vMerge/>
                  <w:tcBorders>
                    <w:top w:val="none" w:color="000000" w:sz="4"/>
                    <w:left w:val="none" w:color="000000" w:sz="4"/>
                    <w:bottom w:val="none" w:color="000000" w:sz="4"/>
                    <w:right w:val="single" w:color="000000" w:sz="4"/>
                  </w:tcBorders>
                </w:tcPr>
                <w:p/>
              </w:tc>
              <w:tc>
                <w:tcPr>
                  <w:tcW w:type="dxa" w:w="434"/>
                  <w:vMerge/>
                  <w:tcBorders>
                    <w:top w:val="none" w:color="000000" w:sz="4"/>
                    <w:left w:val="none" w:color="000000" w:sz="4"/>
                    <w:bottom w:val="non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185/254nm双波长紫外灯</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vMerge/>
                  <w:tcBorders>
                    <w:top w:val="none" w:color="000000" w:sz="4"/>
                    <w:left w:val="single" w:color="000000" w:sz="4"/>
                    <w:bottom w:val="none" w:color="000000" w:sz="4"/>
                    <w:right w:val="single" w:color="000000" w:sz="4"/>
                  </w:tcBorders>
                </w:tcPr>
                <w:p/>
              </w:tc>
              <w:tc>
                <w:tcPr>
                  <w:tcW w:type="dxa" w:w="642"/>
                  <w:vMerge/>
                  <w:tcBorders>
                    <w:top w:val="none" w:color="000000" w:sz="4"/>
                    <w:left w:val="none" w:color="000000" w:sz="4"/>
                    <w:bottom w:val="none" w:color="000000" w:sz="4"/>
                    <w:right w:val="single" w:color="000000" w:sz="4"/>
                  </w:tcBorders>
                </w:tcPr>
                <w:p/>
              </w:tc>
              <w:tc>
                <w:tcPr>
                  <w:tcW w:type="dxa" w:w="434"/>
                  <w:vMerge/>
                  <w:tcBorders>
                    <w:top w:val="none" w:color="000000" w:sz="4"/>
                    <w:left w:val="none" w:color="000000" w:sz="4"/>
                    <w:bottom w:val="non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254单波长紫外灯</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vMerge/>
                  <w:tcBorders>
                    <w:top w:val="none" w:color="000000" w:sz="4"/>
                    <w:left w:val="single" w:color="000000" w:sz="4"/>
                    <w:bottom w:val="none" w:color="000000" w:sz="4"/>
                    <w:right w:val="single" w:color="000000" w:sz="4"/>
                  </w:tcBorders>
                </w:tcPr>
                <w:p/>
              </w:tc>
              <w:tc>
                <w:tcPr>
                  <w:tcW w:type="dxa" w:w="642"/>
                  <w:vMerge/>
                  <w:tcBorders>
                    <w:top w:val="none" w:color="000000" w:sz="4"/>
                    <w:left w:val="none" w:color="000000" w:sz="4"/>
                    <w:bottom w:val="none" w:color="000000" w:sz="4"/>
                    <w:right w:val="single" w:color="000000" w:sz="4"/>
                  </w:tcBorders>
                </w:tcPr>
                <w:p/>
              </w:tc>
              <w:tc>
                <w:tcPr>
                  <w:tcW w:type="dxa" w:w="434"/>
                  <w:vMerge/>
                  <w:tcBorders>
                    <w:top w:val="none" w:color="000000" w:sz="4"/>
                    <w:left w:val="none" w:color="000000" w:sz="4"/>
                    <w:bottom w:val="non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A10检测器</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vMerge/>
                  <w:tcBorders>
                    <w:top w:val="none" w:color="000000" w:sz="4"/>
                    <w:left w:val="single" w:color="000000" w:sz="4"/>
                    <w:bottom w:val="none" w:color="000000" w:sz="4"/>
                    <w:right w:val="single" w:color="000000" w:sz="4"/>
                  </w:tcBorders>
                </w:tcPr>
                <w:p/>
              </w:tc>
              <w:tc>
                <w:tcPr>
                  <w:tcW w:type="dxa" w:w="642"/>
                  <w:vMerge/>
                  <w:tcBorders>
                    <w:top w:val="none" w:color="000000" w:sz="4"/>
                    <w:left w:val="none" w:color="000000" w:sz="4"/>
                    <w:bottom w:val="none" w:color="000000" w:sz="4"/>
                    <w:right w:val="single" w:color="000000" w:sz="4"/>
                  </w:tcBorders>
                </w:tcPr>
                <w:p/>
              </w:tc>
              <w:tc>
                <w:tcPr>
                  <w:tcW w:type="dxa" w:w="434"/>
                  <w:vMerge/>
                  <w:tcBorders>
                    <w:top w:val="none" w:color="000000" w:sz="4"/>
                    <w:left w:val="none" w:color="000000" w:sz="4"/>
                    <w:bottom w:val="non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EDI</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6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气相色谱仪</w:t>
                  </w:r>
                </w:p>
              </w:tc>
              <w:tc>
                <w:tcPr>
                  <w:tcW w:type="dxa" w:w="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Agilent 7890A/7890B</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衬管O形圈5188-5365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分流进样口衬管5190-5105-005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不分流进样口衬管5190-5112-005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分流平板5190-6145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密封垫圈5181-3323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密封垫圈5062-3514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无孔石墨垫5190-4054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大容量捕集阱RMSN-2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大容量捕集阱HMT200-2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99.999%氮气气体</w:t>
                  </w:r>
                </w:p>
                <w:p>
                  <w:pPr>
                    <w:pStyle w:val="null3"/>
                    <w:jc w:val="center"/>
                  </w:pPr>
                  <w:r>
                    <w:rPr>
                      <w:rFonts w:ascii="仿宋_GB2312" w:hAnsi="仿宋_GB2312" w:cs="仿宋_GB2312" w:eastAsia="仿宋_GB2312"/>
                      <w:sz w:val="19"/>
                    </w:rPr>
                    <w:t>（YQD-6 2.5*25MPA氮气减压器）</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6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顶空进样器</w:t>
                  </w:r>
                </w:p>
              </w:tc>
              <w:tc>
                <w:tcPr>
                  <w:tcW w:type="dxa" w:w="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7697A</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顶空进样针G4556-63825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顶空衬管5190-6168</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6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质谱检测器</w:t>
                  </w:r>
                </w:p>
              </w:tc>
              <w:tc>
                <w:tcPr>
                  <w:tcW w:type="dxa" w:w="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5977B</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分流进样口衬管5190-3165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不分流进样口衬管5190-3163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油雾过滤器G1099-80039</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6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气相色谱仪</w:t>
                  </w:r>
                </w:p>
              </w:tc>
              <w:tc>
                <w:tcPr>
                  <w:tcW w:type="dxa" w:w="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TRACE 1310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60180-824超净筒式过滤器</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290VA191进样口刃环</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290VA192进样口刃环</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29003421死堵刃环</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453A1255-UI衬管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453A1925-UI衬管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12</w:t>
                  </w:r>
                </w:p>
              </w:tc>
              <w:tc>
                <w:tcPr>
                  <w:tcW w:type="dxa" w:w="6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电感耦合等离子体发射光谱仪</w:t>
                  </w:r>
                </w:p>
              </w:tc>
              <w:tc>
                <w:tcPr>
                  <w:tcW w:type="dxa" w:w="43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AvioTM 220 Max</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99.999氩气气体</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195"/>
                  <w:vMerge/>
                  <w:tcBorders>
                    <w:top w:val="none" w:color="000000" w:sz="4"/>
                    <w:left w:val="single" w:color="000000" w:sz="4"/>
                    <w:bottom w:val="none" w:color="000000" w:sz="4"/>
                    <w:right w:val="single" w:color="000000" w:sz="4"/>
                  </w:tcBorders>
                </w:tcPr>
                <w:p/>
              </w:tc>
              <w:tc>
                <w:tcPr>
                  <w:tcW w:type="dxa" w:w="642"/>
                  <w:vMerge/>
                  <w:tcBorders>
                    <w:top w:val="none" w:color="000000" w:sz="4"/>
                    <w:left w:val="none" w:color="000000" w:sz="4"/>
                    <w:bottom w:val="none" w:color="000000" w:sz="4"/>
                    <w:right w:val="single" w:color="000000" w:sz="4"/>
                  </w:tcBorders>
                </w:tcPr>
                <w:p/>
              </w:tc>
              <w:tc>
                <w:tcPr>
                  <w:tcW w:type="dxa" w:w="434"/>
                  <w:vMerge/>
                  <w:tcBorders>
                    <w:top w:val="none" w:color="000000" w:sz="4"/>
                    <w:left w:val="none" w:color="000000" w:sz="4"/>
                    <w:bottom w:val="non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99.999氮气气体</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none" w:color="000000" w:sz="4"/>
                    <w:right w:val="single" w:color="000000" w:sz="4"/>
                  </w:tcBorders>
                </w:tcPr>
                <w:p/>
              </w:tc>
              <w:tc>
                <w:tcPr>
                  <w:tcW w:type="dxa" w:w="642"/>
                  <w:vMerge/>
                  <w:tcBorders>
                    <w:top w:val="none" w:color="000000" w:sz="4"/>
                    <w:left w:val="none" w:color="000000" w:sz="4"/>
                    <w:bottom w:val="none" w:color="000000" w:sz="4"/>
                    <w:right w:val="single" w:color="000000" w:sz="4"/>
                  </w:tcBorders>
                </w:tcPr>
                <w:p/>
              </w:tc>
              <w:tc>
                <w:tcPr>
                  <w:tcW w:type="dxa" w:w="434"/>
                  <w:vMerge/>
                  <w:tcBorders>
                    <w:top w:val="none" w:color="000000" w:sz="4"/>
                    <w:left w:val="none" w:color="000000" w:sz="4"/>
                    <w:bottom w:val="non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PE 蠕动泵管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none" w:color="000000" w:sz="4"/>
                    <w:right w:val="single" w:color="000000" w:sz="4"/>
                  </w:tcBorders>
                </w:tcPr>
                <w:p/>
              </w:tc>
              <w:tc>
                <w:tcPr>
                  <w:tcW w:type="dxa" w:w="642"/>
                  <w:vMerge/>
                  <w:tcBorders>
                    <w:top w:val="none" w:color="000000" w:sz="4"/>
                    <w:left w:val="none" w:color="000000" w:sz="4"/>
                    <w:bottom w:val="none" w:color="000000" w:sz="4"/>
                    <w:right w:val="single" w:color="000000" w:sz="4"/>
                  </w:tcBorders>
                </w:tcPr>
                <w:p/>
              </w:tc>
              <w:tc>
                <w:tcPr>
                  <w:tcW w:type="dxa" w:w="434"/>
                  <w:vMerge/>
                  <w:tcBorders>
                    <w:top w:val="none" w:color="000000" w:sz="4"/>
                    <w:left w:val="none" w:color="000000" w:sz="4"/>
                    <w:bottom w:val="non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PE 废液管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none" w:color="000000" w:sz="4"/>
                    <w:right w:val="single" w:color="000000" w:sz="4"/>
                  </w:tcBorders>
                </w:tcPr>
                <w:p/>
              </w:tc>
              <w:tc>
                <w:tcPr>
                  <w:tcW w:type="dxa" w:w="642"/>
                  <w:vMerge/>
                  <w:tcBorders>
                    <w:top w:val="none" w:color="000000" w:sz="4"/>
                    <w:left w:val="none" w:color="000000" w:sz="4"/>
                    <w:bottom w:val="none" w:color="000000" w:sz="4"/>
                    <w:right w:val="single" w:color="000000" w:sz="4"/>
                  </w:tcBorders>
                </w:tcPr>
                <w:p/>
              </w:tc>
              <w:tc>
                <w:tcPr>
                  <w:tcW w:type="dxa" w:w="434"/>
                  <w:vMerge/>
                  <w:tcBorders>
                    <w:top w:val="none" w:color="000000" w:sz="4"/>
                    <w:left w:val="none" w:color="000000" w:sz="4"/>
                    <w:bottom w:val="non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PE 毛细管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tcBorders>
                    <w:top w:val="none" w:color="000000" w:sz="4"/>
                    <w:left w:val="single" w:color="000000" w:sz="4"/>
                    <w:bottom w:val="none" w:color="000000" w:sz="4"/>
                    <w:right w:val="single" w:color="000000" w:sz="4"/>
                  </w:tcBorders>
                </w:tcPr>
                <w:p/>
              </w:tc>
              <w:tc>
                <w:tcPr>
                  <w:tcW w:type="dxa" w:w="642"/>
                  <w:vMerge/>
                  <w:tcBorders>
                    <w:top w:val="none" w:color="000000" w:sz="4"/>
                    <w:left w:val="none" w:color="000000" w:sz="4"/>
                    <w:bottom w:val="none" w:color="000000" w:sz="4"/>
                    <w:right w:val="single" w:color="000000" w:sz="4"/>
                  </w:tcBorders>
                </w:tcPr>
                <w:p/>
              </w:tc>
              <w:tc>
                <w:tcPr>
                  <w:tcW w:type="dxa" w:w="434"/>
                  <w:vMerge/>
                  <w:tcBorders>
                    <w:top w:val="none" w:color="000000" w:sz="4"/>
                    <w:left w:val="none" w:color="000000" w:sz="4"/>
                    <w:bottom w:val="non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PE 喷嘴O圈</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13</w:t>
                  </w:r>
                </w:p>
              </w:tc>
              <w:tc>
                <w:tcPr>
                  <w:tcW w:type="dxa" w:w="6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电感耦合等离子体质谱仪</w:t>
                  </w:r>
                </w:p>
                <w:p>
                  <w:pPr>
                    <w:pStyle w:val="null3"/>
                    <w:jc w:val="both"/>
                  </w:pPr>
                  <w:r>
                    <w:rPr>
                      <w:rFonts w:ascii="仿宋_GB2312" w:hAnsi="仿宋_GB2312" w:cs="仿宋_GB2312" w:eastAsia="仿宋_GB2312"/>
                      <w:sz w:val="19"/>
                    </w:rPr>
                    <w:t xml:space="preserve"> </w:t>
                  </w:r>
                </w:p>
              </w:tc>
              <w:tc>
                <w:tcPr>
                  <w:tcW w:type="dxa" w:w="43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iCAP RQ</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聚四氟乙烯烧杯</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195"/>
                  <w:vMerge/>
                  <w:tcBorders>
                    <w:top w:val="none" w:color="000000" w:sz="4"/>
                    <w:left w:val="single" w:color="000000" w:sz="4"/>
                    <w:bottom w:val="none" w:color="000000" w:sz="4"/>
                    <w:right w:val="single" w:color="000000" w:sz="4"/>
                  </w:tcBorders>
                </w:tcPr>
                <w:p/>
              </w:tc>
              <w:tc>
                <w:tcPr>
                  <w:tcW w:type="dxa" w:w="642"/>
                  <w:vMerge/>
                  <w:tcBorders>
                    <w:top w:val="none" w:color="000000" w:sz="4"/>
                    <w:left w:val="none" w:color="000000" w:sz="4"/>
                    <w:bottom w:val="none" w:color="000000" w:sz="4"/>
                    <w:right w:val="single" w:color="000000" w:sz="4"/>
                  </w:tcBorders>
                </w:tcPr>
                <w:p/>
              </w:tc>
              <w:tc>
                <w:tcPr>
                  <w:tcW w:type="dxa" w:w="434"/>
                  <w:vMerge/>
                  <w:tcBorders>
                    <w:top w:val="none" w:color="000000" w:sz="4"/>
                    <w:left w:val="none" w:color="000000" w:sz="4"/>
                    <w:bottom w:val="non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聚乙烯容量瓶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195"/>
                  <w:vMerge/>
                  <w:tcBorders>
                    <w:top w:val="none" w:color="000000" w:sz="4"/>
                    <w:left w:val="single" w:color="000000" w:sz="4"/>
                    <w:bottom w:val="none" w:color="000000" w:sz="4"/>
                    <w:right w:val="single" w:color="000000" w:sz="4"/>
                  </w:tcBorders>
                </w:tcPr>
                <w:p/>
              </w:tc>
              <w:tc>
                <w:tcPr>
                  <w:tcW w:type="dxa" w:w="642"/>
                  <w:vMerge/>
                  <w:tcBorders>
                    <w:top w:val="none" w:color="000000" w:sz="4"/>
                    <w:left w:val="none" w:color="000000" w:sz="4"/>
                    <w:bottom w:val="none" w:color="000000" w:sz="4"/>
                    <w:right w:val="single" w:color="000000" w:sz="4"/>
                  </w:tcBorders>
                </w:tcPr>
                <w:p/>
              </w:tc>
              <w:tc>
                <w:tcPr>
                  <w:tcW w:type="dxa" w:w="434"/>
                  <w:vMerge/>
                  <w:tcBorders>
                    <w:top w:val="none" w:color="000000" w:sz="4"/>
                    <w:left w:val="none" w:color="000000" w:sz="4"/>
                    <w:bottom w:val="non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聚乙烯容量瓶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195"/>
                  <w:vMerge/>
                  <w:tcBorders>
                    <w:top w:val="none" w:color="000000" w:sz="4"/>
                    <w:left w:val="single" w:color="000000" w:sz="4"/>
                    <w:bottom w:val="none" w:color="000000" w:sz="4"/>
                    <w:right w:val="single" w:color="000000" w:sz="4"/>
                  </w:tcBorders>
                </w:tcPr>
                <w:p/>
              </w:tc>
              <w:tc>
                <w:tcPr>
                  <w:tcW w:type="dxa" w:w="642"/>
                  <w:vMerge/>
                  <w:tcBorders>
                    <w:top w:val="none" w:color="000000" w:sz="4"/>
                    <w:left w:val="none" w:color="000000" w:sz="4"/>
                    <w:bottom w:val="none" w:color="000000" w:sz="4"/>
                    <w:right w:val="single" w:color="000000" w:sz="4"/>
                  </w:tcBorders>
                </w:tcPr>
                <w:p/>
              </w:tc>
              <w:tc>
                <w:tcPr>
                  <w:tcW w:type="dxa" w:w="434"/>
                  <w:vMerge/>
                  <w:tcBorders>
                    <w:top w:val="none" w:color="000000" w:sz="4"/>
                    <w:left w:val="none" w:color="000000" w:sz="4"/>
                    <w:bottom w:val="non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聚四氟乙烯（密封储液瓶）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195"/>
                  <w:vMerge/>
                  <w:tcBorders>
                    <w:top w:val="none" w:color="000000" w:sz="4"/>
                    <w:left w:val="single" w:color="000000" w:sz="4"/>
                    <w:bottom w:val="none" w:color="000000" w:sz="4"/>
                    <w:right w:val="single" w:color="000000" w:sz="4"/>
                  </w:tcBorders>
                </w:tcPr>
                <w:p/>
              </w:tc>
              <w:tc>
                <w:tcPr>
                  <w:tcW w:type="dxa" w:w="642"/>
                  <w:vMerge/>
                  <w:tcBorders>
                    <w:top w:val="none" w:color="000000" w:sz="4"/>
                    <w:left w:val="none" w:color="000000" w:sz="4"/>
                    <w:bottom w:val="none" w:color="000000" w:sz="4"/>
                    <w:right w:val="single" w:color="000000" w:sz="4"/>
                  </w:tcBorders>
                </w:tcPr>
                <w:p/>
              </w:tc>
              <w:tc>
                <w:tcPr>
                  <w:tcW w:type="dxa" w:w="434"/>
                  <w:vMerge/>
                  <w:tcBorders>
                    <w:top w:val="none" w:color="000000" w:sz="4"/>
                    <w:left w:val="none" w:color="000000" w:sz="4"/>
                    <w:bottom w:val="non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99.999氩气气体</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195"/>
                  <w:vMerge/>
                  <w:tcBorders>
                    <w:top w:val="none" w:color="000000" w:sz="4"/>
                    <w:left w:val="single" w:color="000000" w:sz="4"/>
                    <w:bottom w:val="none" w:color="000000" w:sz="4"/>
                    <w:right w:val="single" w:color="000000" w:sz="4"/>
                  </w:tcBorders>
                </w:tcPr>
                <w:p/>
              </w:tc>
              <w:tc>
                <w:tcPr>
                  <w:tcW w:type="dxa" w:w="642"/>
                  <w:vMerge/>
                  <w:tcBorders>
                    <w:top w:val="none" w:color="000000" w:sz="4"/>
                    <w:left w:val="none" w:color="000000" w:sz="4"/>
                    <w:bottom w:val="none" w:color="000000" w:sz="4"/>
                    <w:right w:val="single" w:color="000000" w:sz="4"/>
                  </w:tcBorders>
                </w:tcPr>
                <w:p/>
              </w:tc>
              <w:tc>
                <w:tcPr>
                  <w:tcW w:type="dxa" w:w="434"/>
                  <w:vMerge/>
                  <w:tcBorders>
                    <w:top w:val="none" w:color="000000" w:sz="4"/>
                    <w:left w:val="none" w:color="000000" w:sz="4"/>
                    <w:bottom w:val="non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99.999%氮气气体</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pH计</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PHS-3E</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pH电极套装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净气型储药柜</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GR-600S</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有机型过滤器</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16</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净气型储药柜</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GR-600S</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无机型过滤器</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17</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智能型易燃品毒害品存储柜</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ZYC0060E</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过滤器</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遥控船</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W120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RTK定位服务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流量计</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ISCO 2150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非接触式激光多普勒流量计</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Laser Flow</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流量计</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accQpulse</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无人机</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Phantom4 RTK</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RTK定位服务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液位计</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TWP v4.3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数据传输服务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液位计</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TWP v4.3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野外水质采样固定剂箱1-5 mL</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 mL</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固定剂瓶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野外水质采样固定剂箱2-10 mL</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2-10 mL</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固定剂瓶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c>
                <w:tcPr>
                  <w:tcW w:type="dxa" w:w="233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包括但不限于以上耗材</w:t>
                  </w:r>
                </w:p>
              </w:tc>
            </w:tr>
          </w:tbl>
          <w:p>
            <w:pPr>
              <w:pStyle w:val="null3"/>
              <w:ind w:firstLine="402"/>
              <w:jc w:val="both"/>
            </w:pPr>
            <w:r>
              <w:rPr>
                <w:rFonts w:ascii="仿宋_GB2312" w:hAnsi="仿宋_GB2312" w:cs="仿宋_GB2312" w:eastAsia="仿宋_GB2312"/>
                <w:b/>
              </w:rPr>
              <w:t>技术要求：</w:t>
            </w:r>
          </w:p>
          <w:p>
            <w:pPr>
              <w:pStyle w:val="null3"/>
              <w:ind w:firstLine="400"/>
              <w:jc w:val="both"/>
            </w:pPr>
            <w:r>
              <w:rPr>
                <w:rFonts w:ascii="仿宋_GB2312" w:hAnsi="仿宋_GB2312" w:cs="仿宋_GB2312" w:eastAsia="仿宋_GB2312"/>
              </w:rPr>
              <w:t>（1）仪器设备运维保养服务必须符合与其相关的现行中华人民共和国标准及规范，没有现行国家标准可遵循的，应遵循行业或厂家标准。</w:t>
            </w:r>
          </w:p>
          <w:p>
            <w:pPr>
              <w:pStyle w:val="null3"/>
              <w:ind w:firstLine="400"/>
              <w:jc w:val="both"/>
            </w:pPr>
            <w:r>
              <w:rPr>
                <w:rFonts w:ascii="仿宋_GB2312" w:hAnsi="仿宋_GB2312" w:cs="仿宋_GB2312" w:eastAsia="仿宋_GB2312"/>
              </w:rPr>
              <w:t>（2）维护人员应具备相应资质，原则上应为该仪器生厂家原厂售后维护工程师或有相应维护维修经验的工程师，小型设备除外。</w:t>
            </w:r>
          </w:p>
          <w:p>
            <w:pPr>
              <w:pStyle w:val="null3"/>
              <w:ind w:firstLine="400"/>
              <w:jc w:val="both"/>
            </w:pPr>
            <w:r>
              <w:rPr>
                <w:rFonts w:ascii="仿宋_GB2312" w:hAnsi="仿宋_GB2312" w:cs="仿宋_GB2312" w:eastAsia="仿宋_GB2312"/>
              </w:rPr>
              <w:t>（3）供应商提供的耗材必须是原厂原装全新性能合格的，型号、性能及指标符合国家现行有关技术、质量及安全标准。</w:t>
            </w:r>
          </w:p>
          <w:p>
            <w:pPr>
              <w:pStyle w:val="null3"/>
              <w:ind w:firstLine="400"/>
              <w:jc w:val="both"/>
            </w:pPr>
            <w:r>
              <w:rPr>
                <w:rFonts w:ascii="仿宋_GB2312" w:hAnsi="仿宋_GB2312" w:cs="仿宋_GB2312" w:eastAsia="仿宋_GB2312"/>
              </w:rPr>
              <w:t>（4）瓶装气体供应要求：服务方应具有相应资质，提供符合安全管理规定的气瓶，要求气瓶瓶色、字样、字色标识正确，瓶体无锈蚀、损伤、变形、裂纹，并在检验有效期内，张贴有警示标签、气体充装合格证，瓶帽完好、防震圈齐全、手轮正常使用。</w:t>
            </w:r>
          </w:p>
          <w:p>
            <w:pPr>
              <w:pStyle w:val="null3"/>
              <w:ind w:firstLine="400"/>
              <w:jc w:val="both"/>
            </w:pPr>
            <w:r>
              <w:rPr>
                <w:rFonts w:ascii="仿宋_GB2312" w:hAnsi="仿宋_GB2312" w:cs="仿宋_GB2312" w:eastAsia="仿宋_GB2312"/>
              </w:rPr>
              <w:t>（5）培训方式采用理论讲解、实操演练、考核验证等。服务方提供的培训讲师须具备扎实的仪器专业知识，熟悉相关检测标准和行业规范，具备丰富的仪器操作（也可由厂家工程师担任）及培训经验，并通过实际样品、方法开发及验证等形式评价仪器掌握的熟练程度，确保培训效果落地。</w:t>
            </w:r>
          </w:p>
          <w:p>
            <w:pPr>
              <w:pStyle w:val="null3"/>
              <w:ind w:firstLine="402"/>
              <w:jc w:val="both"/>
            </w:pPr>
            <w:r>
              <w:rPr>
                <w:rFonts w:ascii="仿宋_GB2312" w:hAnsi="仿宋_GB2312" w:cs="仿宋_GB2312" w:eastAsia="仿宋_GB2312"/>
                <w:b/>
              </w:rPr>
              <w:t>服务要求：</w:t>
            </w:r>
          </w:p>
          <w:p>
            <w:pPr>
              <w:pStyle w:val="null3"/>
              <w:ind w:firstLine="400"/>
              <w:jc w:val="both"/>
            </w:pPr>
            <w:r>
              <w:rPr>
                <w:rFonts w:ascii="仿宋_GB2312" w:hAnsi="仿宋_GB2312" w:cs="仿宋_GB2312" w:eastAsia="仿宋_GB2312"/>
              </w:rPr>
              <w:t>（1）按照仪器设备保养清单，建立维保档案。对大型、精密的仪器设备，至少每两周巡视检查1次，每月维护保养1次、每2月进行1次性能检查；对实验室通用型、使用频次较高的设备，至少每月巡视检查1次，每季度进行1次维护及性能检查；对所有需要维修的设备应及时提供方案并维修，保证仪器能正常运行。维保及维修后的仪器设备技术指标应达到设备铭牌及性能说明书的技术参数要求，并满足国家或行业有关技术标准。</w:t>
            </w:r>
          </w:p>
          <w:p>
            <w:pPr>
              <w:pStyle w:val="null3"/>
              <w:ind w:firstLine="400"/>
              <w:jc w:val="both"/>
            </w:pPr>
            <w:r>
              <w:rPr>
                <w:rFonts w:ascii="仿宋_GB2312" w:hAnsi="仿宋_GB2312" w:cs="仿宋_GB2312" w:eastAsia="仿宋_GB2312"/>
              </w:rPr>
              <w:t>（2）供应商应在采购人提出仪器设备维修需求后24小时内响应，维修工作应在48小时内完成，如涉及耗材采购，最长不超过7天，并承诺至少1年的质保期。</w:t>
            </w:r>
          </w:p>
          <w:p>
            <w:pPr>
              <w:pStyle w:val="null3"/>
              <w:ind w:firstLine="400"/>
              <w:jc w:val="both"/>
            </w:pPr>
            <w:r>
              <w:rPr>
                <w:rFonts w:ascii="仿宋_GB2312" w:hAnsi="仿宋_GB2312" w:cs="仿宋_GB2312" w:eastAsia="仿宋_GB2312"/>
              </w:rPr>
              <w:t>（3）在检查、认证及应急实验等重要时间节点，有相应的故障防范方案，并派人现场值守、巡查和抢修，保障仪器设备正常运行。</w:t>
            </w:r>
          </w:p>
          <w:p>
            <w:pPr>
              <w:pStyle w:val="null3"/>
              <w:ind w:firstLine="400"/>
              <w:jc w:val="both"/>
            </w:pPr>
            <w:r>
              <w:rPr>
                <w:rFonts w:ascii="仿宋_GB2312" w:hAnsi="仿宋_GB2312" w:cs="仿宋_GB2312" w:eastAsia="仿宋_GB2312"/>
              </w:rPr>
              <w:t>（4）供应商需在采购人提出培训内容一周内响应，双方协商具体培训内容、时间、地点等，并提供系统培训相关资料；对于复杂、精密的大型仪器设备技术难题，必要时可去厂家实验室培训解决。</w:t>
            </w:r>
          </w:p>
          <w:p>
            <w:pPr>
              <w:pStyle w:val="null3"/>
              <w:ind w:firstLine="400"/>
              <w:jc w:val="both"/>
            </w:pPr>
            <w:r>
              <w:rPr>
                <w:rFonts w:ascii="仿宋_GB2312" w:hAnsi="仿宋_GB2312" w:cs="仿宋_GB2312" w:eastAsia="仿宋_GB2312"/>
              </w:rPr>
              <w:t>（5）培训后应继续提供技术支持（如电话咨询、线上答疑），帮助检测人员解决实际应用中遇到的新问题。</w:t>
            </w:r>
          </w:p>
          <w:p>
            <w:pPr>
              <w:pStyle w:val="null3"/>
              <w:ind w:firstLine="402"/>
              <w:jc w:val="both"/>
            </w:pPr>
            <w:r>
              <w:rPr>
                <w:rFonts w:ascii="仿宋_GB2312" w:hAnsi="仿宋_GB2312" w:cs="仿宋_GB2312" w:eastAsia="仿宋_GB2312"/>
                <w:b/>
              </w:rPr>
              <w:t>1.2仪器设备检定/校准</w:t>
            </w:r>
          </w:p>
          <w:p>
            <w:pPr>
              <w:pStyle w:val="null3"/>
              <w:ind w:firstLine="402"/>
              <w:jc w:val="both"/>
            </w:pPr>
            <w:r>
              <w:rPr>
                <w:rFonts w:ascii="仿宋_GB2312" w:hAnsi="仿宋_GB2312" w:cs="仿宋_GB2312" w:eastAsia="仿宋_GB2312"/>
                <w:b/>
              </w:rPr>
              <w:t>服务内容：</w:t>
            </w:r>
          </w:p>
          <w:p>
            <w:pPr>
              <w:pStyle w:val="null3"/>
              <w:ind w:firstLine="400"/>
              <w:jc w:val="both"/>
            </w:pPr>
            <w:r>
              <w:rPr>
                <w:rFonts w:ascii="仿宋_GB2312" w:hAnsi="仿宋_GB2312" w:cs="仿宋_GB2312" w:eastAsia="仿宋_GB2312"/>
              </w:rPr>
              <w:t>根据资质认定管理体系运行相关要求，应对检验检测结果、抽样结果的准确性或有效性有影响或计量溯源性有要求的设备有计划地实施检定或校准，以确保数据的有效性、准确性和溯源性。结合我中心工作计划及对仪器设备的管理要求，2026年对162台仪器设备开展检定、校准，具体明细见表3。</w:t>
            </w:r>
          </w:p>
          <w:p>
            <w:pPr>
              <w:pStyle w:val="null3"/>
              <w:ind w:firstLine="400"/>
              <w:jc w:val="center"/>
            </w:pPr>
            <w:r>
              <w:rPr>
                <w:rFonts w:ascii="仿宋_GB2312" w:hAnsi="仿宋_GB2312" w:cs="仿宋_GB2312" w:eastAsia="仿宋_GB2312"/>
                <w:b/>
              </w:rPr>
              <w:t>表3</w:t>
            </w:r>
            <w:r>
              <w:rPr>
                <w:rFonts w:ascii="仿宋_GB2312" w:hAnsi="仿宋_GB2312" w:cs="仿宋_GB2312" w:eastAsia="仿宋_GB2312"/>
                <w:b/>
              </w:rPr>
              <w:t xml:space="preserve"> </w:t>
            </w:r>
            <w:r>
              <w:rPr>
                <w:rFonts w:ascii="仿宋_GB2312" w:hAnsi="仿宋_GB2312" w:cs="仿宋_GB2312" w:eastAsia="仿宋_GB2312"/>
                <w:b/>
              </w:rPr>
              <w:t xml:space="preserve"> 仪器设备检定、校准清单</w:t>
            </w:r>
          </w:p>
          <w:tbl>
            <w:tblPr>
              <w:tblBorders>
                <w:top w:val="none" w:color="000000" w:sz="4"/>
                <w:left w:val="none" w:color="000000" w:sz="4"/>
                <w:bottom w:val="none" w:color="000000" w:sz="4"/>
                <w:right w:val="none" w:color="000000" w:sz="4"/>
                <w:insideH w:val="none"/>
                <w:insideV w:val="none"/>
              </w:tblBorders>
            </w:tblPr>
            <w:tblGrid>
              <w:gridCol w:w="163"/>
              <w:gridCol w:w="571"/>
              <w:gridCol w:w="518"/>
              <w:gridCol w:w="547"/>
              <w:gridCol w:w="174"/>
              <w:gridCol w:w="163"/>
              <w:gridCol w:w="396"/>
            </w:tblGrid>
            <w:tr>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5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仪器设备名称</w:t>
                  </w:r>
                </w:p>
              </w:tc>
              <w:tc>
                <w:tcPr>
                  <w:tcW w:type="dxa" w:w="5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规格型号</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品牌</w:t>
                  </w:r>
                </w:p>
              </w:tc>
              <w:tc>
                <w:tcPr>
                  <w:tcW w:type="dxa" w:w="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红外分光测油仪</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OIL 480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北京华夏科创</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全自动红外分光油分析仪</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OL 1020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上海昂林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生化培养箱</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SPX-150BⅢ</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泰斯特</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BOD</w:t>
                  </w:r>
                  <w:r>
                    <w:rPr>
                      <w:rFonts w:ascii="仿宋_GB2312" w:hAnsi="仿宋_GB2312" w:cs="仿宋_GB2312" w:eastAsia="仿宋_GB2312"/>
                      <w:sz w:val="19"/>
                      <w:vertAlign w:val="subscript"/>
                    </w:rPr>
                    <w:t>5</w:t>
                  </w:r>
                  <w:r>
                    <w:rPr>
                      <w:rFonts w:ascii="仿宋_GB2312" w:hAnsi="仿宋_GB2312" w:cs="仿宋_GB2312" w:eastAsia="仿宋_GB2312"/>
                      <w:sz w:val="19"/>
                    </w:rPr>
                    <w:t>测定仪</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BODTrakTMⅡ</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美国哈希</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原子荧光光度计</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Kylin S18</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北京吉天</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气相色谱仪</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Agilent 7890A</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安捷伦</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FID</w:t>
                  </w:r>
                  <w:r>
                    <w:rPr>
                      <w:rFonts w:ascii="仿宋_GB2312" w:hAnsi="仿宋_GB2312" w:cs="仿宋_GB2312" w:eastAsia="仿宋_GB2312"/>
                      <w:sz w:val="19"/>
                    </w:rPr>
                    <w:t>、</w:t>
                  </w:r>
                  <w:r>
                    <w:rPr>
                      <w:rFonts w:ascii="仿宋_GB2312" w:hAnsi="仿宋_GB2312" w:cs="仿宋_GB2312" w:eastAsia="仿宋_GB2312"/>
                      <w:sz w:val="19"/>
                    </w:rPr>
                    <w:t>ECD</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气相色谱仪</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7890B</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安捷伦</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FPD</w:t>
                  </w:r>
                  <w:r>
                    <w:rPr>
                      <w:rFonts w:ascii="仿宋_GB2312" w:hAnsi="仿宋_GB2312" w:cs="仿宋_GB2312" w:eastAsia="仿宋_GB2312"/>
                      <w:sz w:val="19"/>
                    </w:rPr>
                    <w:t>、</w:t>
                  </w:r>
                  <w:r>
                    <w:rPr>
                      <w:rFonts w:ascii="仿宋_GB2312" w:hAnsi="仿宋_GB2312" w:cs="仿宋_GB2312" w:eastAsia="仿宋_GB2312"/>
                      <w:sz w:val="19"/>
                    </w:rPr>
                    <w:t>ECD</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气相色谱仪</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TRACE 1310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ThermoFisher SCIENTIFIC</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FID</w:t>
                  </w:r>
                  <w:r>
                    <w:rPr>
                      <w:rFonts w:ascii="仿宋_GB2312" w:hAnsi="仿宋_GB2312" w:cs="仿宋_GB2312" w:eastAsia="仿宋_GB2312"/>
                      <w:sz w:val="19"/>
                    </w:rPr>
                    <w:t>、</w:t>
                  </w:r>
                  <w:r>
                    <w:rPr>
                      <w:rFonts w:ascii="仿宋_GB2312" w:hAnsi="仿宋_GB2312" w:cs="仿宋_GB2312" w:eastAsia="仿宋_GB2312"/>
                      <w:sz w:val="19"/>
                    </w:rPr>
                    <w:t>ECD</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质谱</w:t>
                  </w:r>
                  <w:r>
                    <w:rPr>
                      <w:rFonts w:ascii="仿宋_GB2312" w:hAnsi="仿宋_GB2312" w:cs="仿宋_GB2312" w:eastAsia="仿宋_GB2312"/>
                      <w:sz w:val="19"/>
                    </w:rPr>
                    <w:t>检测器</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5977B</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安捷伦</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与气相联用</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原子吸收仪</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iCE3500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美国Themo Elemental</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石墨炉原子化器</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GL323I-1SCN</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赛多利斯</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万分之一电子天平</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CPA124S</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赛多利斯</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万分之一电子天平</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CPA224S</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赛多利斯</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紫外可见分光光度计</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Cary 50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美国瓦里安</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双光束紫外可见分光光度计</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TU-1901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北京普析</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紫外可见分光光度计</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SPECORD 50 PLUS</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德国耶拿</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干燥箱</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OMH180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赛默飞世尔</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各6个温度点</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马弗炉</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BF51894JC-1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赛默飞世尔</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7个温度点</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溶解氧测定仪</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4010-2W</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YSI</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r>
                    <w:rPr>
                      <w:rFonts w:ascii="仿宋_GB2312" w:hAnsi="仿宋_GB2312" w:cs="仿宋_GB2312" w:eastAsia="仿宋_GB2312"/>
                      <w:sz w:val="19"/>
                    </w:rPr>
                    <w:t>英霍夫）</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1000mL</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普兰德</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纯水超纯水一体化系统</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Milli-Q Integral 10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密理博公司</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二级水做吸光度、蒸发残渣、可溶性硅；三级水做蒸发残渣</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可燃气体泄漏报警装置</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FG10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上海思尼克思</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可燃气体防爆探测器</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YA-D100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山东瑶安</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流量计</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ISCO 2150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ISCO</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水位、流速</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ADCP多普勒流速剖面仪</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M9-C</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赛莱默</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水位、流速</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流速</w:t>
                  </w:r>
                  <w:r>
                    <w:rPr>
                      <w:rFonts w:ascii="仿宋_GB2312" w:hAnsi="仿宋_GB2312" w:cs="仿宋_GB2312" w:eastAsia="仿宋_GB2312"/>
                      <w:sz w:val="19"/>
                    </w:rPr>
                    <w:t>仪</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LS1206B</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江苏南水水务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电感耦合等离子体发射光谱仪</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AvioTM 220 Max</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Perkin Elmer</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电感耦合等离子体质谱仪</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iCAP RQ</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赛默飞</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高效</w:t>
                  </w:r>
                  <w:r>
                    <w:rPr>
                      <w:rFonts w:ascii="仿宋_GB2312" w:hAnsi="仿宋_GB2312" w:cs="仿宋_GB2312" w:eastAsia="仿宋_GB2312"/>
                      <w:sz w:val="19"/>
                    </w:rPr>
                    <w:t>液相色谱仪</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ACQUITY Arc</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Waters</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荧光</w:t>
                  </w:r>
                  <w:r>
                    <w:rPr>
                      <w:rFonts w:ascii="仿宋_GB2312" w:hAnsi="仿宋_GB2312" w:cs="仿宋_GB2312" w:eastAsia="仿宋_GB2312"/>
                      <w:sz w:val="19"/>
                    </w:rPr>
                    <w:t>检测器</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多参数测量仪</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A329</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赛默飞</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pH、氧化还原电位</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便携式可见分光光度计</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DR1900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哈希</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便携式可见分光光度计</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Aquamate7100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赛默飞</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pH计</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913</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瑞士万通</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pH计/电导率仪</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914</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瑞士万通</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pH、电导率</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药品冷藏箱</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HYC-509</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青岛海尔</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冰箱温度计</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220型</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北京康威</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玻璃量器</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容量瓶、量筒、大肚吸管、刻度吸管、比色管</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指针式温湿度表</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39</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气体减压器</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上海减压器</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氮气、氩气、乙炔、氦气</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单开门冰箱</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HYC-461FD</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青岛海尔</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202</w:t>
                  </w:r>
                  <w:r>
                    <w:rPr>
                      <w:rFonts w:ascii="仿宋_GB2312" w:hAnsi="仿宋_GB2312" w:cs="仿宋_GB2312" w:eastAsia="仿宋_GB2312"/>
                      <w:sz w:val="19"/>
                    </w:rPr>
                    <w:t>6</w:t>
                  </w:r>
                  <w:r>
                    <w:rPr>
                      <w:rFonts w:ascii="仿宋_GB2312" w:hAnsi="仿宋_GB2312" w:cs="仿宋_GB2312" w:eastAsia="仿宋_GB2312"/>
                      <w:sz w:val="19"/>
                    </w:rPr>
                    <w:t>年新购</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对开门冰箱</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HYC-761GD</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青岛海尔</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202</w:t>
                  </w:r>
                  <w:r>
                    <w:rPr>
                      <w:rFonts w:ascii="仿宋_GB2312" w:hAnsi="仿宋_GB2312" w:cs="仿宋_GB2312" w:eastAsia="仿宋_GB2312"/>
                      <w:sz w:val="19"/>
                    </w:rPr>
                    <w:t>6</w:t>
                  </w:r>
                  <w:r>
                    <w:rPr>
                      <w:rFonts w:ascii="仿宋_GB2312" w:hAnsi="仿宋_GB2312" w:cs="仿宋_GB2312" w:eastAsia="仿宋_GB2312"/>
                      <w:sz w:val="19"/>
                    </w:rPr>
                    <w:t>年新购</w:t>
                  </w:r>
                </w:p>
              </w:tc>
            </w:tr>
          </w:tbl>
          <w:p>
            <w:pPr>
              <w:pStyle w:val="null3"/>
              <w:ind w:firstLine="402"/>
              <w:jc w:val="both"/>
            </w:pPr>
            <w:r>
              <w:rPr>
                <w:rFonts w:ascii="仿宋_GB2312" w:hAnsi="仿宋_GB2312" w:cs="仿宋_GB2312" w:eastAsia="仿宋_GB2312"/>
              </w:rPr>
              <w:t xml:space="preserve"> </w:t>
            </w:r>
          </w:p>
          <w:p>
            <w:pPr>
              <w:pStyle w:val="null3"/>
              <w:ind w:firstLine="402"/>
              <w:jc w:val="both"/>
            </w:pPr>
            <w:r>
              <w:rPr>
                <w:rFonts w:ascii="仿宋_GB2312" w:hAnsi="仿宋_GB2312" w:cs="仿宋_GB2312" w:eastAsia="仿宋_GB2312"/>
                <w:b/>
              </w:rPr>
              <w:t>技术要求：</w:t>
            </w:r>
          </w:p>
          <w:p>
            <w:pPr>
              <w:pStyle w:val="null3"/>
              <w:ind w:firstLine="400"/>
              <w:jc w:val="both"/>
            </w:pPr>
            <w:r>
              <w:rPr>
                <w:rFonts w:ascii="仿宋_GB2312" w:hAnsi="仿宋_GB2312" w:cs="仿宋_GB2312" w:eastAsia="仿宋_GB2312"/>
              </w:rPr>
              <w:t>（1）提供的仪器设备检定/校准服务必须符合《中华人民共和国计量法》、《中华人民共和国计量法实施细则》等法律法规相关要求，必须按照仪器设备相应的检定规程或校准规范等要求开展工作，出具的证书要求数据准确。</w:t>
            </w:r>
          </w:p>
          <w:p>
            <w:pPr>
              <w:pStyle w:val="null3"/>
              <w:ind w:firstLine="200"/>
              <w:jc w:val="both"/>
            </w:pPr>
            <w:r>
              <w:rPr>
                <w:rFonts w:ascii="仿宋_GB2312" w:hAnsi="仿宋_GB2312" w:cs="仿宋_GB2312" w:eastAsia="仿宋_GB2312"/>
              </w:rPr>
              <w:t>▲（2）</w:t>
            </w:r>
            <w:r>
              <w:rPr>
                <w:rFonts w:ascii="仿宋_GB2312" w:hAnsi="仿宋_GB2312" w:cs="仿宋_GB2312" w:eastAsia="仿宋_GB2312"/>
                <w:b/>
              </w:rPr>
              <w:t>仪器设备的检定、校准的服务商须具备法定计量授权证书、CMA资质认定证书等资质。</w:t>
            </w:r>
          </w:p>
          <w:p>
            <w:pPr>
              <w:pStyle w:val="null3"/>
              <w:ind w:firstLine="402"/>
              <w:jc w:val="both"/>
            </w:pPr>
            <w:r>
              <w:rPr>
                <w:rFonts w:ascii="仿宋_GB2312" w:hAnsi="仿宋_GB2312" w:cs="仿宋_GB2312" w:eastAsia="仿宋_GB2312"/>
                <w:b/>
              </w:rPr>
              <w:t>服务要求：</w:t>
            </w:r>
          </w:p>
          <w:p>
            <w:pPr>
              <w:pStyle w:val="null3"/>
              <w:ind w:firstLine="400"/>
              <w:jc w:val="both"/>
            </w:pPr>
            <w:r>
              <w:rPr>
                <w:rFonts w:ascii="仿宋_GB2312" w:hAnsi="仿宋_GB2312" w:cs="仿宋_GB2312" w:eastAsia="仿宋_GB2312"/>
              </w:rPr>
              <w:t>（1）仪器设备检定/校准服务包含从响应到出具证书产生的全部服务，包括但不限于检定/校准及相关人工、交通、仪器设备邮寄、证书邮寄等相关服务。</w:t>
            </w:r>
          </w:p>
          <w:p>
            <w:pPr>
              <w:pStyle w:val="null3"/>
              <w:ind w:firstLine="400"/>
              <w:jc w:val="both"/>
            </w:pPr>
            <w:r>
              <w:rPr>
                <w:rFonts w:ascii="仿宋_GB2312" w:hAnsi="仿宋_GB2312" w:cs="仿宋_GB2312" w:eastAsia="仿宋_GB2312"/>
              </w:rPr>
              <w:t>（2）采取送检和现场检定/校准服务相结合的方式开展。①送检：需在24小时内（除特殊天气影响外）到达指定地点领取送检的仪器设备或样品，完成检定/校准后送回原地点；②现场检定/校准：需在24小时内响应，安排计量检定/校准人员5天内（除特殊天气影响外）到达指定地点开展工作，当日完成指定工作量。</w:t>
            </w:r>
          </w:p>
          <w:p>
            <w:pPr>
              <w:pStyle w:val="null3"/>
              <w:ind w:firstLine="400"/>
              <w:jc w:val="both"/>
            </w:pPr>
            <w:r>
              <w:rPr>
                <w:rFonts w:ascii="仿宋_GB2312" w:hAnsi="仿宋_GB2312" w:cs="仿宋_GB2312" w:eastAsia="仿宋_GB2312"/>
              </w:rPr>
              <w:t>（3）指定1名项目负责人与采购人联系，协商具体实施细则；</w:t>
            </w:r>
          </w:p>
          <w:p>
            <w:pPr>
              <w:pStyle w:val="null3"/>
              <w:ind w:firstLine="400"/>
              <w:jc w:val="both"/>
            </w:pPr>
            <w:r>
              <w:rPr>
                <w:rFonts w:ascii="仿宋_GB2312" w:hAnsi="仿宋_GB2312" w:cs="仿宋_GB2312" w:eastAsia="仿宋_GB2312"/>
              </w:rPr>
              <w:t>（4）确保检定/校准人员具备相应的专业知识和技能，检定/校准的设备在服务方的授权项目范围内，且使用的计量标准器具必须在上一级计量检定机构取得检定/校准证书，确保在有效期内。</w:t>
            </w:r>
          </w:p>
          <w:p>
            <w:pPr>
              <w:pStyle w:val="null3"/>
              <w:ind w:firstLine="400"/>
              <w:jc w:val="both"/>
            </w:pPr>
            <w:r>
              <w:rPr>
                <w:rFonts w:ascii="仿宋_GB2312" w:hAnsi="仿宋_GB2312" w:cs="仿宋_GB2312" w:eastAsia="仿宋_GB2312"/>
              </w:rPr>
              <w:t>（5）负责妥善保管 采购人提供的仪器设备以及相关的技术资料。</w:t>
            </w:r>
          </w:p>
          <w:p>
            <w:pPr>
              <w:pStyle w:val="null3"/>
              <w:ind w:firstLine="400"/>
              <w:jc w:val="both"/>
            </w:pPr>
            <w:r>
              <w:rPr>
                <w:rFonts w:ascii="仿宋_GB2312" w:hAnsi="仿宋_GB2312" w:cs="仿宋_GB2312" w:eastAsia="仿宋_GB2312"/>
              </w:rPr>
              <w:t>（6）做好现场的环境保护、劳动保护和安全工作。</w:t>
            </w:r>
          </w:p>
          <w:p>
            <w:pPr>
              <w:pStyle w:val="null3"/>
              <w:ind w:firstLine="400"/>
              <w:jc w:val="both"/>
            </w:pPr>
            <w:r>
              <w:rPr>
                <w:rFonts w:ascii="仿宋_GB2312" w:hAnsi="仿宋_GB2312" w:cs="仿宋_GB2312" w:eastAsia="仿宋_GB2312"/>
              </w:rPr>
              <w:t>（7）自仪器设备送检或现场检定/校准当天起7个工作日内出具证书。</w:t>
            </w:r>
          </w:p>
          <w:p>
            <w:pPr>
              <w:pStyle w:val="null3"/>
              <w:ind w:firstLine="402"/>
              <w:jc w:val="both"/>
            </w:pPr>
            <w:r>
              <w:rPr>
                <w:rFonts w:ascii="仿宋_GB2312" w:hAnsi="仿宋_GB2312" w:cs="仿宋_GB2312" w:eastAsia="仿宋_GB2312"/>
                <w:b/>
              </w:rPr>
              <w:t>（二）实验室运行保障</w:t>
            </w:r>
          </w:p>
          <w:p>
            <w:pPr>
              <w:pStyle w:val="null3"/>
              <w:ind w:firstLine="400"/>
              <w:jc w:val="both"/>
            </w:pPr>
            <w:r>
              <w:rPr>
                <w:rFonts w:ascii="仿宋_GB2312" w:hAnsi="仿宋_GB2312" w:cs="仿宋_GB2312" w:eastAsia="仿宋_GB2312"/>
              </w:rPr>
              <w:t>主要服务内容为：实验室安全运行保障、废弃物处理、基础设施维修、水电巡查维护、检测环境保洁、管理系统维护、资质认定运行保障等。</w:t>
            </w:r>
          </w:p>
          <w:p>
            <w:pPr>
              <w:pStyle w:val="null3"/>
              <w:ind w:firstLine="402"/>
              <w:jc w:val="both"/>
            </w:pPr>
            <w:r>
              <w:rPr>
                <w:rFonts w:ascii="仿宋_GB2312" w:hAnsi="仿宋_GB2312" w:cs="仿宋_GB2312" w:eastAsia="仿宋_GB2312"/>
                <w:b/>
              </w:rPr>
              <w:t>2.1实验安全运行保障</w:t>
            </w:r>
          </w:p>
          <w:p>
            <w:pPr>
              <w:pStyle w:val="null3"/>
              <w:ind w:firstLine="402"/>
              <w:jc w:val="both"/>
            </w:pPr>
            <w:r>
              <w:rPr>
                <w:rFonts w:ascii="仿宋_GB2312" w:hAnsi="仿宋_GB2312" w:cs="仿宋_GB2312" w:eastAsia="仿宋_GB2312"/>
                <w:b/>
              </w:rPr>
              <w:t>服务内容:</w:t>
            </w:r>
          </w:p>
          <w:p>
            <w:pPr>
              <w:pStyle w:val="null3"/>
              <w:ind w:firstLine="400"/>
              <w:jc w:val="both"/>
            </w:pPr>
            <w:r>
              <w:rPr>
                <w:rFonts w:ascii="仿宋_GB2312" w:hAnsi="仿宋_GB2312" w:cs="仿宋_GB2312" w:eastAsia="仿宋_GB2312"/>
              </w:rPr>
              <w:t>为完善采购人安全管理体系，排查整改实验室安全隐患，保障实验区域及危化品库房的科学安全管理，降低实验室安全风险，采购下述安全保障运行服务：</w:t>
            </w:r>
          </w:p>
          <w:p>
            <w:pPr>
              <w:pStyle w:val="null3"/>
              <w:ind w:firstLine="400"/>
              <w:jc w:val="both"/>
            </w:pPr>
            <w:r>
              <w:rPr>
                <w:rFonts w:ascii="仿宋_GB2312" w:hAnsi="仿宋_GB2312" w:cs="仿宋_GB2312" w:eastAsia="仿宋_GB2312"/>
              </w:rPr>
              <w:t>（1）对实验区域及危险化学品库房实行24小时值守。</w:t>
            </w:r>
          </w:p>
          <w:p>
            <w:pPr>
              <w:pStyle w:val="null3"/>
              <w:ind w:firstLine="400"/>
              <w:jc w:val="both"/>
            </w:pPr>
            <w:r>
              <w:rPr>
                <w:rFonts w:ascii="仿宋_GB2312" w:hAnsi="仿宋_GB2312" w:cs="仿宋_GB2312" w:eastAsia="仿宋_GB2312"/>
              </w:rPr>
              <w:t>（2）根据现行法律法规或行业标准，协助采购人开展安全隐患排查工作，对实验区域及危险化学品库房等重点部位定期进行危险源识别及合理化整改建议，并形成书面资料。</w:t>
            </w:r>
          </w:p>
          <w:p>
            <w:pPr>
              <w:pStyle w:val="null3"/>
              <w:ind w:firstLine="400"/>
              <w:jc w:val="both"/>
            </w:pPr>
            <w:r>
              <w:rPr>
                <w:rFonts w:ascii="仿宋_GB2312" w:hAnsi="仿宋_GB2312" w:cs="仿宋_GB2312" w:eastAsia="仿宋_GB2312"/>
              </w:rPr>
              <w:t>（3）根据现行法律法规或行业标准，对实验室现行安全管理制度中不完善部分提出合理化建议，并形成书面资料。</w:t>
            </w:r>
          </w:p>
          <w:p>
            <w:pPr>
              <w:pStyle w:val="null3"/>
              <w:ind w:firstLine="400"/>
              <w:jc w:val="both"/>
            </w:pPr>
            <w:r>
              <w:rPr>
                <w:rFonts w:ascii="仿宋_GB2312" w:hAnsi="仿宋_GB2312" w:cs="仿宋_GB2312" w:eastAsia="仿宋_GB2312"/>
              </w:rPr>
              <w:t>（4）对实验区域监控维护进行日常检查及维护。</w:t>
            </w:r>
          </w:p>
          <w:p>
            <w:pPr>
              <w:pStyle w:val="null3"/>
              <w:ind w:firstLine="400"/>
              <w:jc w:val="both"/>
            </w:pPr>
            <w:r>
              <w:rPr>
                <w:rFonts w:ascii="仿宋_GB2312" w:hAnsi="仿宋_GB2312" w:cs="仿宋_GB2312" w:eastAsia="仿宋_GB2312"/>
              </w:rPr>
              <w:t>（5）对实验区域内的灭火器、烟感器和报警器材行维护保养。</w:t>
            </w:r>
          </w:p>
          <w:p>
            <w:pPr>
              <w:pStyle w:val="null3"/>
              <w:ind w:firstLine="402"/>
              <w:jc w:val="both"/>
            </w:pPr>
            <w:r>
              <w:rPr>
                <w:rFonts w:ascii="仿宋_GB2312" w:hAnsi="仿宋_GB2312" w:cs="仿宋_GB2312" w:eastAsia="仿宋_GB2312"/>
                <w:b/>
              </w:rPr>
              <w:t>技术要求：</w:t>
            </w:r>
          </w:p>
          <w:p>
            <w:pPr>
              <w:pStyle w:val="null3"/>
              <w:ind w:firstLine="400"/>
              <w:jc w:val="both"/>
            </w:pPr>
            <w:r>
              <w:rPr>
                <w:rFonts w:ascii="仿宋_GB2312" w:hAnsi="仿宋_GB2312" w:cs="仿宋_GB2312" w:eastAsia="仿宋_GB2312"/>
              </w:rPr>
              <w:t>（1）供应商配备的值守人员应具备基本的安全常识和事故报警技能。</w:t>
            </w:r>
          </w:p>
          <w:p>
            <w:pPr>
              <w:pStyle w:val="null3"/>
              <w:ind w:firstLine="400"/>
              <w:jc w:val="both"/>
            </w:pPr>
            <w:r>
              <w:rPr>
                <w:rFonts w:ascii="仿宋_GB2312" w:hAnsi="仿宋_GB2312" w:cs="仿宋_GB2312" w:eastAsia="仿宋_GB2312"/>
              </w:rPr>
              <w:t>（2）供应商对实验区域及危险化学品库房定期开展的危险源识别，内容应全面且覆盖实验工作的“人、机、料、法、环”各个环节，提出的建议应具备可执行性。</w:t>
            </w:r>
          </w:p>
          <w:p>
            <w:pPr>
              <w:pStyle w:val="null3"/>
              <w:ind w:firstLine="400"/>
              <w:jc w:val="both"/>
            </w:pPr>
            <w:r>
              <w:rPr>
                <w:rFonts w:ascii="仿宋_GB2312" w:hAnsi="仿宋_GB2312" w:cs="仿宋_GB2312" w:eastAsia="仿宋_GB2312"/>
              </w:rPr>
              <w:t>（3）灭火器的管理和年检频次应符合国家的相关法律法规。</w:t>
            </w:r>
          </w:p>
          <w:p>
            <w:pPr>
              <w:pStyle w:val="null3"/>
              <w:ind w:firstLine="402"/>
              <w:jc w:val="both"/>
            </w:pPr>
            <w:r>
              <w:rPr>
                <w:rFonts w:ascii="仿宋_GB2312" w:hAnsi="仿宋_GB2312" w:cs="仿宋_GB2312" w:eastAsia="仿宋_GB2312"/>
                <w:b/>
              </w:rPr>
              <w:t>服务要求：</w:t>
            </w:r>
          </w:p>
          <w:p>
            <w:pPr>
              <w:pStyle w:val="null3"/>
              <w:ind w:firstLine="400"/>
              <w:jc w:val="both"/>
            </w:pPr>
            <w:r>
              <w:rPr>
                <w:rFonts w:ascii="仿宋_GB2312" w:hAnsi="仿宋_GB2312" w:cs="仿宋_GB2312" w:eastAsia="仿宋_GB2312"/>
              </w:rPr>
              <w:t>（1）值守人员应具备基本的试剂管理常识、防盗抢意识和事故报警技能，应提供相关培训记录。</w:t>
            </w:r>
          </w:p>
          <w:p>
            <w:pPr>
              <w:pStyle w:val="null3"/>
              <w:ind w:firstLine="400"/>
              <w:jc w:val="both"/>
            </w:pPr>
            <w:r>
              <w:rPr>
                <w:rFonts w:ascii="仿宋_GB2312" w:hAnsi="仿宋_GB2312" w:cs="仿宋_GB2312" w:eastAsia="仿宋_GB2312"/>
              </w:rPr>
              <w:t>（2）须提供灭火器检修厂家的资质报告。</w:t>
            </w:r>
          </w:p>
          <w:p>
            <w:pPr>
              <w:pStyle w:val="null3"/>
              <w:ind w:firstLine="402"/>
              <w:jc w:val="both"/>
            </w:pPr>
            <w:r>
              <w:rPr>
                <w:rFonts w:ascii="仿宋_GB2312" w:hAnsi="仿宋_GB2312" w:cs="仿宋_GB2312" w:eastAsia="仿宋_GB2312"/>
                <w:b/>
              </w:rPr>
              <w:t>2.2实验室危险废物处置及固体垃圾清运</w:t>
            </w:r>
          </w:p>
          <w:p>
            <w:pPr>
              <w:pStyle w:val="null3"/>
              <w:ind w:firstLine="402"/>
              <w:jc w:val="both"/>
            </w:pPr>
            <w:r>
              <w:rPr>
                <w:rFonts w:ascii="仿宋_GB2312" w:hAnsi="仿宋_GB2312" w:cs="仿宋_GB2312" w:eastAsia="仿宋_GB2312"/>
                <w:b/>
              </w:rPr>
              <w:t>服务内容:</w:t>
            </w:r>
          </w:p>
          <w:p>
            <w:pPr>
              <w:pStyle w:val="null3"/>
              <w:ind w:firstLine="400"/>
              <w:jc w:val="both"/>
            </w:pPr>
            <w:r>
              <w:rPr>
                <w:rFonts w:ascii="仿宋_GB2312" w:hAnsi="仿宋_GB2312" w:cs="仿宋_GB2312" w:eastAsia="仿宋_GB2312"/>
              </w:rPr>
              <w:t>为确保实验室危险废物与固体垃圾处置清运依法合规，减少环保与安全风险，保障实验环境整洁有序，采购下述清运服务：</w:t>
            </w:r>
          </w:p>
          <w:p>
            <w:pPr>
              <w:pStyle w:val="null3"/>
              <w:ind w:firstLine="400"/>
              <w:jc w:val="both"/>
            </w:pPr>
            <w:r>
              <w:rPr>
                <w:rFonts w:ascii="仿宋_GB2312" w:hAnsi="仿宋_GB2312" w:cs="仿宋_GB2312" w:eastAsia="仿宋_GB2312"/>
              </w:rPr>
              <w:t>（1）实验室危险废物包括废液、过期试剂、试剂包装沾染物、仪器拆除废灯管（含汞）等品类的合法处置。</w:t>
            </w:r>
          </w:p>
          <w:p>
            <w:pPr>
              <w:pStyle w:val="null3"/>
              <w:ind w:firstLine="400"/>
              <w:jc w:val="both"/>
            </w:pPr>
            <w:r>
              <w:rPr>
                <w:rFonts w:ascii="仿宋_GB2312" w:hAnsi="仿宋_GB2312" w:cs="仿宋_GB2312" w:eastAsia="仿宋_GB2312"/>
              </w:rPr>
              <w:t>（2）负责将排水监测实验产生的固体垃圾（非危险废物）以及实验收集的其他垃圾分类收集于站内垃圾存放点，定期或根据需要及时清理打包、按时清运，并维护保持垃圾存放点的卫生整洁。</w:t>
            </w:r>
          </w:p>
          <w:p>
            <w:pPr>
              <w:pStyle w:val="null3"/>
              <w:ind w:firstLine="402"/>
              <w:jc w:val="both"/>
            </w:pPr>
            <w:r>
              <w:rPr>
                <w:rFonts w:ascii="仿宋_GB2312" w:hAnsi="仿宋_GB2312" w:cs="仿宋_GB2312" w:eastAsia="仿宋_GB2312"/>
                <w:b/>
              </w:rPr>
              <w:t>技术要求：</w:t>
            </w:r>
          </w:p>
          <w:p>
            <w:pPr>
              <w:pStyle w:val="null3"/>
              <w:ind w:firstLine="400"/>
              <w:jc w:val="both"/>
            </w:pPr>
            <w:r>
              <w:rPr>
                <w:rFonts w:ascii="仿宋_GB2312" w:hAnsi="仿宋_GB2312" w:cs="仿宋_GB2312" w:eastAsia="仿宋_GB2312"/>
              </w:rPr>
              <w:t>实验室危险废物处置服务：</w:t>
            </w:r>
          </w:p>
          <w:p>
            <w:pPr>
              <w:pStyle w:val="null3"/>
              <w:ind w:firstLine="400"/>
              <w:jc w:val="both"/>
            </w:pPr>
            <w:r>
              <w:rPr>
                <w:rFonts w:ascii="仿宋_GB2312" w:hAnsi="仿宋_GB2312" w:cs="仿宋_GB2312" w:eastAsia="仿宋_GB2312"/>
              </w:rPr>
              <w:t>（1）供应商提供的实验室危险废物处置服务行为应完全符合《中华人民共和国固体废物污染环境防治法》、“陕西固体废物综合管理系统”要求。</w:t>
            </w:r>
          </w:p>
          <w:p>
            <w:pPr>
              <w:pStyle w:val="null3"/>
              <w:ind w:firstLine="201"/>
              <w:jc w:val="both"/>
            </w:pPr>
            <w:r>
              <w:rPr>
                <w:rFonts w:ascii="仿宋_GB2312" w:hAnsi="仿宋_GB2312" w:cs="仿宋_GB2312" w:eastAsia="仿宋_GB2312"/>
                <w:b/>
              </w:rPr>
              <w:t>▲（2）实验室危险废物处置单位应具有危险废物运输公司车辆派遣资质并严格按照相关法规进行转运及处置；其处置范围中应至少包含900-047-49、900-999-49、900-023-29危险代码资质。</w:t>
            </w:r>
          </w:p>
          <w:p>
            <w:pPr>
              <w:pStyle w:val="null3"/>
              <w:ind w:firstLine="400"/>
              <w:jc w:val="both"/>
            </w:pPr>
            <w:r>
              <w:rPr>
                <w:rFonts w:ascii="仿宋_GB2312" w:hAnsi="仿宋_GB2312" w:cs="仿宋_GB2312" w:eastAsia="仿宋_GB2312"/>
              </w:rPr>
              <w:t>（3）供应商提供的处置单位应在服务期内对处置资质具备持续保持的能力。</w:t>
            </w:r>
          </w:p>
          <w:p>
            <w:pPr>
              <w:pStyle w:val="null3"/>
              <w:ind w:firstLine="400"/>
              <w:jc w:val="both"/>
            </w:pPr>
            <w:r>
              <w:rPr>
                <w:rFonts w:ascii="仿宋_GB2312" w:hAnsi="仿宋_GB2312" w:cs="仿宋_GB2312" w:eastAsia="仿宋_GB2312"/>
              </w:rPr>
              <w:t>实验室固体垃圾清运服务：</w:t>
            </w:r>
          </w:p>
          <w:p>
            <w:pPr>
              <w:pStyle w:val="null3"/>
              <w:ind w:firstLine="400"/>
              <w:jc w:val="both"/>
            </w:pPr>
            <w:r>
              <w:rPr>
                <w:rFonts w:ascii="仿宋_GB2312" w:hAnsi="仿宋_GB2312" w:cs="仿宋_GB2312" w:eastAsia="仿宋_GB2312"/>
              </w:rPr>
              <w:t>（1）供应商须按照“分类清运、及时清运、就近高效、环保安全”原则开展清运服务。</w:t>
            </w:r>
          </w:p>
          <w:p>
            <w:pPr>
              <w:pStyle w:val="null3"/>
              <w:ind w:firstLine="400"/>
              <w:jc w:val="both"/>
            </w:pPr>
            <w:r>
              <w:rPr>
                <w:rFonts w:ascii="仿宋_GB2312" w:hAnsi="仿宋_GB2312" w:cs="仿宋_GB2312" w:eastAsia="仿宋_GB2312"/>
              </w:rPr>
              <w:t>（2）清运服务须依法合规，严格按照国家和地方要求开展。</w:t>
            </w:r>
          </w:p>
          <w:p>
            <w:pPr>
              <w:pStyle w:val="null3"/>
              <w:ind w:firstLine="402"/>
              <w:jc w:val="both"/>
            </w:pPr>
            <w:r>
              <w:rPr>
                <w:rFonts w:ascii="仿宋_GB2312" w:hAnsi="仿宋_GB2312" w:cs="仿宋_GB2312" w:eastAsia="仿宋_GB2312"/>
                <w:b/>
              </w:rPr>
              <w:t>服务要求：</w:t>
            </w:r>
          </w:p>
          <w:p>
            <w:pPr>
              <w:pStyle w:val="null3"/>
              <w:ind w:firstLine="400"/>
              <w:jc w:val="both"/>
            </w:pPr>
            <w:r>
              <w:rPr>
                <w:rFonts w:ascii="仿宋_GB2312" w:hAnsi="仿宋_GB2312" w:cs="仿宋_GB2312" w:eastAsia="仿宋_GB2312"/>
              </w:rPr>
              <w:t>（1）实验室危险废物处置服务应包含废渣、废液从实验楼至运输车辆搬运的人工。</w:t>
            </w:r>
          </w:p>
          <w:p>
            <w:pPr>
              <w:pStyle w:val="null3"/>
              <w:ind w:firstLine="400"/>
              <w:jc w:val="both"/>
            </w:pPr>
            <w:r>
              <w:rPr>
                <w:rFonts w:ascii="仿宋_GB2312" w:hAnsi="仿宋_GB2312" w:cs="仿宋_GB2312" w:eastAsia="仿宋_GB2312"/>
              </w:rPr>
              <w:t>（2）实验室危险废物离开站后，完全由供应商负责。供应商应严格监管处置服务按照相关法规进行。</w:t>
            </w:r>
          </w:p>
          <w:p>
            <w:pPr>
              <w:pStyle w:val="null3"/>
              <w:ind w:firstLine="400"/>
              <w:jc w:val="both"/>
            </w:pPr>
            <w:r>
              <w:rPr>
                <w:rFonts w:ascii="仿宋_GB2312" w:hAnsi="仿宋_GB2312" w:cs="仿宋_GB2312" w:eastAsia="仿宋_GB2312"/>
              </w:rPr>
              <w:t>（3）实验室废物交接完成后，采购人与供应商提供的处置单位核对数量、名目后在“陕西固体废物综合管理系统”中办理交接；</w:t>
            </w:r>
          </w:p>
          <w:p>
            <w:pPr>
              <w:pStyle w:val="null3"/>
              <w:ind w:firstLine="400"/>
              <w:jc w:val="both"/>
            </w:pPr>
            <w:r>
              <w:rPr>
                <w:rFonts w:ascii="仿宋_GB2312" w:hAnsi="仿宋_GB2312" w:cs="仿宋_GB2312" w:eastAsia="仿宋_GB2312"/>
              </w:rPr>
              <w:t>（4）处置服务完成后，应将处置联单盖章，15个工作日内寄于采购人签收。</w:t>
            </w:r>
          </w:p>
          <w:p>
            <w:pPr>
              <w:pStyle w:val="null3"/>
              <w:ind w:firstLine="400"/>
              <w:jc w:val="both"/>
            </w:pPr>
            <w:r>
              <w:rPr>
                <w:rFonts w:ascii="仿宋_GB2312" w:hAnsi="仿宋_GB2312" w:cs="仿宋_GB2312" w:eastAsia="仿宋_GB2312"/>
              </w:rPr>
              <w:t>（5）供应商及其提供的处置单位应对服务技术质量及运输安全负责，在危险废物运输中对运输中的安全负完全责任。</w:t>
            </w:r>
          </w:p>
          <w:p>
            <w:pPr>
              <w:pStyle w:val="null3"/>
              <w:ind w:firstLine="402"/>
              <w:jc w:val="both"/>
            </w:pPr>
            <w:r>
              <w:rPr>
                <w:rFonts w:ascii="仿宋_GB2312" w:hAnsi="仿宋_GB2312" w:cs="仿宋_GB2312" w:eastAsia="仿宋_GB2312"/>
                <w:b/>
              </w:rPr>
              <w:t>2.3实验室设施维修</w:t>
            </w:r>
          </w:p>
          <w:p>
            <w:pPr>
              <w:pStyle w:val="null3"/>
              <w:ind w:firstLine="402"/>
              <w:jc w:val="both"/>
            </w:pPr>
            <w:r>
              <w:rPr>
                <w:rFonts w:ascii="仿宋_GB2312" w:hAnsi="仿宋_GB2312" w:cs="仿宋_GB2312" w:eastAsia="仿宋_GB2312"/>
                <w:b/>
              </w:rPr>
              <w:t>服务内容：</w:t>
            </w:r>
          </w:p>
          <w:p>
            <w:pPr>
              <w:pStyle w:val="null3"/>
              <w:ind w:firstLine="400"/>
              <w:jc w:val="both"/>
            </w:pPr>
            <w:r>
              <w:rPr>
                <w:rFonts w:ascii="仿宋_GB2312" w:hAnsi="仿宋_GB2312" w:cs="仿宋_GB2312" w:eastAsia="仿宋_GB2312"/>
              </w:rPr>
              <w:t>为满足检测分析的要求、减少安全隐患、降低对实验人员的身体伤害，需对实验室家具（如实验台、通风设备、试剂柜、器皿柜等）及实验室通风系统（如风管、风机、变频控制系统、风机减震系统等）等设施进行维修、保养，具体服务内容如下：</w:t>
            </w:r>
          </w:p>
          <w:p>
            <w:pPr>
              <w:pStyle w:val="null3"/>
              <w:ind w:firstLine="400"/>
              <w:jc w:val="both"/>
            </w:pPr>
            <w:r>
              <w:rPr>
                <w:rFonts w:ascii="仿宋_GB2312" w:hAnsi="仿宋_GB2312" w:cs="仿宋_GB2312" w:eastAsia="仿宋_GB2312"/>
              </w:rPr>
              <w:t>（1）对25间实验室（约600平）内所有实验家具进行2次/年的定期保养，发生故障时及时修复，确保家具能正常使用，满足检测需求。</w:t>
            </w:r>
          </w:p>
          <w:p>
            <w:pPr>
              <w:pStyle w:val="null3"/>
              <w:ind w:firstLine="400"/>
              <w:jc w:val="both"/>
            </w:pPr>
            <w:r>
              <w:rPr>
                <w:rFonts w:ascii="仿宋_GB2312" w:hAnsi="仿宋_GB2312" w:cs="仿宋_GB2312" w:eastAsia="仿宋_GB2312"/>
              </w:rPr>
              <w:t>（2）对33处实验室通风系统维护3次/年的定期保养，发生故障时及时修复，确保通风系统正常，满足环境设施要求。</w:t>
            </w:r>
          </w:p>
          <w:p>
            <w:pPr>
              <w:pStyle w:val="null3"/>
              <w:ind w:firstLine="400"/>
              <w:jc w:val="both"/>
            </w:pPr>
            <w:r>
              <w:rPr>
                <w:rFonts w:ascii="仿宋_GB2312" w:hAnsi="仿宋_GB2312" w:cs="仿宋_GB2312" w:eastAsia="仿宋_GB2312"/>
              </w:rPr>
              <w:t>（3）针对实验室应急类设施维修（无次数限制），确保工程师能随时响应，确保设施正常运转。</w:t>
            </w:r>
          </w:p>
          <w:p>
            <w:pPr>
              <w:pStyle w:val="null3"/>
              <w:ind w:firstLine="402"/>
              <w:jc w:val="both"/>
            </w:pPr>
            <w:r>
              <w:rPr>
                <w:rFonts w:ascii="仿宋_GB2312" w:hAnsi="仿宋_GB2312" w:cs="仿宋_GB2312" w:eastAsia="仿宋_GB2312"/>
                <w:b/>
              </w:rPr>
              <w:t>技术要求：</w:t>
            </w:r>
          </w:p>
          <w:p>
            <w:pPr>
              <w:pStyle w:val="null3"/>
              <w:ind w:firstLine="400"/>
              <w:jc w:val="both"/>
            </w:pPr>
            <w:r>
              <w:rPr>
                <w:rFonts w:ascii="仿宋_GB2312" w:hAnsi="仿宋_GB2312" w:cs="仿宋_GB2312" w:eastAsia="仿宋_GB2312"/>
              </w:rPr>
              <w:t>对实验室设施进行的维修，必须符合与其相关的、现行的国家标准或规范，如无国家标准或规范，应遵循行业或厂家标准。</w:t>
            </w:r>
          </w:p>
          <w:p>
            <w:pPr>
              <w:pStyle w:val="null3"/>
              <w:ind w:firstLine="402"/>
              <w:jc w:val="both"/>
            </w:pPr>
            <w:r>
              <w:rPr>
                <w:rFonts w:ascii="仿宋_GB2312" w:hAnsi="仿宋_GB2312" w:cs="仿宋_GB2312" w:eastAsia="仿宋_GB2312"/>
                <w:b/>
              </w:rPr>
              <w:t>服务要求：</w:t>
            </w:r>
          </w:p>
          <w:p>
            <w:pPr>
              <w:pStyle w:val="null3"/>
              <w:ind w:firstLine="400"/>
              <w:jc w:val="both"/>
            </w:pPr>
            <w:r>
              <w:rPr>
                <w:rFonts w:ascii="仿宋_GB2312" w:hAnsi="仿宋_GB2312" w:cs="仿宋_GB2312" w:eastAsia="仿宋_GB2312"/>
              </w:rPr>
              <w:t>（1）维保技术人员应具备相应的资质或有丰富的维护、维修经验。</w:t>
            </w:r>
          </w:p>
          <w:p>
            <w:pPr>
              <w:pStyle w:val="null3"/>
              <w:ind w:firstLine="400"/>
              <w:jc w:val="both"/>
            </w:pPr>
            <w:r>
              <w:rPr>
                <w:rFonts w:ascii="仿宋_GB2312" w:hAnsi="仿宋_GB2312" w:cs="仿宋_GB2312" w:eastAsia="仿宋_GB2312"/>
              </w:rPr>
              <w:t>（2）维修实验室所有设施，应检查其主要性能参数是否能达到相关技术指标。如需要更换应保证质量，关键零部件的质量标准不低于厂家的标准。</w:t>
            </w:r>
          </w:p>
          <w:p>
            <w:pPr>
              <w:pStyle w:val="null3"/>
              <w:ind w:firstLine="400"/>
              <w:jc w:val="both"/>
            </w:pPr>
            <w:r>
              <w:rPr>
                <w:rFonts w:ascii="仿宋_GB2312" w:hAnsi="仿宋_GB2312" w:cs="仿宋_GB2312" w:eastAsia="仿宋_GB2312"/>
              </w:rPr>
              <w:t>（3）维护实验室所有设施，应以不影响实验室检测工作为前提，如有噪声、震动、灰尘等应采取相应的措施。</w:t>
            </w:r>
          </w:p>
          <w:p>
            <w:pPr>
              <w:pStyle w:val="null3"/>
              <w:ind w:firstLine="400"/>
              <w:jc w:val="both"/>
            </w:pPr>
            <w:r>
              <w:rPr>
                <w:rFonts w:ascii="仿宋_GB2312" w:hAnsi="仿宋_GB2312" w:cs="仿宋_GB2312" w:eastAsia="仿宋_GB2312"/>
              </w:rPr>
              <w:t>（4）应急类设施维修应在需方提出维修需求后2小时内派遣有资质的技术人员前往，在24小时内妥善处置解决。</w:t>
            </w:r>
          </w:p>
          <w:p>
            <w:pPr>
              <w:pStyle w:val="null3"/>
              <w:ind w:firstLine="402"/>
              <w:jc w:val="both"/>
            </w:pPr>
            <w:r>
              <w:rPr>
                <w:rFonts w:ascii="仿宋_GB2312" w:hAnsi="仿宋_GB2312" w:cs="仿宋_GB2312" w:eastAsia="仿宋_GB2312"/>
                <w:b/>
              </w:rPr>
              <w:t>2.4实验室水电检修维护</w:t>
            </w:r>
          </w:p>
          <w:p>
            <w:pPr>
              <w:pStyle w:val="null3"/>
              <w:ind w:firstLine="402"/>
              <w:jc w:val="both"/>
            </w:pPr>
            <w:r>
              <w:rPr>
                <w:rFonts w:ascii="仿宋_GB2312" w:hAnsi="仿宋_GB2312" w:cs="仿宋_GB2312" w:eastAsia="仿宋_GB2312"/>
                <w:b/>
              </w:rPr>
              <w:t>服务内容：</w:t>
            </w:r>
          </w:p>
          <w:p>
            <w:pPr>
              <w:pStyle w:val="null3"/>
              <w:ind w:firstLine="400"/>
              <w:jc w:val="both"/>
            </w:pPr>
            <w:r>
              <w:rPr>
                <w:rFonts w:ascii="仿宋_GB2312" w:hAnsi="仿宋_GB2312" w:cs="仿宋_GB2312" w:eastAsia="仿宋_GB2312"/>
              </w:rPr>
              <w:t>按照《测量、控制和实验室用电气设备的安全要求》（GB 4793系列）、《分析实验室用水规格和试验方法》（GB/T 6682-2008）、《建筑给水排水与节水通用规范》（GB 55020-2021）等，以及《电力设备预防性试验规程》（DL/T 596-2021）标准中的要求，完成实验室水电和外部变压器的巡查和维护等工作。所需种类和数量见下表：</w:t>
            </w:r>
          </w:p>
          <w:tbl>
            <w:tblPr>
              <w:tblInd w:type="dxa" w:w="120"/>
              <w:tblBorders>
                <w:top w:val="none" w:color="000000" w:sz="4"/>
                <w:left w:val="none" w:color="000000" w:sz="4"/>
                <w:bottom w:val="none" w:color="000000" w:sz="4"/>
                <w:right w:val="none" w:color="000000" w:sz="4"/>
                <w:insideH w:val="none"/>
                <w:insideV w:val="none"/>
              </w:tblBorders>
            </w:tblPr>
            <w:tblGrid>
              <w:gridCol w:w="257"/>
              <w:gridCol w:w="857"/>
              <w:gridCol w:w="1426"/>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8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种类</w:t>
                  </w:r>
                </w:p>
              </w:tc>
              <w:tc>
                <w:tcPr>
                  <w:tcW w:type="dxa" w:w="1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实验室</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25间</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变压器</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1台（500kVA）</w:t>
                  </w:r>
                </w:p>
              </w:tc>
            </w:tr>
          </w:tbl>
          <w:p>
            <w:pPr>
              <w:pStyle w:val="null3"/>
              <w:ind w:firstLine="402"/>
              <w:jc w:val="both"/>
            </w:pPr>
            <w:r>
              <w:rPr>
                <w:rFonts w:ascii="仿宋_GB2312" w:hAnsi="仿宋_GB2312" w:cs="仿宋_GB2312" w:eastAsia="仿宋_GB2312"/>
                <w:b/>
              </w:rPr>
              <w:t>技术要求：</w:t>
            </w:r>
          </w:p>
          <w:p>
            <w:pPr>
              <w:pStyle w:val="null3"/>
              <w:ind w:firstLine="400"/>
              <w:jc w:val="both"/>
            </w:pPr>
            <w:r>
              <w:rPr>
                <w:rFonts w:ascii="仿宋_GB2312" w:hAnsi="仿宋_GB2312" w:cs="仿宋_GB2312" w:eastAsia="仿宋_GB2312"/>
              </w:rPr>
              <w:t>（1）《测量、控制和实验室用电气设备的安全要求》（GB 4793）；</w:t>
            </w:r>
          </w:p>
          <w:p>
            <w:pPr>
              <w:pStyle w:val="null3"/>
              <w:ind w:firstLine="400"/>
              <w:jc w:val="both"/>
            </w:pPr>
            <w:r>
              <w:rPr>
                <w:rFonts w:ascii="仿宋_GB2312" w:hAnsi="仿宋_GB2312" w:cs="仿宋_GB2312" w:eastAsia="仿宋_GB2312"/>
              </w:rPr>
              <w:t>（2）《分析实验室用水规格和试验方法》（GB/T 6682-2008）；</w:t>
            </w:r>
          </w:p>
          <w:p>
            <w:pPr>
              <w:pStyle w:val="null3"/>
              <w:ind w:firstLine="400"/>
              <w:jc w:val="both"/>
            </w:pPr>
            <w:r>
              <w:rPr>
                <w:rFonts w:ascii="仿宋_GB2312" w:hAnsi="仿宋_GB2312" w:cs="仿宋_GB2312" w:eastAsia="仿宋_GB2312"/>
              </w:rPr>
              <w:t>（3）《建筑给水排水与节水通用规范》（GB 55020-2021）；</w:t>
            </w:r>
          </w:p>
          <w:p>
            <w:pPr>
              <w:pStyle w:val="null3"/>
              <w:ind w:firstLine="400"/>
              <w:jc w:val="both"/>
            </w:pPr>
            <w:r>
              <w:rPr>
                <w:rFonts w:ascii="仿宋_GB2312" w:hAnsi="仿宋_GB2312" w:cs="仿宋_GB2312" w:eastAsia="仿宋_GB2312"/>
              </w:rPr>
              <w:t>（4）《电力设备预防性试验规程》（DL/T 596-2021）；</w:t>
            </w:r>
          </w:p>
          <w:p>
            <w:pPr>
              <w:pStyle w:val="null3"/>
              <w:ind w:firstLine="400"/>
              <w:jc w:val="both"/>
            </w:pPr>
            <w:r>
              <w:rPr>
                <w:rFonts w:ascii="仿宋_GB2312" w:hAnsi="仿宋_GB2312" w:cs="仿宋_GB2312" w:eastAsia="仿宋_GB2312"/>
              </w:rPr>
              <w:t>（5）《电力变压器运行规程》（DL/T 572-2021）；</w:t>
            </w:r>
          </w:p>
          <w:p>
            <w:pPr>
              <w:pStyle w:val="null3"/>
              <w:ind w:firstLine="400"/>
              <w:jc w:val="both"/>
            </w:pPr>
            <w:r>
              <w:rPr>
                <w:rFonts w:ascii="仿宋_GB2312" w:hAnsi="仿宋_GB2312" w:cs="仿宋_GB2312" w:eastAsia="仿宋_GB2312"/>
              </w:rPr>
              <w:t>（6）隔离变压器安全要求（GB/T 19212.5-2025）；</w:t>
            </w:r>
          </w:p>
          <w:p>
            <w:pPr>
              <w:pStyle w:val="null3"/>
              <w:ind w:firstLine="400"/>
              <w:jc w:val="both"/>
            </w:pPr>
            <w:r>
              <w:rPr>
                <w:rFonts w:ascii="仿宋_GB2312" w:hAnsi="仿宋_GB2312" w:cs="仿宋_GB2312" w:eastAsia="仿宋_GB2312"/>
              </w:rPr>
              <w:t>（7）《变压器保护装置通用技术要求》（GB/T 14598.300-2017）;</w:t>
            </w:r>
          </w:p>
          <w:p>
            <w:pPr>
              <w:pStyle w:val="null3"/>
              <w:ind w:firstLine="200"/>
              <w:jc w:val="both"/>
            </w:pPr>
            <w:r>
              <w:rPr>
                <w:rFonts w:ascii="仿宋_GB2312" w:hAnsi="仿宋_GB2312" w:cs="仿宋_GB2312" w:eastAsia="仿宋_GB2312"/>
              </w:rPr>
              <w:t>▲</w:t>
            </w:r>
            <w:r>
              <w:rPr>
                <w:rFonts w:ascii="仿宋_GB2312" w:hAnsi="仿宋_GB2312" w:cs="仿宋_GB2312" w:eastAsia="仿宋_GB2312"/>
                <w:b/>
              </w:rPr>
              <w:t>（8）涉电检修人员应具备《电工证》。</w:t>
            </w:r>
          </w:p>
          <w:p>
            <w:pPr>
              <w:pStyle w:val="null3"/>
              <w:ind w:firstLine="402"/>
              <w:jc w:val="both"/>
            </w:pPr>
            <w:r>
              <w:rPr>
                <w:rFonts w:ascii="仿宋_GB2312" w:hAnsi="仿宋_GB2312" w:cs="仿宋_GB2312" w:eastAsia="仿宋_GB2312"/>
                <w:b/>
              </w:rPr>
              <w:t>服务要求：</w:t>
            </w:r>
          </w:p>
          <w:p>
            <w:pPr>
              <w:pStyle w:val="null3"/>
              <w:ind w:firstLine="400"/>
              <w:jc w:val="both"/>
            </w:pPr>
            <w:r>
              <w:rPr>
                <w:rFonts w:ascii="仿宋_GB2312" w:hAnsi="仿宋_GB2312" w:cs="仿宋_GB2312" w:eastAsia="仿宋_GB2312"/>
              </w:rPr>
              <w:t>（1）每季度对实验室水电运行情况进行巡查，并做好相应的登记表。</w:t>
            </w:r>
          </w:p>
          <w:p>
            <w:pPr>
              <w:pStyle w:val="null3"/>
              <w:ind w:firstLine="400"/>
              <w:jc w:val="both"/>
            </w:pPr>
            <w:r>
              <w:rPr>
                <w:rFonts w:ascii="仿宋_GB2312" w:hAnsi="仿宋_GB2312" w:cs="仿宋_GB2312" w:eastAsia="仿宋_GB2312"/>
              </w:rPr>
              <w:t>（2）供水巡查内容</w:t>
            </w:r>
          </w:p>
          <w:p>
            <w:pPr>
              <w:pStyle w:val="null3"/>
              <w:ind w:firstLine="400"/>
              <w:jc w:val="both"/>
            </w:pPr>
            <w:r>
              <w:rPr>
                <w:rFonts w:ascii="仿宋_GB2312" w:hAnsi="仿宋_GB2312" w:cs="仿宋_GB2312" w:eastAsia="仿宋_GB2312"/>
              </w:rPr>
              <w:t>①管道完整性：检查所有供水管路（包括自来水、纯水、循环水管道）有无渗漏、锈蚀、结垢现象，重点关注接头、弯头、阀门接口等易漏部位。</w:t>
            </w:r>
          </w:p>
          <w:p>
            <w:pPr>
              <w:pStyle w:val="null3"/>
              <w:ind w:firstLine="400"/>
              <w:jc w:val="both"/>
            </w:pPr>
            <w:r>
              <w:rPr>
                <w:rFonts w:ascii="仿宋_GB2312" w:hAnsi="仿宋_GB2312" w:cs="仿宋_GB2312" w:eastAsia="仿宋_GB2312"/>
              </w:rPr>
              <w:t>②查看管道支架是否牢固，有无松动、脱落或变形，避免管道因受力不均导致破裂。</w:t>
            </w:r>
          </w:p>
          <w:p>
            <w:pPr>
              <w:pStyle w:val="null3"/>
              <w:ind w:firstLine="400"/>
              <w:jc w:val="both"/>
            </w:pPr>
            <w:r>
              <w:rPr>
                <w:rFonts w:ascii="仿宋_GB2312" w:hAnsi="仿宋_GB2312" w:cs="仿宋_GB2312" w:eastAsia="仿宋_GB2312"/>
              </w:rPr>
              <w:t>③对长期未使用的阀门定期手动启闭，防止阀芯卡顿或生锈。</w:t>
            </w:r>
          </w:p>
          <w:p>
            <w:pPr>
              <w:pStyle w:val="null3"/>
              <w:ind w:firstLine="400"/>
              <w:jc w:val="both"/>
            </w:pPr>
            <w:r>
              <w:rPr>
                <w:rFonts w:ascii="仿宋_GB2312" w:hAnsi="仿宋_GB2312" w:cs="仿宋_GB2312" w:eastAsia="仿宋_GB2312"/>
              </w:rPr>
              <w:t>④检查实验台水龙头、洗眼器、紧急淋浴器等是否完好，出水是否顺畅，关闭后有无滴漏。</w:t>
            </w:r>
          </w:p>
          <w:p>
            <w:pPr>
              <w:pStyle w:val="null3"/>
              <w:ind w:firstLine="400"/>
              <w:jc w:val="both"/>
            </w:pPr>
            <w:r>
              <w:rPr>
                <w:rFonts w:ascii="仿宋_GB2312" w:hAnsi="仿宋_GB2312" w:cs="仿宋_GB2312" w:eastAsia="仿宋_GB2312"/>
              </w:rPr>
              <w:t>⑤纯水 / 超纯水设备，检查设备运行状态指示灯是否正常，水箱水位是否在合理范围</w:t>
            </w:r>
          </w:p>
          <w:p>
            <w:pPr>
              <w:pStyle w:val="null3"/>
              <w:ind w:firstLine="400"/>
              <w:jc w:val="both"/>
            </w:pPr>
            <w:r>
              <w:rPr>
                <w:rFonts w:ascii="仿宋_GB2312" w:hAnsi="仿宋_GB2312" w:cs="仿宋_GB2312" w:eastAsia="仿宋_GB2312"/>
              </w:rPr>
              <w:t>⑥查看滤芯使用状态，记录更换时间，确保水质达标（必要时进行水质检测）。</w:t>
            </w:r>
          </w:p>
          <w:p>
            <w:pPr>
              <w:pStyle w:val="null3"/>
              <w:ind w:firstLine="400"/>
              <w:jc w:val="both"/>
            </w:pPr>
            <w:r>
              <w:rPr>
                <w:rFonts w:ascii="仿宋_GB2312" w:hAnsi="仿宋_GB2312" w:cs="仿宋_GB2312" w:eastAsia="仿宋_GB2312"/>
              </w:rPr>
              <w:t>⑦检查水槽、地漏排水是否通畅，有无堵塞、积水现象。</w:t>
            </w:r>
          </w:p>
          <w:p>
            <w:pPr>
              <w:pStyle w:val="null3"/>
              <w:ind w:firstLine="400"/>
              <w:jc w:val="both"/>
            </w:pPr>
            <w:r>
              <w:rPr>
                <w:rFonts w:ascii="仿宋_GB2312" w:hAnsi="仿宋_GB2312" w:cs="仿宋_GB2312" w:eastAsia="仿宋_GB2312"/>
              </w:rPr>
              <w:t>⑧对于含化学废液的排水管道，检查是否有腐蚀痕迹，避免泄漏污染。</w:t>
            </w:r>
          </w:p>
          <w:p>
            <w:pPr>
              <w:pStyle w:val="null3"/>
              <w:ind w:firstLine="400"/>
              <w:jc w:val="both"/>
            </w:pPr>
            <w:r>
              <w:rPr>
                <w:rFonts w:ascii="仿宋_GB2312" w:hAnsi="仿宋_GB2312" w:cs="仿宋_GB2312" w:eastAsia="仿宋_GB2312"/>
              </w:rPr>
              <w:t>（3）供电系统巡查检修内容</w:t>
            </w:r>
          </w:p>
          <w:p>
            <w:pPr>
              <w:pStyle w:val="null3"/>
              <w:ind w:firstLine="400"/>
              <w:jc w:val="both"/>
            </w:pPr>
            <w:r>
              <w:rPr>
                <w:rFonts w:ascii="仿宋_GB2312" w:hAnsi="仿宋_GB2312" w:cs="仿宋_GB2312" w:eastAsia="仿宋_GB2312"/>
              </w:rPr>
              <w:t>①检查配电箱外观是否完好，门锁是否正常，内部有无灰尘、杂物或受潮现象。</w:t>
            </w:r>
          </w:p>
          <w:p>
            <w:pPr>
              <w:pStyle w:val="null3"/>
              <w:ind w:firstLine="400"/>
              <w:jc w:val="both"/>
            </w:pPr>
            <w:r>
              <w:rPr>
                <w:rFonts w:ascii="仿宋_GB2312" w:hAnsi="仿宋_GB2312" w:cs="仿宋_GB2312" w:eastAsia="仿宋_GB2312"/>
              </w:rPr>
              <w:t>②查看断路器、空气开关、漏电保护器等元件状态，标识是否清晰（注明对应区域或设备）。</w:t>
            </w:r>
          </w:p>
          <w:p>
            <w:pPr>
              <w:pStyle w:val="null3"/>
              <w:ind w:firstLine="400"/>
              <w:jc w:val="both"/>
            </w:pPr>
            <w:r>
              <w:rPr>
                <w:rFonts w:ascii="仿宋_GB2312" w:hAnsi="仿宋_GB2312" w:cs="仿宋_GB2312" w:eastAsia="仿宋_GB2312"/>
              </w:rPr>
              <w:t>③测试漏电保护器的跳闸功能（每月至少一次），确保动作灵敏可靠（跳闸时间≤0.1 秒）。</w:t>
            </w:r>
          </w:p>
          <w:p>
            <w:pPr>
              <w:pStyle w:val="null3"/>
              <w:ind w:firstLine="400"/>
              <w:jc w:val="both"/>
            </w:pPr>
            <w:r>
              <w:rPr>
                <w:rFonts w:ascii="仿宋_GB2312" w:hAnsi="仿宋_GB2312" w:cs="仿宋_GB2312" w:eastAsia="仿宋_GB2312"/>
              </w:rPr>
              <w:t>④检查接线端子是否牢固，有无松动、烧蚀或过热痕迹（可用红外测温仪检测温度）。</w:t>
            </w:r>
          </w:p>
          <w:p>
            <w:pPr>
              <w:pStyle w:val="null3"/>
              <w:ind w:firstLine="400"/>
              <w:jc w:val="both"/>
            </w:pPr>
            <w:r>
              <w:rPr>
                <w:rFonts w:ascii="仿宋_GB2312" w:hAnsi="仿宋_GB2312" w:cs="仿宋_GB2312" w:eastAsia="仿宋_GB2312"/>
              </w:rPr>
              <w:t>⑤检查供电电缆、桥架、穿线管是否完好，有无破损、老化、挤压或拖地现象。</w:t>
            </w:r>
          </w:p>
          <w:p>
            <w:pPr>
              <w:pStyle w:val="null3"/>
              <w:ind w:firstLine="400"/>
              <w:jc w:val="both"/>
            </w:pPr>
            <w:r>
              <w:rPr>
                <w:rFonts w:ascii="仿宋_GB2312" w:hAnsi="仿宋_GB2312" w:cs="仿宋_GB2312" w:eastAsia="仿宋_GB2312"/>
              </w:rPr>
              <w:t>⑥检查实验设备电源指示灯是否正常，开机后有无异常噪音、火花或异味。</w:t>
            </w:r>
          </w:p>
          <w:p>
            <w:pPr>
              <w:pStyle w:val="null3"/>
              <w:ind w:firstLine="400"/>
              <w:jc w:val="both"/>
            </w:pPr>
            <w:r>
              <w:rPr>
                <w:rFonts w:ascii="仿宋_GB2312" w:hAnsi="仿宋_GB2312" w:cs="仿宋_GB2312" w:eastAsia="仿宋_GB2312"/>
              </w:rPr>
              <w:t>⑦重点关注高功率设备（如烘箱、离心机、电磁炉）的电源线是否完好，插头插座是否匹配，有无过热变形。</w:t>
            </w:r>
          </w:p>
          <w:p>
            <w:pPr>
              <w:pStyle w:val="null3"/>
              <w:ind w:firstLine="400"/>
              <w:jc w:val="both"/>
            </w:pPr>
            <w:r>
              <w:rPr>
                <w:rFonts w:ascii="仿宋_GB2312" w:hAnsi="仿宋_GB2312" w:cs="仿宋_GB2312" w:eastAsia="仿宋_GB2312"/>
              </w:rPr>
              <w:t>⑧检查墙面插座、多用插排是否牢固，插孔是否松动，有无烧焦痕迹或积灰。</w:t>
            </w:r>
          </w:p>
          <w:p>
            <w:pPr>
              <w:pStyle w:val="null3"/>
              <w:ind w:firstLine="400"/>
              <w:jc w:val="both"/>
            </w:pPr>
            <w:r>
              <w:rPr>
                <w:rFonts w:ascii="仿宋_GB2312" w:hAnsi="仿宋_GB2312" w:cs="仿宋_GB2312" w:eastAsia="仿宋_GB2312"/>
              </w:rPr>
              <w:t>⑨对于巡查过程中出现的问题，及时上报。经 采购人确定进行维修。</w:t>
            </w:r>
          </w:p>
          <w:p>
            <w:pPr>
              <w:pStyle w:val="null3"/>
              <w:ind w:firstLine="400"/>
              <w:jc w:val="both"/>
            </w:pPr>
            <w:r>
              <w:rPr>
                <w:rFonts w:ascii="仿宋_GB2312" w:hAnsi="仿宋_GB2312" w:cs="仿宋_GB2312" w:eastAsia="仿宋_GB2312"/>
              </w:rPr>
              <w:t>（4）实验室供电变压器检查维护</w:t>
            </w:r>
          </w:p>
          <w:p>
            <w:pPr>
              <w:pStyle w:val="null3"/>
              <w:ind w:firstLine="400"/>
              <w:jc w:val="both"/>
            </w:pPr>
            <w:r>
              <w:rPr>
                <w:rFonts w:ascii="仿宋_GB2312" w:hAnsi="仿宋_GB2312" w:cs="仿宋_GB2312" w:eastAsia="仿宋_GB2312"/>
              </w:rPr>
              <w:t>① 巡查内容：变压器单元、高压开关柜单元、互感器单元、继电保护及自动装置、辅助系统。</w:t>
            </w:r>
          </w:p>
          <w:p>
            <w:pPr>
              <w:pStyle w:val="null3"/>
              <w:ind w:firstLine="400"/>
              <w:jc w:val="both"/>
            </w:pPr>
            <w:r>
              <w:rPr>
                <w:rFonts w:ascii="仿宋_GB2312" w:hAnsi="仿宋_GB2312" w:cs="仿宋_GB2312" w:eastAsia="仿宋_GB2312"/>
              </w:rPr>
              <w:t>②巡查过程发现问题，对损坏配件进行更换，过期耗材进行更换。</w:t>
            </w:r>
          </w:p>
          <w:p>
            <w:pPr>
              <w:pStyle w:val="null3"/>
              <w:ind w:firstLine="402"/>
              <w:jc w:val="both"/>
            </w:pPr>
            <w:r>
              <w:rPr>
                <w:rFonts w:ascii="仿宋_GB2312" w:hAnsi="仿宋_GB2312" w:cs="仿宋_GB2312" w:eastAsia="仿宋_GB2312"/>
                <w:b/>
              </w:rPr>
              <w:t>2.5实验室检测环境保洁</w:t>
            </w:r>
          </w:p>
          <w:p>
            <w:pPr>
              <w:pStyle w:val="null3"/>
              <w:ind w:firstLine="402"/>
              <w:jc w:val="both"/>
            </w:pPr>
            <w:r>
              <w:rPr>
                <w:rFonts w:ascii="仿宋_GB2312" w:hAnsi="仿宋_GB2312" w:cs="仿宋_GB2312" w:eastAsia="仿宋_GB2312"/>
                <w:b/>
              </w:rPr>
              <w:t>服务内容：</w:t>
            </w:r>
            <w:r>
              <w:rPr>
                <w:rFonts w:ascii="仿宋_GB2312" w:hAnsi="仿宋_GB2312" w:cs="仿宋_GB2312" w:eastAsia="仿宋_GB2312"/>
              </w:rPr>
              <w:t>主要为实验区域的地面、天花板、楼梯、门窗、公共卫生间、应急处理室、各实验室内通风管道等区域。</w:t>
            </w:r>
          </w:p>
          <w:p>
            <w:pPr>
              <w:pStyle w:val="null3"/>
              <w:ind w:firstLine="402"/>
              <w:jc w:val="both"/>
            </w:pPr>
            <w:r>
              <w:rPr>
                <w:rFonts w:ascii="仿宋_GB2312" w:hAnsi="仿宋_GB2312" w:cs="仿宋_GB2312" w:eastAsia="仿宋_GB2312"/>
                <w:b/>
              </w:rPr>
              <w:t>技术要求：</w:t>
            </w:r>
          </w:p>
          <w:p>
            <w:pPr>
              <w:pStyle w:val="null3"/>
              <w:ind w:firstLine="400"/>
              <w:jc w:val="both"/>
            </w:pPr>
            <w:r>
              <w:rPr>
                <w:rFonts w:ascii="仿宋_GB2312" w:hAnsi="仿宋_GB2312" w:cs="仿宋_GB2312" w:eastAsia="仿宋_GB2312"/>
              </w:rPr>
              <w:t>（1）确保实验楼区域场所环境卫生整洁、地面无垃圾、无明显污渍。</w:t>
            </w:r>
          </w:p>
          <w:p>
            <w:pPr>
              <w:pStyle w:val="null3"/>
              <w:ind w:firstLine="400"/>
              <w:jc w:val="both"/>
            </w:pPr>
            <w:r>
              <w:rPr>
                <w:rFonts w:ascii="仿宋_GB2312" w:hAnsi="仿宋_GB2312" w:cs="仿宋_GB2312" w:eastAsia="仿宋_GB2312"/>
              </w:rPr>
              <w:t>（2）保洁频次：服务周期1年，日常保洁每月不少于4次，每季度对实验室进行一次全面深度清洁，包括天花板、墙角、通风管道等日常清洁难以触及的部位，另不定期对所有区域进行消毒；</w:t>
            </w:r>
          </w:p>
          <w:p>
            <w:pPr>
              <w:pStyle w:val="null3"/>
              <w:ind w:firstLine="400"/>
              <w:jc w:val="both"/>
            </w:pPr>
            <w:r>
              <w:rPr>
                <w:rFonts w:ascii="仿宋_GB2312" w:hAnsi="仿宋_GB2312" w:cs="仿宋_GB2312" w:eastAsia="仿宋_GB2312"/>
              </w:rPr>
              <w:t>（3）制定应急清洁预案，当实验室发生突发紧急情况，如水管爆裂等，保洁人员应迅速到场，协助实验室人员对受影响区域进行紧急清理和恢复工作，包括清除积水、清理杂物、对污染区域进行消毒等，尽快恢复实验室正常工作秩序。</w:t>
            </w:r>
          </w:p>
          <w:p>
            <w:pPr>
              <w:pStyle w:val="null3"/>
              <w:ind w:firstLine="402"/>
              <w:jc w:val="both"/>
            </w:pPr>
            <w:r>
              <w:rPr>
                <w:rFonts w:ascii="仿宋_GB2312" w:hAnsi="仿宋_GB2312" w:cs="仿宋_GB2312" w:eastAsia="仿宋_GB2312"/>
                <w:b/>
              </w:rPr>
              <w:t>服务要求：</w:t>
            </w:r>
          </w:p>
          <w:p>
            <w:pPr>
              <w:pStyle w:val="null3"/>
              <w:ind w:firstLine="400"/>
              <w:jc w:val="both"/>
            </w:pPr>
            <w:r>
              <w:rPr>
                <w:rFonts w:ascii="仿宋_GB2312" w:hAnsi="仿宋_GB2312" w:cs="仿宋_GB2312" w:eastAsia="仿宋_GB2312"/>
              </w:rPr>
              <w:t>（1）对实验室提出的日常清洁需求和问题，保洁人员应在4小时内响应并及时处理。对于紧急情况，应在接到通知后立即响应，并在最短时间内到达现场进行处理。</w:t>
            </w:r>
          </w:p>
          <w:p>
            <w:pPr>
              <w:pStyle w:val="null3"/>
              <w:ind w:firstLine="400"/>
              <w:jc w:val="both"/>
            </w:pPr>
            <w:r>
              <w:rPr>
                <w:rFonts w:ascii="仿宋_GB2312" w:hAnsi="仿宋_GB2312" w:cs="仿宋_GB2312" w:eastAsia="仿宋_GB2312"/>
              </w:rPr>
              <w:t>（2）在清洁玻璃门窗时，应注意安全，采取必要的防护措施，避免发生意外事故。</w:t>
            </w:r>
          </w:p>
          <w:p>
            <w:pPr>
              <w:pStyle w:val="null3"/>
              <w:ind w:firstLine="402"/>
              <w:jc w:val="both"/>
            </w:pPr>
            <w:r>
              <w:rPr>
                <w:rFonts w:ascii="仿宋_GB2312" w:hAnsi="仿宋_GB2312" w:cs="仿宋_GB2312" w:eastAsia="仿宋_GB2312"/>
                <w:b/>
              </w:rPr>
              <w:t>2.6实验室数据采集处理系统运维</w:t>
            </w:r>
          </w:p>
          <w:p>
            <w:pPr>
              <w:pStyle w:val="null3"/>
              <w:ind w:firstLine="402"/>
              <w:jc w:val="both"/>
            </w:pPr>
            <w:r>
              <w:rPr>
                <w:rFonts w:ascii="仿宋_GB2312" w:hAnsi="仿宋_GB2312" w:cs="仿宋_GB2312" w:eastAsia="仿宋_GB2312"/>
                <w:b/>
              </w:rPr>
              <w:t>服务内容：</w:t>
            </w:r>
          </w:p>
          <w:p>
            <w:pPr>
              <w:pStyle w:val="null3"/>
              <w:ind w:firstLine="400"/>
              <w:jc w:val="both"/>
            </w:pPr>
            <w:r>
              <w:rPr>
                <w:rFonts w:ascii="仿宋_GB2312" w:hAnsi="仿宋_GB2312" w:cs="仿宋_GB2312" w:eastAsia="仿宋_GB2312"/>
              </w:rPr>
              <w:t>为保障采购人实验室数据采集处理系统长期稳定、高效、安全运转，需要专业运维团队精准高效完成系统修复、数据维护及功能优化等工作，具体维护内容见下表：</w:t>
            </w:r>
          </w:p>
          <w:tbl>
            <w:tblPr>
              <w:tblBorders>
                <w:top w:val="none" w:color="000000" w:sz="4"/>
                <w:left w:val="none" w:color="000000" w:sz="4"/>
                <w:bottom w:val="none" w:color="000000" w:sz="4"/>
                <w:right w:val="none" w:color="000000" w:sz="4"/>
                <w:insideH w:val="none"/>
                <w:insideV w:val="none"/>
              </w:tblBorders>
            </w:tblPr>
            <w:tblGrid>
              <w:gridCol w:w="546"/>
              <w:gridCol w:w="1577"/>
              <w:gridCol w:w="423"/>
            </w:tblGrid>
            <w:tr>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维护</w:t>
                  </w:r>
                </w:p>
                <w:p>
                  <w:pPr>
                    <w:pStyle w:val="null3"/>
                    <w:jc w:val="center"/>
                  </w:pPr>
                  <w:r>
                    <w:rPr>
                      <w:rFonts w:ascii="仿宋_GB2312" w:hAnsi="仿宋_GB2312" w:cs="仿宋_GB2312" w:eastAsia="仿宋_GB2312"/>
                      <w:sz w:val="19"/>
                      <w:b/>
                    </w:rPr>
                    <w:t>项目</w:t>
                  </w:r>
                </w:p>
              </w:tc>
              <w:tc>
                <w:tcPr>
                  <w:tcW w:type="dxa" w:w="1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维护内容</w:t>
                  </w:r>
                </w:p>
              </w:tc>
              <w:tc>
                <w:tcPr>
                  <w:tcW w:type="dxa" w:w="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每周服务时间</w:t>
                  </w:r>
                </w:p>
                <w:p>
                  <w:pPr>
                    <w:pStyle w:val="null3"/>
                    <w:jc w:val="center"/>
                  </w:pPr>
                  <w:r>
                    <w:rPr>
                      <w:rFonts w:ascii="仿宋_GB2312" w:hAnsi="仿宋_GB2312" w:cs="仿宋_GB2312" w:eastAsia="仿宋_GB2312"/>
                      <w:sz w:val="19"/>
                      <w:b/>
                    </w:rPr>
                    <w:t>（天*小时）</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技术支持</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对系统的数据维护、操作问题、技术类咨询、系统各模块使用、流程咨询提供实时响应的技术咨询服务，协助解决问题。</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bug修复</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1、主流程bug处理，影响报告正常流转的问题。</w:t>
                  </w:r>
                </w:p>
                <w:p>
                  <w:pPr>
                    <w:pStyle w:val="null3"/>
                    <w:jc w:val="both"/>
                  </w:pPr>
                  <w:r>
                    <w:rPr>
                      <w:rFonts w:ascii="仿宋_GB2312" w:hAnsi="仿宋_GB2312" w:cs="仿宋_GB2312" w:eastAsia="仿宋_GB2312"/>
                      <w:sz w:val="19"/>
                    </w:rPr>
                    <w:t>2、功能性模块bug处理，功能需求变化导致的功能性问题。</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仪器接口</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维护期内负责新增仪器接口连接1台</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应急响应</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及时处理突发应急事件，对导致系统无法运行的灾难性故障即时响应，对软硬件产生的故障进行排除。</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7*24</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定期回访</w:t>
                  </w:r>
                </w:p>
                <w:p>
                  <w:pPr>
                    <w:pStyle w:val="null3"/>
                    <w:jc w:val="center"/>
                  </w:pPr>
                  <w:r>
                    <w:rPr>
                      <w:rFonts w:ascii="仿宋_GB2312" w:hAnsi="仿宋_GB2312" w:cs="仿宋_GB2312" w:eastAsia="仿宋_GB2312"/>
                      <w:sz w:val="19"/>
                    </w:rPr>
                    <w:t>（远程）</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每6个月对进行一次回访，了解使用系统的情况，并进行相关技术答疑和服务。</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维护报告</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专门编制一个问题报告系统，追踪系统出现的问题和解决方法，并按季度发送维护报告。</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数据库</w:t>
                  </w:r>
                </w:p>
                <w:p>
                  <w:pPr>
                    <w:pStyle w:val="null3"/>
                    <w:jc w:val="center"/>
                  </w:pPr>
                  <w:r>
                    <w:rPr>
                      <w:rFonts w:ascii="仿宋_GB2312" w:hAnsi="仿宋_GB2312" w:cs="仿宋_GB2312" w:eastAsia="仿宋_GB2312"/>
                      <w:sz w:val="19"/>
                    </w:rPr>
                    <w:t>维护服务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19"/>
                    </w:rPr>
                    <w:t>对系统使用的数据库进行管理和维护，确保定期备份和物理备份。</w:t>
                  </w:r>
                </w:p>
                <w:p>
                  <w:pPr>
                    <w:pStyle w:val="null3"/>
                    <w:numPr>
                      <w:ilvl w:val="0"/>
                      <w:numId w:val="1"/>
                    </w:numPr>
                    <w:jc w:val="both"/>
                  </w:pPr>
                  <w:r>
                    <w:rPr>
                      <w:rFonts w:ascii="仿宋_GB2312" w:hAnsi="仿宋_GB2312" w:cs="仿宋_GB2312" w:eastAsia="仿宋_GB2312"/>
                      <w:sz w:val="19"/>
                    </w:rPr>
                    <w:t>检查并排除数据库软硬件安全隐患。</w:t>
                  </w:r>
                </w:p>
                <w:p>
                  <w:pPr>
                    <w:pStyle w:val="null3"/>
                    <w:jc w:val="both"/>
                  </w:pPr>
                  <w:r>
                    <w:rPr>
                      <w:rFonts w:ascii="仿宋_GB2312" w:hAnsi="仿宋_GB2312" w:cs="仿宋_GB2312" w:eastAsia="仿宋_GB2312"/>
                      <w:sz w:val="19"/>
                    </w:rPr>
                    <w:t>3、优化数据库的性能。</w:t>
                  </w:r>
                </w:p>
                <w:p>
                  <w:pPr>
                    <w:pStyle w:val="null3"/>
                    <w:jc w:val="both"/>
                  </w:pPr>
                  <w:r>
                    <w:rPr>
                      <w:rFonts w:ascii="仿宋_GB2312" w:hAnsi="仿宋_GB2312" w:cs="仿宋_GB2312" w:eastAsia="仿宋_GB2312"/>
                      <w:sz w:val="19"/>
                    </w:rPr>
                    <w:t>4、提供数据库用户管理、存储空间管理、资源和性能监控、数据迁移、调优等管理服务，制定数据库管理方案。</w:t>
                  </w:r>
                </w:p>
                <w:p>
                  <w:pPr>
                    <w:pStyle w:val="null3"/>
                    <w:jc w:val="both"/>
                  </w:pPr>
                  <w:r>
                    <w:rPr>
                      <w:rFonts w:ascii="仿宋_GB2312" w:hAnsi="仿宋_GB2312" w:cs="仿宋_GB2312" w:eastAsia="仿宋_GB2312"/>
                      <w:sz w:val="19"/>
                    </w:rPr>
                    <w:t>3、提供数据库安全保障服务，针对数据库各类数据在一定时期内的增长量，制定有差异性的数据备份、还原方案。</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管理评审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1、配合完成CNAS、CMA评审，包括特殊情况对报表、系统功能的相应调整。</w:t>
                  </w:r>
                </w:p>
                <w:p>
                  <w:pPr>
                    <w:pStyle w:val="null3"/>
                    <w:jc w:val="both"/>
                  </w:pPr>
                  <w:r>
                    <w:rPr>
                      <w:rFonts w:ascii="仿宋_GB2312" w:hAnsi="仿宋_GB2312" w:cs="仿宋_GB2312" w:eastAsia="仿宋_GB2312"/>
                      <w:sz w:val="19"/>
                    </w:rPr>
                    <w:t>2、配合完成等保相关要求，包括修改密码策略、采用https访问。</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日常运维</w:t>
                  </w:r>
                </w:p>
                <w:p>
                  <w:pPr>
                    <w:pStyle w:val="null3"/>
                    <w:jc w:val="center"/>
                  </w:pPr>
                  <w:r>
                    <w:rPr>
                      <w:rFonts w:ascii="仿宋_GB2312" w:hAnsi="仿宋_GB2312" w:cs="仿宋_GB2312" w:eastAsia="仿宋_GB2312"/>
                      <w:sz w:val="19"/>
                    </w:rPr>
                    <w:t>（远程）</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1、检测项目及检测方法的新增及修改。</w:t>
                  </w:r>
                </w:p>
                <w:p>
                  <w:pPr>
                    <w:pStyle w:val="null3"/>
                    <w:jc w:val="both"/>
                  </w:pPr>
                  <w:r>
                    <w:rPr>
                      <w:rFonts w:ascii="仿宋_GB2312" w:hAnsi="仿宋_GB2312" w:cs="仿宋_GB2312" w:eastAsia="仿宋_GB2312"/>
                      <w:sz w:val="19"/>
                    </w:rPr>
                    <w:t>2、用户管理，用户的新增及修改。</w:t>
                  </w:r>
                </w:p>
                <w:p>
                  <w:pPr>
                    <w:pStyle w:val="null3"/>
                    <w:jc w:val="both"/>
                  </w:pPr>
                  <w:r>
                    <w:rPr>
                      <w:rFonts w:ascii="仿宋_GB2312" w:hAnsi="仿宋_GB2312" w:cs="仿宋_GB2312" w:eastAsia="仿宋_GB2312"/>
                      <w:sz w:val="19"/>
                    </w:rPr>
                    <w:t>3、报告数据及内容的更正，包括项目方法变换、数据录入错误。</w:t>
                  </w:r>
                </w:p>
                <w:p>
                  <w:pPr>
                    <w:pStyle w:val="null3"/>
                    <w:jc w:val="both"/>
                  </w:pPr>
                  <w:r>
                    <w:rPr>
                      <w:rFonts w:ascii="仿宋_GB2312" w:hAnsi="仿宋_GB2312" w:cs="仿宋_GB2312" w:eastAsia="仿宋_GB2312"/>
                      <w:sz w:val="19"/>
                    </w:rPr>
                    <w:t>4、仪器采集脚本修改，系统已有仪器采集脚本的修改。</w:t>
                  </w:r>
                </w:p>
                <w:p>
                  <w:pPr>
                    <w:pStyle w:val="null3"/>
                    <w:jc w:val="both"/>
                  </w:pPr>
                  <w:r>
                    <w:rPr>
                      <w:rFonts w:ascii="仿宋_GB2312" w:hAnsi="仿宋_GB2312" w:cs="仿宋_GB2312" w:eastAsia="仿宋_GB2312"/>
                      <w:sz w:val="19"/>
                    </w:rPr>
                    <w:t>5、仪器整体格式变更的话按新增仪器采集处理。</w:t>
                  </w:r>
                </w:p>
                <w:p>
                  <w:pPr>
                    <w:pStyle w:val="null3"/>
                    <w:jc w:val="both"/>
                  </w:pPr>
                  <w:r>
                    <w:rPr>
                      <w:rFonts w:ascii="仿宋_GB2312" w:hAnsi="仿宋_GB2312" w:cs="仿宋_GB2312" w:eastAsia="仿宋_GB2312"/>
                      <w:sz w:val="19"/>
                    </w:rPr>
                    <w:t>6、SQL统计查询完善及新增。</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服务器相关</w:t>
                  </w:r>
                </w:p>
                <w:p>
                  <w:pPr>
                    <w:pStyle w:val="null3"/>
                    <w:jc w:val="center"/>
                  </w:pPr>
                  <w:r>
                    <w:rPr>
                      <w:rFonts w:ascii="仿宋_GB2312" w:hAnsi="仿宋_GB2312" w:cs="仿宋_GB2312" w:eastAsia="仿宋_GB2312"/>
                      <w:sz w:val="19"/>
                    </w:rPr>
                    <w:t>（远程）</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19"/>
                    </w:rPr>
                    <w:t>服务器迁移，配合IT部门进行应用服务器或数据库服务器的迁移工作。</w:t>
                  </w:r>
                </w:p>
                <w:p>
                  <w:pPr>
                    <w:pStyle w:val="null3"/>
                    <w:numPr>
                      <w:ilvl w:val="0"/>
                      <w:numId w:val="1"/>
                    </w:numPr>
                    <w:jc w:val="both"/>
                  </w:pPr>
                  <w:r>
                    <w:rPr>
                      <w:rFonts w:ascii="仿宋_GB2312" w:hAnsi="仿宋_GB2312" w:cs="仿宋_GB2312" w:eastAsia="仿宋_GB2312"/>
                      <w:sz w:val="19"/>
                    </w:rPr>
                    <w:t>服务器巡检，包括磁盘空间、Lims日志、备份等的巡检。</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培训</w:t>
                  </w:r>
                </w:p>
                <w:p>
                  <w:pPr>
                    <w:pStyle w:val="null3"/>
                    <w:jc w:val="center"/>
                  </w:pPr>
                  <w:r>
                    <w:rPr>
                      <w:rFonts w:ascii="仿宋_GB2312" w:hAnsi="仿宋_GB2312" w:cs="仿宋_GB2312" w:eastAsia="仿宋_GB2312"/>
                      <w:sz w:val="19"/>
                    </w:rPr>
                    <w:t>（远程）</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1、管理员培训，包括用户管理、静态数据管理、常见问题处理。</w:t>
                  </w:r>
                </w:p>
                <w:p>
                  <w:pPr>
                    <w:pStyle w:val="null3"/>
                    <w:jc w:val="both"/>
                  </w:pPr>
                  <w:r>
                    <w:rPr>
                      <w:rFonts w:ascii="仿宋_GB2312" w:hAnsi="仿宋_GB2312" w:cs="仿宋_GB2312" w:eastAsia="仿宋_GB2312"/>
                      <w:sz w:val="19"/>
                    </w:rPr>
                    <w:t>2、用户培训，包括项目、方法维护，相关流程模块使用，常见问题规避。</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系统巡检</w:t>
                  </w:r>
                </w:p>
                <w:p>
                  <w:pPr>
                    <w:pStyle w:val="null3"/>
                    <w:jc w:val="center"/>
                  </w:pPr>
                  <w:r>
                    <w:rPr>
                      <w:rFonts w:ascii="仿宋_GB2312" w:hAnsi="仿宋_GB2312" w:cs="仿宋_GB2312" w:eastAsia="仿宋_GB2312"/>
                      <w:sz w:val="19"/>
                    </w:rPr>
                    <w:t>（远程）</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1、对系统服务器端软硬件环境进行远程巡检，提前发现潜在风险。</w:t>
                  </w:r>
                </w:p>
                <w:p>
                  <w:pPr>
                    <w:pStyle w:val="null3"/>
                    <w:jc w:val="both"/>
                  </w:pPr>
                  <w:r>
                    <w:rPr>
                      <w:rFonts w:ascii="仿宋_GB2312" w:hAnsi="仿宋_GB2312" w:cs="仿宋_GB2312" w:eastAsia="仿宋_GB2312"/>
                      <w:sz w:val="19"/>
                    </w:rPr>
                    <w:t>2、根据运维月报、周巡检、用户反馈结果，分析服务器运行的健康状态，提出合理建议并实施，每季度一次。</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系统巡检</w:t>
                  </w:r>
                </w:p>
                <w:p>
                  <w:pPr>
                    <w:pStyle w:val="null3"/>
                    <w:jc w:val="center"/>
                  </w:pPr>
                  <w:r>
                    <w:rPr>
                      <w:rFonts w:ascii="仿宋_GB2312" w:hAnsi="仿宋_GB2312" w:cs="仿宋_GB2312" w:eastAsia="仿宋_GB2312"/>
                      <w:sz w:val="19"/>
                    </w:rPr>
                    <w:t>（现场）</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对服务器、存储设备、系统软件、网络安全、应用系统的运行情况进行巡检，提前发现潜在风险，并填写巡检记录。</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报表维护</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负责系统水晶报表模板的各项维护，对已有报表的调整和错误内容更正。</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r>
          </w:tbl>
          <w:p>
            <w:pPr>
              <w:pStyle w:val="null3"/>
              <w:ind w:firstLine="402"/>
              <w:jc w:val="both"/>
            </w:pPr>
            <w:r>
              <w:rPr>
                <w:rFonts w:ascii="仿宋_GB2312" w:hAnsi="仿宋_GB2312" w:cs="仿宋_GB2312" w:eastAsia="仿宋_GB2312"/>
                <w:b/>
              </w:rPr>
              <w:t>技术要求：</w:t>
            </w:r>
          </w:p>
          <w:p>
            <w:pPr>
              <w:pStyle w:val="null3"/>
              <w:ind w:firstLine="400"/>
              <w:jc w:val="both"/>
            </w:pPr>
            <w:r>
              <w:rPr>
                <w:rFonts w:ascii="仿宋_GB2312" w:hAnsi="仿宋_GB2312" w:cs="仿宋_GB2312" w:eastAsia="仿宋_GB2312"/>
              </w:rPr>
              <w:t>（1）服务方具有CMMI（3级及以上）软件能力成熟度认可资质。</w:t>
            </w:r>
          </w:p>
          <w:p>
            <w:pPr>
              <w:pStyle w:val="null3"/>
              <w:ind w:firstLine="400"/>
              <w:jc w:val="both"/>
            </w:pPr>
            <w:r>
              <w:rPr>
                <w:rFonts w:ascii="仿宋_GB2312" w:hAnsi="仿宋_GB2312" w:cs="仿宋_GB2312" w:eastAsia="仿宋_GB2312"/>
              </w:rPr>
              <w:t>（2）运维人员具备PMP项目管理证书，参与过3家及以上环境监测项目实施工作，拥有丰富的维护经验，具备系统培训、维护及解决问题的能力。</w:t>
            </w:r>
          </w:p>
          <w:p>
            <w:pPr>
              <w:pStyle w:val="null3"/>
              <w:ind w:firstLine="400"/>
              <w:jc w:val="both"/>
            </w:pPr>
            <w:r>
              <w:rPr>
                <w:rFonts w:ascii="仿宋_GB2312" w:hAnsi="仿宋_GB2312" w:cs="仿宋_GB2312" w:eastAsia="仿宋_GB2312"/>
              </w:rPr>
              <w:t>（3）按照规范、合理的售后管理体系提供技术支持服务，确保系统运维服务质量。</w:t>
            </w:r>
          </w:p>
          <w:p>
            <w:pPr>
              <w:pStyle w:val="null3"/>
              <w:ind w:firstLine="402"/>
              <w:jc w:val="both"/>
            </w:pPr>
            <w:r>
              <w:rPr>
                <w:rFonts w:ascii="仿宋_GB2312" w:hAnsi="仿宋_GB2312" w:cs="仿宋_GB2312" w:eastAsia="仿宋_GB2312"/>
                <w:b/>
              </w:rPr>
              <w:t>服务要求：</w:t>
            </w:r>
          </w:p>
          <w:p>
            <w:pPr>
              <w:pStyle w:val="null3"/>
              <w:ind w:firstLine="400"/>
              <w:jc w:val="both"/>
            </w:pPr>
            <w:r>
              <w:rPr>
                <w:rFonts w:ascii="仿宋_GB2312" w:hAnsi="仿宋_GB2312" w:cs="仿宋_GB2312" w:eastAsia="仿宋_GB2312"/>
              </w:rPr>
              <w:t>（1）接到服务要求后，服务方应在2小时内进行响应；对一般简单问题，应在4小时之内通过驻场服务人员、电话、电子邮件、远程等方式解决；若前述方式无法解决相关问题，需要技术专家到现场提供技术支持的，由服务方委派人员前往我中心现场提供维保服务，并于1周内解决；新增需求、功能完善类问题，在双方协商确认后，2周内完成。</w:t>
            </w:r>
          </w:p>
          <w:p>
            <w:pPr>
              <w:pStyle w:val="null3"/>
              <w:ind w:firstLine="400"/>
              <w:jc w:val="both"/>
            </w:pPr>
            <w:r>
              <w:rPr>
                <w:rFonts w:ascii="仿宋_GB2312" w:hAnsi="仿宋_GB2312" w:cs="仿宋_GB2312" w:eastAsia="仿宋_GB2312"/>
              </w:rPr>
              <w:t>（2）运维过程中所知悉的数据结果、客户名录及图表等保密信息，均应保密。不得以任何方式擅自使用保密信息，也不得直接或间接地将该等保密信息揭示、公布、披露给任何第三方，或许可任何第三方使用。</w:t>
            </w:r>
          </w:p>
          <w:p>
            <w:pPr>
              <w:pStyle w:val="null3"/>
              <w:ind w:firstLine="400"/>
              <w:jc w:val="both"/>
            </w:pPr>
            <w:r>
              <w:rPr>
                <w:rFonts w:ascii="仿宋_GB2312" w:hAnsi="仿宋_GB2312" w:cs="仿宋_GB2312" w:eastAsia="仿宋_GB2312"/>
              </w:rPr>
              <w:t>（3）对使用实验室数据采集处理系统的人员提供现场培训，根据需要开展集中培训及管理员高阶培训。</w:t>
            </w:r>
          </w:p>
          <w:p>
            <w:pPr>
              <w:pStyle w:val="null3"/>
              <w:ind w:firstLine="400"/>
              <w:jc w:val="both"/>
            </w:pPr>
            <w:r>
              <w:rPr>
                <w:rFonts w:ascii="仿宋_GB2312" w:hAnsi="仿宋_GB2312" w:cs="仿宋_GB2312" w:eastAsia="仿宋_GB2312"/>
              </w:rPr>
              <w:t>（4）提供运维月报与年报：每月结束后服务人员提交维护月报，分析服务器运行的健康状态，提出合理建议并实施。年度运维结束后提供运维年报。</w:t>
            </w:r>
          </w:p>
          <w:p>
            <w:pPr>
              <w:pStyle w:val="null3"/>
              <w:ind w:firstLine="402"/>
              <w:jc w:val="both"/>
            </w:pPr>
            <w:r>
              <w:rPr>
                <w:rFonts w:ascii="仿宋_GB2312" w:hAnsi="仿宋_GB2312" w:cs="仿宋_GB2312" w:eastAsia="仿宋_GB2312"/>
                <w:b/>
              </w:rPr>
              <w:t>2.7实验室资质维持运行</w:t>
            </w:r>
          </w:p>
          <w:p>
            <w:pPr>
              <w:pStyle w:val="null3"/>
              <w:ind w:firstLine="402"/>
              <w:jc w:val="both"/>
            </w:pPr>
            <w:r>
              <w:rPr>
                <w:rFonts w:ascii="仿宋_GB2312" w:hAnsi="仿宋_GB2312" w:cs="仿宋_GB2312" w:eastAsia="仿宋_GB2312"/>
                <w:b/>
              </w:rPr>
              <w:t>服务内容：</w:t>
            </w:r>
          </w:p>
          <w:p>
            <w:pPr>
              <w:pStyle w:val="null3"/>
              <w:ind w:firstLine="400"/>
              <w:jc w:val="both"/>
            </w:pPr>
            <w:r>
              <w:rPr>
                <w:rFonts w:ascii="仿宋_GB2312" w:hAnsi="仿宋_GB2312" w:cs="仿宋_GB2312" w:eastAsia="仿宋_GB2312"/>
              </w:rPr>
              <w:t>为确保检验检测机构资质认定体系的正常运行，需按照国家及省市场监督管理局各项要求开展能力验证、标准及技术性资料的查新、人员培训等工作。具体服务内容如下：</w:t>
            </w:r>
          </w:p>
          <w:p>
            <w:pPr>
              <w:pStyle w:val="null3"/>
              <w:ind w:firstLine="400"/>
              <w:jc w:val="both"/>
            </w:pPr>
            <w:r>
              <w:rPr>
                <w:rFonts w:ascii="仿宋_GB2312" w:hAnsi="仿宋_GB2312" w:cs="仿宋_GB2312" w:eastAsia="仿宋_GB2312"/>
              </w:rPr>
              <w:t>（1）组织实验室参加能力验证活动，协助检测人员完成能力验证结果分析。</w:t>
            </w:r>
          </w:p>
          <w:p>
            <w:pPr>
              <w:pStyle w:val="null3"/>
              <w:ind w:firstLine="400"/>
              <w:jc w:val="both"/>
            </w:pPr>
            <w:r>
              <w:rPr>
                <w:rFonts w:ascii="仿宋_GB2312" w:hAnsi="仿宋_GB2312" w:cs="仿宋_GB2312" w:eastAsia="仿宋_GB2312"/>
              </w:rPr>
              <w:t>（2）实验室全部在用标准进行有效性确认，出具《标准有效性确认报告》，对于确认已作废标准，购买正版新标准；对资质运行其他技术资料，提供现行有效的电子或纸质版本。</w:t>
            </w:r>
          </w:p>
          <w:p>
            <w:pPr>
              <w:pStyle w:val="null3"/>
              <w:ind w:firstLine="400"/>
              <w:jc w:val="both"/>
            </w:pPr>
            <w:r>
              <w:rPr>
                <w:rFonts w:ascii="仿宋_GB2312" w:hAnsi="仿宋_GB2312" w:cs="仿宋_GB2312" w:eastAsia="仿宋_GB2312"/>
              </w:rPr>
              <w:t>（3）资质认定相关标准、规范宣贯培训，并颁发相应证书。</w:t>
            </w:r>
          </w:p>
          <w:p>
            <w:pPr>
              <w:pStyle w:val="null3"/>
              <w:ind w:firstLine="402"/>
              <w:jc w:val="both"/>
            </w:pPr>
            <w:r>
              <w:rPr>
                <w:rFonts w:ascii="仿宋_GB2312" w:hAnsi="仿宋_GB2312" w:cs="仿宋_GB2312" w:eastAsia="仿宋_GB2312"/>
                <w:b/>
              </w:rPr>
              <w:t>技术要求：</w:t>
            </w:r>
          </w:p>
          <w:p>
            <w:pPr>
              <w:pStyle w:val="null3"/>
              <w:ind w:firstLine="400"/>
              <w:jc w:val="both"/>
            </w:pPr>
            <w:r>
              <w:rPr>
                <w:rFonts w:ascii="仿宋_GB2312" w:hAnsi="仿宋_GB2312" w:cs="仿宋_GB2312" w:eastAsia="仿宋_GB2312"/>
              </w:rPr>
              <w:t>（1）选取的能力验证组织方具有 CMA/CNAS 认可的资质。</w:t>
            </w:r>
          </w:p>
          <w:p>
            <w:pPr>
              <w:pStyle w:val="null3"/>
              <w:ind w:firstLine="400"/>
              <w:jc w:val="both"/>
            </w:pPr>
            <w:r>
              <w:rPr>
                <w:rFonts w:ascii="仿宋_GB2312" w:hAnsi="仿宋_GB2312" w:cs="仿宋_GB2312" w:eastAsia="仿宋_GB2312"/>
              </w:rPr>
              <w:t>（2）提供标准有效性确认服务机构出具的《标准有效性确认报告》可获资质认定部门认可。</w:t>
            </w:r>
          </w:p>
          <w:p>
            <w:pPr>
              <w:pStyle w:val="null3"/>
              <w:ind w:firstLine="400"/>
              <w:jc w:val="both"/>
            </w:pPr>
            <w:r>
              <w:rPr>
                <w:rFonts w:ascii="仿宋_GB2312" w:hAnsi="仿宋_GB2312" w:cs="仿宋_GB2312" w:eastAsia="仿宋_GB2312"/>
              </w:rPr>
              <w:t>（3）标准宣贯培训颁发证书可获资质认定部门认可。</w:t>
            </w:r>
          </w:p>
          <w:p>
            <w:pPr>
              <w:pStyle w:val="null3"/>
              <w:ind w:firstLine="402"/>
              <w:jc w:val="both"/>
            </w:pPr>
            <w:r>
              <w:rPr>
                <w:rFonts w:ascii="仿宋_GB2312" w:hAnsi="仿宋_GB2312" w:cs="仿宋_GB2312" w:eastAsia="仿宋_GB2312"/>
                <w:b/>
              </w:rPr>
              <w:t>服务要求：</w:t>
            </w:r>
          </w:p>
          <w:p>
            <w:pPr>
              <w:pStyle w:val="null3"/>
              <w:ind w:firstLine="400"/>
              <w:jc w:val="both"/>
            </w:pPr>
            <w:r>
              <w:rPr>
                <w:rFonts w:ascii="仿宋_GB2312" w:hAnsi="仿宋_GB2312" w:cs="仿宋_GB2312" w:eastAsia="仿宋_GB2312"/>
              </w:rPr>
              <w:t>需与采购人协商确定能力验证组织方、标准有效性确认服务提供方及标准等宣贯的授课单位。</w:t>
            </w:r>
          </w:p>
          <w:p>
            <w:pPr>
              <w:pStyle w:val="null3"/>
              <w:ind w:firstLine="400"/>
              <w:jc w:val="both"/>
            </w:pPr>
            <w:r>
              <w:rPr>
                <w:rFonts w:ascii="仿宋_GB2312" w:hAnsi="仿宋_GB2312" w:cs="仿宋_GB2312" w:eastAsia="仿宋_GB2312"/>
              </w:rPr>
              <w:t>2.8实验用房申购</w:t>
            </w:r>
          </w:p>
          <w:p>
            <w:pPr>
              <w:pStyle w:val="null3"/>
              <w:ind w:firstLine="400"/>
              <w:jc w:val="both"/>
            </w:pPr>
            <w:r>
              <w:rPr>
                <w:rFonts w:ascii="仿宋_GB2312" w:hAnsi="仿宋_GB2312" w:cs="仿宋_GB2312" w:eastAsia="仿宋_GB2312"/>
              </w:rPr>
              <w:t>服务内容：</w:t>
            </w:r>
          </w:p>
          <w:p>
            <w:pPr>
              <w:pStyle w:val="null3"/>
              <w:ind w:firstLine="400"/>
              <w:jc w:val="both"/>
            </w:pPr>
            <w:r>
              <w:rPr>
                <w:rFonts w:ascii="仿宋_GB2312" w:hAnsi="仿宋_GB2312" w:cs="仿宋_GB2312" w:eastAsia="仿宋_GB2312"/>
              </w:rPr>
              <w:t>为满足监测与实验室检测工作的实际需要，避免交叉污染，提升数据准确度与任务响应效率，现租赁以下标准化模块化房屋，用于建设临时实验室及配套功能区域，具体规格见下表：</w:t>
            </w:r>
          </w:p>
          <w:tbl>
            <w:tblPr>
              <w:tblBorders>
                <w:top w:val="none" w:color="000000" w:sz="4"/>
                <w:left w:val="none" w:color="000000" w:sz="4"/>
                <w:bottom w:val="none" w:color="000000" w:sz="4"/>
                <w:right w:val="none" w:color="000000" w:sz="4"/>
                <w:insideH w:val="none"/>
                <w:insideV w:val="none"/>
              </w:tblBorders>
            </w:tblPr>
            <w:tblGrid>
              <w:gridCol w:w="207"/>
              <w:gridCol w:w="628"/>
              <w:gridCol w:w="828"/>
              <w:gridCol w:w="554"/>
              <w:gridCol w:w="320"/>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名称</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规格</w:t>
                  </w:r>
                  <w:r>
                    <w:br/>
                  </w:r>
                  <w:r>
                    <w:rPr>
                      <w:rFonts w:ascii="仿宋_GB2312" w:hAnsi="仿宋_GB2312" w:cs="仿宋_GB2312" w:eastAsia="仿宋_GB2312"/>
                      <w:sz w:val="19"/>
                    </w:rPr>
                    <w:t xml:space="preserve"> （长*宽*高）</w:t>
                  </w:r>
                </w:p>
              </w:tc>
              <w:tc>
                <w:tcPr>
                  <w:tcW w:type="dxa" w:w="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单位</w:t>
                  </w:r>
                </w:p>
              </w:tc>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数量</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标准打包箱</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6055*2990*3300</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w:t>
                  </w:r>
                </w:p>
              </w:tc>
            </w:tr>
          </w:tbl>
          <w:p>
            <w:pPr>
              <w:pStyle w:val="null3"/>
              <w:ind w:firstLine="400"/>
              <w:jc w:val="both"/>
            </w:pPr>
            <w:r>
              <w:rPr>
                <w:rFonts w:ascii="仿宋_GB2312" w:hAnsi="仿宋_GB2312" w:cs="仿宋_GB2312" w:eastAsia="仿宋_GB2312"/>
              </w:rPr>
              <w:t>包含运输、吊装和安装工程。</w:t>
            </w:r>
          </w:p>
          <w:p>
            <w:pPr>
              <w:pStyle w:val="null3"/>
              <w:ind w:firstLine="400"/>
              <w:jc w:val="both"/>
            </w:pPr>
            <w:r>
              <w:rPr>
                <w:rFonts w:ascii="仿宋_GB2312" w:hAnsi="仿宋_GB2312" w:cs="仿宋_GB2312" w:eastAsia="仿宋_GB2312"/>
              </w:rPr>
              <w:t>技术要求：</w:t>
            </w:r>
          </w:p>
          <w:p>
            <w:pPr>
              <w:pStyle w:val="null3"/>
              <w:ind w:firstLine="400"/>
              <w:jc w:val="both"/>
            </w:pPr>
            <w:r>
              <w:rPr>
                <w:rFonts w:ascii="仿宋_GB2312" w:hAnsi="仿宋_GB2312" w:cs="仿宋_GB2312" w:eastAsia="仿宋_GB2312"/>
              </w:rPr>
              <w:t>标准打包箱的主体框架分为顶部、底座和立柱三大部分。顶部结构包括：上横梁（2.3mm厚），上横梁檩条（40×60×1.2mm），起脊构件（30×30×1.0mm与20×20×1.1mm组合），角部加强筋（20×20×1.1mm），以及75mm厚的玻璃丝棉保温层；此外还配有托棉方管及PE保护膜、屋顶单瓦（蒙皮瓦，0.4mm厚）、落水池防水涂层和屋顶结构胶。底座部分包括下横梁（2.3mm厚），下梁角部加强筋（40×60×1.2mm），以及由50×100×1.2mm檩条组成的下横梁檩条组。立柱采用210×150mm规格、高度2826mm、壁厚2.3mm的型材，配有一套立柱L连接板（激光切割件）、立柱加强筋以及直径M12×30的螺栓。</w:t>
            </w:r>
          </w:p>
          <w:p>
            <w:pPr>
              <w:pStyle w:val="null3"/>
              <w:ind w:firstLine="400"/>
              <w:jc w:val="both"/>
            </w:pPr>
            <w:r>
              <w:rPr>
                <w:rFonts w:ascii="仿宋_GB2312" w:hAnsi="仿宋_GB2312" w:cs="仿宋_GB2312" w:eastAsia="仿宋_GB2312"/>
              </w:rPr>
              <w:t>角件为210×150×3.0mm规格；落水管采用50mm PVC管。涂装方面，整体采用烤漆（静电喷塑）工艺。维护部分包含：831型/0.35mm厚彩钢吊顶，与吊顶板同色的彩钢折件吊顶角线，1177×2830×18mm的水泥纤维板，1.6mm厚带防滑层的塑胶地板；门为带副框的钢制门（925×2035mm），窗为带副框的双玻窗（925×1110mm），另配彩钢阴角。复合板采用950型75mm厚岩棉板，单面0.35mm厚、50kg/m³容重，单面覆膜。</w:t>
            </w:r>
          </w:p>
          <w:p>
            <w:pPr>
              <w:pStyle w:val="null3"/>
              <w:ind w:firstLine="400"/>
              <w:jc w:val="both"/>
            </w:pPr>
            <w:r>
              <w:rPr>
                <w:rFonts w:ascii="仿宋_GB2312" w:hAnsi="仿宋_GB2312" w:cs="仿宋_GB2312" w:eastAsia="仿宋_GB2312"/>
              </w:rPr>
              <w:t>辅材包含：100六角钻尾丝、25六角钻尾丝、结构胶、尖头自攻钉、内置锁扣。电气部分为标准配置：含工业插座盒、工业插座32A、配电箱（内含1个漏电保护器、1个断路器）、单开开关、普通插座、空调插座、吸顶灯；进线为6平方毫米，空调插座线为4平方毫米，普通五孔插座线为2.5平方毫米，照明线为1.5平方毫米。</w:t>
            </w:r>
          </w:p>
          <w:p>
            <w:pPr>
              <w:pStyle w:val="null3"/>
              <w:ind w:firstLine="400"/>
              <w:jc w:val="both"/>
            </w:pPr>
            <w:r>
              <w:rPr>
                <w:rFonts w:ascii="仿宋_GB2312" w:hAnsi="仿宋_GB2312" w:cs="仿宋_GB2312" w:eastAsia="仿宋_GB2312"/>
              </w:rPr>
              <w:t>服务要求：</w:t>
            </w:r>
          </w:p>
          <w:p>
            <w:pPr>
              <w:pStyle w:val="null3"/>
              <w:ind w:firstLine="400"/>
              <w:jc w:val="both"/>
            </w:pPr>
            <w:r>
              <w:rPr>
                <w:rFonts w:ascii="仿宋_GB2312" w:hAnsi="仿宋_GB2312" w:cs="仿宋_GB2312" w:eastAsia="仿宋_GB2312"/>
              </w:rPr>
              <w:t>(1)运输与安装:供应商负责将货物运至甲方指定地点（西安市区内），并承担装卸、吊装、组装、接驳水电等全部工作。安装过程中不得破坏场地原有地面及管线，施工垃圾当日清理。</w:t>
            </w:r>
          </w:p>
          <w:p>
            <w:pPr>
              <w:pStyle w:val="null3"/>
              <w:ind w:firstLine="400"/>
              <w:jc w:val="both"/>
            </w:pPr>
            <w:r>
              <w:rPr>
                <w:rFonts w:ascii="仿宋_GB2312" w:hAnsi="仿宋_GB2312" w:cs="仿宋_GB2312" w:eastAsia="仿宋_GB2312"/>
              </w:rPr>
              <w:t>(2)质量保证:提供至少12个月的免费质保期（自验收合格之日起计算），质保期内非人为损坏的部件免费维修或更换。主要结构部件（主框架、屋面板、墙板）保修期不少于1年。</w:t>
            </w:r>
          </w:p>
          <w:p>
            <w:pPr>
              <w:pStyle w:val="null3"/>
              <w:ind w:firstLine="400"/>
              <w:jc w:val="both"/>
            </w:pPr>
            <w:r>
              <w:rPr>
                <w:rFonts w:ascii="仿宋_GB2312" w:hAnsi="仿宋_GB2312" w:cs="仿宋_GB2312" w:eastAsia="仿宋_GB2312"/>
              </w:rPr>
              <w:t>(3)售后服务:质保期内接到报修通知后，24小时内派员到场处理。</w:t>
            </w:r>
          </w:p>
          <w:p>
            <w:pPr>
              <w:pStyle w:val="null3"/>
              <w:ind w:firstLine="402"/>
              <w:jc w:val="both"/>
            </w:pPr>
            <w:r>
              <w:rPr>
                <w:rFonts w:ascii="仿宋_GB2312" w:hAnsi="仿宋_GB2312" w:cs="仿宋_GB2312" w:eastAsia="仿宋_GB2312"/>
                <w:b/>
              </w:rPr>
              <w:t>（三）排水监测服务</w:t>
            </w:r>
          </w:p>
          <w:p>
            <w:pPr>
              <w:pStyle w:val="null3"/>
              <w:ind w:firstLine="402"/>
              <w:jc w:val="both"/>
            </w:pPr>
            <w:r>
              <w:rPr>
                <w:rFonts w:ascii="仿宋_GB2312" w:hAnsi="仿宋_GB2312" w:cs="仿宋_GB2312" w:eastAsia="仿宋_GB2312"/>
                <w:b/>
              </w:rPr>
              <w:t>3.1排水监测劳务</w:t>
            </w:r>
          </w:p>
          <w:p>
            <w:pPr>
              <w:pStyle w:val="null3"/>
              <w:ind w:firstLine="402"/>
              <w:jc w:val="both"/>
            </w:pPr>
            <w:r>
              <w:rPr>
                <w:rFonts w:ascii="仿宋_GB2312" w:hAnsi="仿宋_GB2312" w:cs="仿宋_GB2312" w:eastAsia="仿宋_GB2312"/>
                <w:b/>
              </w:rPr>
              <w:t>服务内容：</w:t>
            </w:r>
          </w:p>
          <w:p>
            <w:pPr>
              <w:pStyle w:val="null3"/>
              <w:ind w:firstLine="400"/>
              <w:jc w:val="both"/>
            </w:pPr>
            <w:r>
              <w:rPr>
                <w:rFonts w:ascii="仿宋_GB2312" w:hAnsi="仿宋_GB2312" w:cs="仿宋_GB2312" w:eastAsia="仿宋_GB2312"/>
              </w:rPr>
              <w:t>按照《污水排入城镇下水道水质标准（GB/T 31962-2015）》、《污水监测技术规范（HJ91.1-2019）》、《河流流量测验规范（GB 50179-2015）》、《陕西省黄河流域污水综合排放标准（DB61 224-2018）》等标准中的要求，配合完成辅助水质监测人员开启和关闭井盖，采集水样，辅助流量监测人员清理测流现场，设备安全拆除作业，提供车辆驾驶服务等。所需工种和数量见下表：</w:t>
            </w:r>
          </w:p>
          <w:tbl>
            <w:tblPr>
              <w:tblInd w:type="dxa" w:w="120"/>
              <w:tblBorders>
                <w:top w:val="none" w:color="000000" w:sz="4"/>
                <w:left w:val="none" w:color="000000" w:sz="4"/>
                <w:bottom w:val="none" w:color="000000" w:sz="4"/>
                <w:right w:val="none" w:color="000000" w:sz="4"/>
                <w:insideH w:val="none"/>
                <w:insideV w:val="none"/>
              </w:tblBorders>
            </w:tblPr>
            <w:tblGrid>
              <w:gridCol w:w="346"/>
              <w:gridCol w:w="1045"/>
              <w:gridCol w:w="1154"/>
            </w:tblGrid>
            <w:tr>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工种名称</w:t>
                  </w:r>
                </w:p>
              </w:tc>
              <w:tc>
                <w:tcPr>
                  <w:tcW w:type="dxa" w:w="1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人工数量</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短期工</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300工日</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长期工</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250工日</w:t>
                  </w:r>
                </w:p>
              </w:tc>
            </w:tr>
          </w:tbl>
          <w:p>
            <w:pPr>
              <w:pStyle w:val="null3"/>
              <w:ind w:firstLine="402"/>
              <w:jc w:val="both"/>
            </w:pPr>
            <w:r>
              <w:rPr>
                <w:rFonts w:ascii="仿宋_GB2312" w:hAnsi="仿宋_GB2312" w:cs="仿宋_GB2312" w:eastAsia="仿宋_GB2312"/>
                <w:b/>
              </w:rPr>
              <w:t>技术要求：</w:t>
            </w:r>
          </w:p>
          <w:p>
            <w:pPr>
              <w:pStyle w:val="null3"/>
              <w:ind w:firstLine="400"/>
              <w:jc w:val="both"/>
            </w:pPr>
            <w:r>
              <w:rPr>
                <w:rFonts w:ascii="仿宋_GB2312" w:hAnsi="仿宋_GB2312" w:cs="仿宋_GB2312" w:eastAsia="仿宋_GB2312"/>
              </w:rPr>
              <w:t>（1）工作环境较为恶劣，作业井数量大，且多位于快车道上，技术劳务人员须具备较强专业技术能力，熟悉排水施工，专业应变力强。</w:t>
            </w:r>
          </w:p>
          <w:p>
            <w:pPr>
              <w:pStyle w:val="null3"/>
              <w:ind w:firstLine="400"/>
              <w:jc w:val="both"/>
            </w:pPr>
            <w:r>
              <w:rPr>
                <w:rFonts w:ascii="仿宋_GB2312" w:hAnsi="仿宋_GB2312" w:cs="仿宋_GB2312" w:eastAsia="仿宋_GB2312"/>
              </w:rPr>
              <w:t xml:space="preserve">（2）能够配合完成驾车、样品采集，河渠监测断面的清淤、布设，完成流量计、流速仪等检测设备的安装固定、安装和拆除现场设备设施，安全防护以及开启井盖等工作。   </w:t>
            </w:r>
          </w:p>
          <w:p>
            <w:pPr>
              <w:pStyle w:val="null3"/>
              <w:ind w:firstLine="402"/>
              <w:jc w:val="both"/>
            </w:pPr>
            <w:r>
              <w:rPr>
                <w:rFonts w:ascii="仿宋_GB2312" w:hAnsi="仿宋_GB2312" w:cs="仿宋_GB2312" w:eastAsia="仿宋_GB2312"/>
                <w:b/>
              </w:rPr>
              <w:t>服务要求：</w:t>
            </w:r>
          </w:p>
          <w:p>
            <w:pPr>
              <w:pStyle w:val="null3"/>
              <w:ind w:firstLine="400"/>
              <w:jc w:val="both"/>
            </w:pPr>
            <w:r>
              <w:rPr>
                <w:rFonts w:ascii="仿宋_GB2312" w:hAnsi="仿宋_GB2312" w:cs="仿宋_GB2312" w:eastAsia="仿宋_GB2312"/>
              </w:rPr>
              <w:t>（1）须根据采购单位提出的用工需求及时派遣人员到岗工作。</w:t>
            </w:r>
          </w:p>
          <w:p>
            <w:pPr>
              <w:pStyle w:val="null3"/>
              <w:ind w:firstLine="400"/>
              <w:jc w:val="both"/>
            </w:pPr>
            <w:r>
              <w:rPr>
                <w:rFonts w:ascii="仿宋_GB2312" w:hAnsi="仿宋_GB2312" w:cs="仿宋_GB2312" w:eastAsia="仿宋_GB2312"/>
              </w:rPr>
              <w:t>（2）劳务派遣人员服从采购单位规章制度要求和工作安排；按照采购单位的要求，及时更换不能胜任工作的劳务派遣人员。</w:t>
            </w:r>
          </w:p>
          <w:p>
            <w:pPr>
              <w:pStyle w:val="null3"/>
              <w:ind w:firstLine="400"/>
              <w:jc w:val="both"/>
            </w:pPr>
            <w:r>
              <w:rPr>
                <w:rFonts w:ascii="仿宋_GB2312" w:hAnsi="仿宋_GB2312" w:cs="仿宋_GB2312" w:eastAsia="仿宋_GB2312"/>
              </w:rPr>
              <w:t>（3）需提供劳务派遣人员当年安全培训的记录。</w:t>
            </w:r>
          </w:p>
          <w:p>
            <w:pPr>
              <w:pStyle w:val="null3"/>
              <w:ind w:firstLine="400"/>
              <w:jc w:val="both"/>
            </w:pPr>
            <w:r>
              <w:rPr>
                <w:rFonts w:ascii="仿宋_GB2312" w:hAnsi="仿宋_GB2312" w:cs="仿宋_GB2312" w:eastAsia="仿宋_GB2312"/>
              </w:rPr>
              <w:t>（4）需提供劳务派遣人员当年的体检表。</w:t>
            </w:r>
          </w:p>
          <w:p>
            <w:pPr>
              <w:pStyle w:val="null3"/>
              <w:ind w:firstLine="402"/>
              <w:jc w:val="both"/>
            </w:pPr>
            <w:r>
              <w:rPr>
                <w:rFonts w:ascii="仿宋_GB2312" w:hAnsi="仿宋_GB2312" w:cs="仿宋_GB2312" w:eastAsia="仿宋_GB2312"/>
                <w:b/>
              </w:rPr>
              <w:t>质量验收标准或规范：</w:t>
            </w:r>
          </w:p>
          <w:p>
            <w:pPr>
              <w:pStyle w:val="null3"/>
              <w:ind w:firstLine="400"/>
              <w:jc w:val="both"/>
            </w:pPr>
            <w:r>
              <w:rPr>
                <w:rFonts w:ascii="仿宋_GB2312" w:hAnsi="仿宋_GB2312" w:cs="仿宋_GB2312" w:eastAsia="仿宋_GB2312"/>
              </w:rPr>
              <w:t>（1）《污水排入城镇下水道水质标准（GB/T 31962）》。</w:t>
            </w:r>
          </w:p>
          <w:p>
            <w:pPr>
              <w:pStyle w:val="null3"/>
              <w:ind w:firstLine="400"/>
              <w:jc w:val="both"/>
            </w:pPr>
            <w:r>
              <w:rPr>
                <w:rFonts w:ascii="仿宋_GB2312" w:hAnsi="仿宋_GB2312" w:cs="仿宋_GB2312" w:eastAsia="仿宋_GB2312"/>
              </w:rPr>
              <w:t>（2）《陕西省黄河流域污水综合排放标准（DB61 224）》。</w:t>
            </w:r>
          </w:p>
          <w:p>
            <w:pPr>
              <w:pStyle w:val="null3"/>
              <w:ind w:firstLine="400"/>
              <w:jc w:val="both"/>
            </w:pPr>
            <w:r>
              <w:rPr>
                <w:rFonts w:ascii="仿宋_GB2312" w:hAnsi="仿宋_GB2312" w:cs="仿宋_GB2312" w:eastAsia="仿宋_GB2312"/>
              </w:rPr>
              <w:t>（3）《污水监测技术规范（HJ91.1）》。</w:t>
            </w:r>
          </w:p>
          <w:p>
            <w:pPr>
              <w:pStyle w:val="null3"/>
              <w:ind w:firstLine="402"/>
              <w:jc w:val="both"/>
            </w:pPr>
            <w:r>
              <w:rPr>
                <w:rFonts w:ascii="仿宋_GB2312" w:hAnsi="仿宋_GB2312" w:cs="仿宋_GB2312" w:eastAsia="仿宋_GB2312"/>
                <w:b/>
              </w:rPr>
              <w:t>3.2流量、气体监测服务</w:t>
            </w:r>
          </w:p>
          <w:p>
            <w:pPr>
              <w:pStyle w:val="null3"/>
              <w:ind w:firstLine="402"/>
              <w:jc w:val="both"/>
            </w:pPr>
            <w:r>
              <w:rPr>
                <w:rFonts w:ascii="仿宋_GB2312" w:hAnsi="仿宋_GB2312" w:cs="仿宋_GB2312" w:eastAsia="仿宋_GB2312"/>
                <w:b/>
              </w:rPr>
              <w:t>服务内容：</w:t>
            </w:r>
          </w:p>
          <w:p>
            <w:pPr>
              <w:pStyle w:val="null3"/>
              <w:ind w:firstLine="400"/>
              <w:jc w:val="both"/>
            </w:pPr>
            <w:r>
              <w:rPr>
                <w:rFonts w:ascii="仿宋_GB2312" w:hAnsi="仿宋_GB2312" w:cs="仿宋_GB2312" w:eastAsia="仿宋_GB2312"/>
              </w:rPr>
              <w:t>对雨污水管网进行流量检测，主要包括现场踏勘（下井或利用管道潜望镜等设备）、监测点位的选择和布设、监测方案编制、流量计的井下安装固定和监测期间的正常维护、数据处理及报告编制等技术服务和管道清淤等辅助工程措施。</w:t>
            </w:r>
          </w:p>
          <w:tbl>
            <w:tblPr>
              <w:tblInd w:type="dxa" w:w="120"/>
              <w:tblBorders>
                <w:top w:val="none" w:color="000000" w:sz="4"/>
                <w:left w:val="none" w:color="000000" w:sz="4"/>
                <w:bottom w:val="none" w:color="000000" w:sz="4"/>
                <w:right w:val="none" w:color="000000" w:sz="4"/>
                <w:insideH w:val="none"/>
                <w:insideV w:val="none"/>
              </w:tblBorders>
            </w:tblPr>
            <w:tblGrid>
              <w:gridCol w:w="307"/>
              <w:gridCol w:w="1170"/>
              <w:gridCol w:w="1068"/>
            </w:tblGrid>
            <w:tr>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1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流量测量</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10条</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气体监测</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100次</w:t>
                  </w:r>
                </w:p>
              </w:tc>
            </w:tr>
          </w:tbl>
          <w:p>
            <w:pPr>
              <w:pStyle w:val="null3"/>
              <w:ind w:firstLine="402"/>
              <w:jc w:val="both"/>
            </w:pPr>
            <w:r>
              <w:rPr>
                <w:rFonts w:ascii="仿宋_GB2312" w:hAnsi="仿宋_GB2312" w:cs="仿宋_GB2312" w:eastAsia="仿宋_GB2312"/>
                <w:b/>
              </w:rPr>
              <w:t>技术要求：</w:t>
            </w:r>
          </w:p>
          <w:p>
            <w:pPr>
              <w:pStyle w:val="null3"/>
              <w:ind w:firstLine="400"/>
              <w:jc w:val="both"/>
            </w:pPr>
            <w:r>
              <w:rPr>
                <w:rFonts w:ascii="仿宋_GB2312" w:hAnsi="仿宋_GB2312" w:cs="仿宋_GB2312" w:eastAsia="仿宋_GB2312"/>
              </w:rPr>
              <w:t>（1）《水资源水量监测技术导则》（SL365）。《城镇 排水设施气体的检测方法》（CJ-T 307-2009）</w:t>
            </w:r>
          </w:p>
          <w:p>
            <w:pPr>
              <w:pStyle w:val="null3"/>
              <w:ind w:firstLine="400"/>
              <w:jc w:val="both"/>
            </w:pPr>
            <w:r>
              <w:rPr>
                <w:rFonts w:ascii="仿宋_GB2312" w:hAnsi="仿宋_GB2312" w:cs="仿宋_GB2312" w:eastAsia="仿宋_GB2312"/>
              </w:rPr>
              <w:t>（2）通过现场踏勘和预测量，选取合适的监测点位，完成监测设备的井下安装调试和监测断面的布设。</w:t>
            </w:r>
          </w:p>
          <w:p>
            <w:pPr>
              <w:pStyle w:val="null3"/>
              <w:ind w:firstLine="400"/>
              <w:jc w:val="both"/>
            </w:pPr>
            <w:r>
              <w:rPr>
                <w:rFonts w:ascii="仿宋_GB2312" w:hAnsi="仿宋_GB2312" w:cs="仿宋_GB2312" w:eastAsia="仿宋_GB2312"/>
              </w:rPr>
              <w:t>（3）管道流量要求连续监测48小时，每15分钟监测一次瞬时液位和流速，并及时进行井下维护，确保数据真实有效。</w:t>
            </w:r>
          </w:p>
          <w:p>
            <w:pPr>
              <w:pStyle w:val="null3"/>
              <w:ind w:firstLine="400"/>
              <w:jc w:val="both"/>
            </w:pPr>
            <w:r>
              <w:rPr>
                <w:rFonts w:ascii="仿宋_GB2312" w:hAnsi="仿宋_GB2312" w:cs="仿宋_GB2312" w:eastAsia="仿宋_GB2312"/>
              </w:rPr>
              <w:t>（4）流量检测全过程质量符合服务单位的质量体系运行要求，确保检测数据的准确可靠。可接受随时随地的、预先不通知的、对合同范围内检测工作进行随机监督检查，包括现场监督、资料审核及复测等形式。对发现的不符合工作应采取预防/纠正应对措施。</w:t>
            </w:r>
          </w:p>
          <w:p>
            <w:pPr>
              <w:pStyle w:val="null3"/>
              <w:ind w:firstLine="400"/>
              <w:jc w:val="both"/>
            </w:pPr>
            <w:r>
              <w:rPr>
                <w:rFonts w:ascii="仿宋_GB2312" w:hAnsi="仿宋_GB2312" w:cs="仿宋_GB2312" w:eastAsia="仿宋_GB2312"/>
              </w:rPr>
              <w:t>（5）流量检测服务单位应具备井下有限空间作业和道路路面作业相关的安全设施，并建立相关的安全管理制度，确保流量检测工作的安全。</w:t>
            </w:r>
          </w:p>
          <w:p>
            <w:pPr>
              <w:pStyle w:val="null3"/>
              <w:ind w:firstLine="400"/>
              <w:jc w:val="both"/>
            </w:pPr>
            <w:r>
              <w:rPr>
                <w:rFonts w:ascii="仿宋_GB2312" w:hAnsi="仿宋_GB2312" w:cs="仿宋_GB2312" w:eastAsia="仿宋_GB2312"/>
              </w:rPr>
              <w:t>（6）气体监测参数：氧气、一氧化碳、硫化氢、可燃性气体。</w:t>
            </w:r>
          </w:p>
          <w:p>
            <w:pPr>
              <w:pStyle w:val="null3"/>
              <w:ind w:firstLine="400"/>
              <w:jc w:val="both"/>
            </w:pPr>
            <w:r>
              <w:rPr>
                <w:rFonts w:ascii="仿宋_GB2312" w:hAnsi="仿宋_GB2312" w:cs="仿宋_GB2312" w:eastAsia="仿宋_GB2312"/>
              </w:rPr>
              <w:t>（7）现场工作完成后7个工作日内须上报检测结果，结果报告格式应设计合理并受控，加盖检验检测专用章。报告应经过审核后签发，必要时根据要求对报告作出意见解释，签发后若有更正或增补应予以记录，修订的检验检测报告应标明所代替的报告，并注以唯一性标识。</w:t>
            </w:r>
          </w:p>
          <w:p>
            <w:pPr>
              <w:pStyle w:val="null3"/>
              <w:ind w:firstLine="400"/>
              <w:jc w:val="both"/>
            </w:pPr>
            <w:r>
              <w:rPr>
                <w:rFonts w:ascii="仿宋_GB2312" w:hAnsi="仿宋_GB2312" w:cs="仿宋_GB2312" w:eastAsia="仿宋_GB2312"/>
              </w:rPr>
              <w:t>服务要求：</w:t>
            </w:r>
          </w:p>
          <w:p>
            <w:pPr>
              <w:pStyle w:val="null3"/>
              <w:ind w:firstLine="400"/>
              <w:jc w:val="both"/>
            </w:pPr>
            <w:r>
              <w:rPr>
                <w:rFonts w:ascii="仿宋_GB2312" w:hAnsi="仿宋_GB2312" w:cs="仿宋_GB2312" w:eastAsia="仿宋_GB2312"/>
              </w:rPr>
              <w:t>（1）提供必备的劳务、技术人员、车辆、安装工具、仪器设备等。</w:t>
            </w:r>
          </w:p>
          <w:p>
            <w:pPr>
              <w:pStyle w:val="null3"/>
              <w:ind w:firstLine="400"/>
              <w:jc w:val="both"/>
            </w:pPr>
            <w:r>
              <w:rPr>
                <w:rFonts w:ascii="仿宋_GB2312" w:hAnsi="仿宋_GB2312" w:cs="仿宋_GB2312" w:eastAsia="仿宋_GB2312"/>
              </w:rPr>
              <w:t>（2）对检测现场进行勘察，核查管道走向、管径大小、流态、管深、水深等基本情况。</w:t>
            </w:r>
          </w:p>
          <w:p>
            <w:pPr>
              <w:pStyle w:val="null3"/>
              <w:ind w:firstLine="400"/>
              <w:jc w:val="both"/>
            </w:pPr>
            <w:r>
              <w:rPr>
                <w:rFonts w:ascii="仿宋_GB2312" w:hAnsi="仿宋_GB2312" w:cs="仿宋_GB2312" w:eastAsia="仿宋_GB2312"/>
              </w:rPr>
              <w:t>（3）须在检测过程中安排工作小组进行巡查，如实记录检测数据，如发生数据异常、设备故障等情况应及时反馈。</w:t>
            </w:r>
          </w:p>
          <w:p>
            <w:pPr>
              <w:pStyle w:val="null3"/>
              <w:ind w:firstLine="400"/>
              <w:jc w:val="both"/>
            </w:pPr>
            <w:r>
              <w:rPr>
                <w:rFonts w:ascii="仿宋_GB2312" w:hAnsi="仿宋_GB2312" w:cs="仿宋_GB2312" w:eastAsia="仿宋_GB2312"/>
              </w:rPr>
              <w:t>（4）在检测完成后，如实汇总并整理相关检测数据及报告在五个工作日内交付。</w:t>
            </w:r>
          </w:p>
          <w:p>
            <w:pPr>
              <w:pStyle w:val="null3"/>
              <w:ind w:firstLine="400"/>
              <w:jc w:val="both"/>
            </w:pPr>
            <w:r>
              <w:rPr>
                <w:rFonts w:ascii="仿宋_GB2312" w:hAnsi="仿宋_GB2312" w:cs="仿宋_GB2312" w:eastAsia="仿宋_GB2312"/>
              </w:rPr>
              <w:t>4、质量验收标准或规范：</w:t>
            </w:r>
          </w:p>
          <w:p>
            <w:pPr>
              <w:pStyle w:val="null3"/>
              <w:ind w:firstLine="400"/>
              <w:jc w:val="both"/>
            </w:pPr>
            <w:r>
              <w:rPr>
                <w:rFonts w:ascii="仿宋_GB2312" w:hAnsi="仿宋_GB2312" w:cs="仿宋_GB2312" w:eastAsia="仿宋_GB2312"/>
              </w:rPr>
              <w:t>（1）《水资源水量监测技术导则》（SL365）。《城镇 排水设施气体的检测方法》（CJ-T 307-2009）</w:t>
            </w:r>
          </w:p>
          <w:p>
            <w:pPr>
              <w:pStyle w:val="null3"/>
              <w:ind w:firstLine="400"/>
              <w:jc w:val="both"/>
            </w:pPr>
            <w:r>
              <w:rPr>
                <w:rFonts w:ascii="仿宋_GB2312" w:hAnsi="仿宋_GB2312" w:cs="仿宋_GB2312" w:eastAsia="仿宋_GB2312"/>
              </w:rPr>
              <w:t>（2）具有完整的监测方案。</w:t>
            </w:r>
          </w:p>
          <w:p>
            <w:pPr>
              <w:pStyle w:val="null3"/>
              <w:ind w:firstLine="402"/>
              <w:jc w:val="both"/>
            </w:pPr>
            <w:r>
              <w:rPr>
                <w:rFonts w:ascii="仿宋_GB2312" w:hAnsi="仿宋_GB2312" w:cs="仿宋_GB2312" w:eastAsia="仿宋_GB2312"/>
                <w:b/>
              </w:rPr>
              <w:t>3.3水质监测服务</w:t>
            </w:r>
          </w:p>
          <w:p>
            <w:pPr>
              <w:pStyle w:val="null3"/>
              <w:ind w:firstLine="402"/>
              <w:jc w:val="both"/>
            </w:pPr>
            <w:r>
              <w:rPr>
                <w:rFonts w:ascii="仿宋_GB2312" w:hAnsi="仿宋_GB2312" w:cs="仿宋_GB2312" w:eastAsia="仿宋_GB2312"/>
                <w:b/>
              </w:rPr>
              <w:t>服务内容：</w:t>
            </w:r>
          </w:p>
          <w:p>
            <w:pPr>
              <w:pStyle w:val="null3"/>
              <w:ind w:firstLine="400"/>
              <w:jc w:val="both"/>
            </w:pPr>
            <w:r>
              <w:rPr>
                <w:rFonts w:ascii="仿宋_GB2312" w:hAnsi="仿宋_GB2312" w:cs="仿宋_GB2312" w:eastAsia="仿宋_GB2312"/>
              </w:rPr>
              <w:t>对排水设施（如雨水排放口、污水处理厂进厂管道等）、排水户等不同类别水样进行检测并出具盖有CMA标志的正式报告（一般一个点位出具一份报告），具体监测指标如下表（根据水样来源和性质，监测指标和数量可能会微调，最终以实际为准）：</w:t>
            </w:r>
          </w:p>
          <w:tbl>
            <w:tblPr>
              <w:tblInd w:type="dxa" w:w="135"/>
              <w:tblBorders>
                <w:top w:val="none" w:color="000000" w:sz="4"/>
                <w:left w:val="none" w:color="000000" w:sz="4"/>
                <w:bottom w:val="none" w:color="000000" w:sz="4"/>
                <w:right w:val="none" w:color="000000" w:sz="4"/>
                <w:insideH w:val="none"/>
                <w:insideV w:val="none"/>
              </w:tblBorders>
            </w:tblPr>
            <w:tblGrid>
              <w:gridCol w:w="483"/>
              <w:gridCol w:w="1095"/>
              <w:gridCol w:w="967"/>
            </w:tblGrid>
            <w:tr>
              <w:tc>
                <w:tcPr>
                  <w:tcW w:type="dxa" w:w="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监测指标（项目）</w:t>
                  </w:r>
                </w:p>
              </w:tc>
              <w:tc>
                <w:tcPr>
                  <w:tcW w:type="dxa" w:w="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指标数量（个）</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总氰化物</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粪大肠菌群</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肠道致病菌</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总铜</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总镉</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总铁</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总汞</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总砷</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总银</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六价铬</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总锌</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阴离子表面活性剂</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氯苯类</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五氯酚</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甲醛</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硫化物</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应急监测</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c>
                <w:tcPr>
                  <w:tcW w:type="dxa" w:w="206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9"/>
                    </w:rPr>
                    <w:t>应急监测项目一般从《污水排入城镇下水道水质标准》（GB/T 31962）中选取，如pH值、氨氮、总氮、化学需氧量、总磷等，实际根据工作需求来定。</w:t>
                  </w:r>
                </w:p>
                <w:p>
                  <w:pPr>
                    <w:pStyle w:val="null3"/>
                    <w:numPr>
                      <w:ilvl w:val="0"/>
                      <w:numId w:val="1"/>
                    </w:numPr>
                    <w:jc w:val="left"/>
                  </w:pPr>
                  <w:r>
                    <w:rPr>
                      <w:rFonts w:ascii="仿宋_GB2312" w:hAnsi="仿宋_GB2312" w:cs="仿宋_GB2312" w:eastAsia="仿宋_GB2312"/>
                      <w:sz w:val="19"/>
                    </w:rPr>
                    <w:t>检测完成后，出具正式检测报告，一般一个样品出具一份报告。</w:t>
                  </w:r>
                </w:p>
              </w:tc>
            </w:tr>
          </w:tbl>
          <w:p>
            <w:pPr>
              <w:pStyle w:val="null3"/>
              <w:ind w:firstLine="400"/>
              <w:jc w:val="both"/>
            </w:pPr>
            <w:r>
              <w:rPr>
                <w:rFonts w:ascii="仿宋_GB2312" w:hAnsi="仿宋_GB2312" w:cs="仿宋_GB2312" w:eastAsia="仿宋_GB2312"/>
              </w:rPr>
              <w:t xml:space="preserve"> </w:t>
            </w:r>
          </w:p>
          <w:p>
            <w:pPr>
              <w:pStyle w:val="null3"/>
              <w:ind w:firstLine="402"/>
              <w:jc w:val="both"/>
            </w:pPr>
            <w:r>
              <w:rPr>
                <w:rFonts w:ascii="仿宋_GB2312" w:hAnsi="仿宋_GB2312" w:cs="仿宋_GB2312" w:eastAsia="仿宋_GB2312"/>
                <w:b/>
              </w:rPr>
              <w:t>技术要求:</w:t>
            </w:r>
          </w:p>
          <w:p>
            <w:pPr>
              <w:pStyle w:val="null3"/>
              <w:ind w:firstLine="400"/>
              <w:jc w:val="both"/>
            </w:pPr>
            <w:r>
              <w:rPr>
                <w:rFonts w:ascii="仿宋_GB2312" w:hAnsi="仿宋_GB2312" w:cs="仿宋_GB2312" w:eastAsia="仿宋_GB2312"/>
              </w:rPr>
              <w:t>（1）检测项目中使用的检测标准（方法依据）主要来源于《污水排入城镇下水道水质标准》（GB/T 31962）或《陕西省黄河流域污水综合排放标准》（DB 61/224）中推荐使用的检测标准。</w:t>
            </w:r>
          </w:p>
          <w:p>
            <w:pPr>
              <w:pStyle w:val="null3"/>
              <w:ind w:firstLine="241"/>
              <w:jc w:val="both"/>
            </w:pPr>
            <w:r>
              <w:rPr>
                <w:rFonts w:ascii="仿宋_GB2312" w:hAnsi="仿宋_GB2312" w:cs="仿宋_GB2312" w:eastAsia="仿宋_GB2312"/>
                <w:b/>
              </w:rPr>
              <w:t>▲（2）水质检测服务方应具备检验检测机构资质认定证书（CMA标志），且近5年内无不良诚信记录。加盖CMA标志的报告中使用的检测方法应在其批准的检验检测能力附表范围内。</w:t>
            </w:r>
          </w:p>
          <w:p>
            <w:pPr>
              <w:pStyle w:val="null3"/>
              <w:ind w:firstLine="400"/>
              <w:jc w:val="both"/>
            </w:pPr>
            <w:r>
              <w:rPr>
                <w:rFonts w:ascii="仿宋_GB2312" w:hAnsi="仿宋_GB2312" w:cs="仿宋_GB2312" w:eastAsia="仿宋_GB2312"/>
              </w:rPr>
              <w:t>（3）水质检验检测应控制全过程、全要素，包括人员持证上岗、试剂符合相关标准要求、设施环境对结果不会产生负面影响等。每批样品应该严格按照相应测定项目的相关标准开展实验，并采取测定平行、加标或质控样品等方式对样品进行质量控制，确保数据和结果的准确性、有效性。</w:t>
            </w:r>
          </w:p>
          <w:p>
            <w:pPr>
              <w:pStyle w:val="null3"/>
              <w:ind w:firstLine="400"/>
              <w:jc w:val="both"/>
            </w:pPr>
            <w:r>
              <w:rPr>
                <w:rFonts w:ascii="仿宋_GB2312" w:hAnsi="仿宋_GB2312" w:cs="仿宋_GB2312" w:eastAsia="仿宋_GB2312"/>
              </w:rPr>
              <w:t>（4）样品检验检测应符合《检验检测机构资质认定管理办法》、《检验检测机构资质认定监督管理办法》、《检验检测机构资质认定评审准则》等法律法规要求，如出现其中的“不实”和“虚假”检测情况，应承担相应的法律和经济责任。</w:t>
            </w:r>
          </w:p>
          <w:p>
            <w:pPr>
              <w:pStyle w:val="null3"/>
              <w:ind w:firstLine="400"/>
              <w:jc w:val="both"/>
            </w:pPr>
            <w:r>
              <w:rPr>
                <w:rFonts w:ascii="仿宋_GB2312" w:hAnsi="仿宋_GB2312" w:cs="仿宋_GB2312" w:eastAsia="仿宋_GB2312"/>
              </w:rPr>
              <w:t>服务要求:</w:t>
            </w:r>
          </w:p>
          <w:p>
            <w:pPr>
              <w:pStyle w:val="null3"/>
              <w:ind w:firstLine="400"/>
              <w:jc w:val="both"/>
            </w:pPr>
            <w:r>
              <w:rPr>
                <w:rFonts w:ascii="仿宋_GB2312" w:hAnsi="仿宋_GB2312" w:cs="仿宋_GB2312" w:eastAsia="仿宋_GB2312"/>
              </w:rPr>
              <w:t>（1）在资质认定证书规定的检测能力范围内，依据相关标准或技术规范规定的程序和要求，及时出具检测数据结果，对数据的真实性和准确性负责。</w:t>
            </w:r>
          </w:p>
          <w:p>
            <w:pPr>
              <w:pStyle w:val="null3"/>
              <w:ind w:firstLine="400"/>
              <w:jc w:val="both"/>
            </w:pPr>
            <w:r>
              <w:rPr>
                <w:rFonts w:ascii="仿宋_GB2312" w:hAnsi="仿宋_GB2312" w:cs="仿宋_GB2312" w:eastAsia="仿宋_GB2312"/>
              </w:rPr>
              <w:t>（2）对报告结果及检测数据有质疑，服务方应积极配合，提供必要的支持和证据，以证明其服务质量和服务能力的符合性。</w:t>
            </w:r>
          </w:p>
          <w:p>
            <w:pPr>
              <w:pStyle w:val="null3"/>
              <w:ind w:firstLine="400"/>
              <w:jc w:val="both"/>
            </w:pPr>
            <w:r>
              <w:rPr>
                <w:rFonts w:ascii="仿宋_GB2312" w:hAnsi="仿宋_GB2312" w:cs="仿宋_GB2312" w:eastAsia="仿宋_GB2312"/>
              </w:rPr>
              <w:t>（3）服务方可接受随时随地的、预先不通知的、对合同范围内检测工作进行随机监督检查（如现场抽查、数据审核、质控样测定等），对发生数据异常、设备故障等情况应及时记录并反馈。</w:t>
            </w:r>
          </w:p>
          <w:p>
            <w:pPr>
              <w:pStyle w:val="null3"/>
              <w:ind w:firstLine="402"/>
              <w:jc w:val="both"/>
            </w:pPr>
            <w:r>
              <w:rPr>
                <w:rFonts w:ascii="仿宋_GB2312" w:hAnsi="仿宋_GB2312" w:cs="仿宋_GB2312" w:eastAsia="仿宋_GB2312"/>
              </w:rPr>
              <w:t>（4）在检测完成后，服务方如实汇总并整理相关检测数据及报告，并在7个工作日内出具报告。出具的结果报告格式应设计合理、受控，经审核后签发，清晰标注资质认定标志（对于不在《检验检测机构资质认定能力项目库》的项目可不加盖CMA标志）及加盖检验检测专用章。</w:t>
            </w:r>
          </w:p>
          <w:p>
            <w:pPr>
              <w:pStyle w:val="null3"/>
              <w:ind w:firstLine="402"/>
              <w:jc w:val="both"/>
            </w:pPr>
            <w:r>
              <w:rPr>
                <w:rFonts w:ascii="仿宋_GB2312" w:hAnsi="仿宋_GB2312" w:cs="仿宋_GB2312" w:eastAsia="仿宋_GB2312"/>
                <w:b/>
              </w:rPr>
              <w:t>三、项目整体服务要求</w:t>
            </w:r>
          </w:p>
          <w:p>
            <w:pPr>
              <w:pStyle w:val="null3"/>
              <w:ind w:firstLine="402"/>
              <w:jc w:val="both"/>
            </w:pPr>
            <w:r>
              <w:rPr>
                <w:rFonts w:ascii="仿宋_GB2312" w:hAnsi="仿宋_GB2312" w:cs="仿宋_GB2312" w:eastAsia="仿宋_GB2312"/>
                <w:b/>
              </w:rPr>
              <w:t>（一）服务商团队人员和设备配置要求</w:t>
            </w:r>
          </w:p>
          <w:p>
            <w:pPr>
              <w:pStyle w:val="null3"/>
              <w:ind w:firstLine="400"/>
              <w:jc w:val="left"/>
            </w:pPr>
            <w:r>
              <w:rPr>
                <w:rFonts w:ascii="仿宋_GB2312" w:hAnsi="仿宋_GB2312" w:cs="仿宋_GB2312" w:eastAsia="仿宋_GB2312"/>
              </w:rPr>
              <w:t>1.服务商应派一名项目负责人（具备设备、检测等相关专业工程师及以上职称或资格证书），直接与采购人沟通，项目负责人接收采购提出的问题与要求，并及时反馈给工作组，解决在项目实施过程中遇到的问题，项目负责人更替须征得采购人的同意；应严格按照按采购人指定的工作内容开展作业。</w:t>
            </w:r>
          </w:p>
          <w:p>
            <w:pPr>
              <w:pStyle w:val="null3"/>
              <w:ind w:firstLine="400"/>
              <w:jc w:val="left"/>
            </w:pPr>
            <w:r>
              <w:rPr>
                <w:rFonts w:ascii="仿宋_GB2312" w:hAnsi="仿宋_GB2312" w:cs="仿宋_GB2312" w:eastAsia="仿宋_GB2312"/>
              </w:rPr>
              <w:t>2.团队人员和设备配置至少应包括，设备设施（含信息系统）运维专业技术人员至少3人，检测人员2人，保洁1人，水电工至少1人，其他辅助人员至少2人，相关设备运维、检测等任务应配备相应的维护和检测设备。服务期内，服务商安排至少1台车辆保障排水监测运行维护和应急检测要求，相关人员服从采购人运维工作安排及应急调度。</w:t>
            </w:r>
          </w:p>
          <w:p>
            <w:pPr>
              <w:pStyle w:val="null3"/>
              <w:ind w:firstLine="400"/>
              <w:jc w:val="left"/>
            </w:pPr>
            <w:r>
              <w:rPr>
                <w:rFonts w:ascii="仿宋_GB2312" w:hAnsi="仿宋_GB2312" w:cs="仿宋_GB2312" w:eastAsia="仿宋_GB2312"/>
              </w:rPr>
              <w:t>3.服务商应配备足够人员和设备投入到本项目，以满足进度、质量、技术等要求。</w:t>
            </w:r>
          </w:p>
          <w:p>
            <w:pPr>
              <w:pStyle w:val="null3"/>
              <w:ind w:firstLine="402"/>
              <w:jc w:val="both"/>
            </w:pPr>
            <w:r>
              <w:rPr>
                <w:rFonts w:ascii="仿宋_GB2312" w:hAnsi="仿宋_GB2312" w:cs="仿宋_GB2312" w:eastAsia="仿宋_GB2312"/>
                <w:b/>
              </w:rPr>
              <w:t>（二）服务质量和安全要求</w:t>
            </w:r>
          </w:p>
          <w:p>
            <w:pPr>
              <w:pStyle w:val="null3"/>
              <w:ind w:firstLine="400"/>
              <w:jc w:val="left"/>
            </w:pPr>
            <w:r>
              <w:rPr>
                <w:rFonts w:ascii="仿宋_GB2312" w:hAnsi="仿宋_GB2312" w:cs="仿宋_GB2312" w:eastAsia="仿宋_GB2312"/>
              </w:rPr>
              <w:t>1.符合规范标准要求。服务商应严格按照国家、行业的标准、规范、规程和规定开展排水监测运行维护服务，确保项目服务质量满足要求，对其服务成果的质量负责。</w:t>
            </w:r>
          </w:p>
          <w:p>
            <w:pPr>
              <w:pStyle w:val="null3"/>
              <w:ind w:firstLine="400"/>
              <w:jc w:val="left"/>
            </w:pPr>
            <w:r>
              <w:rPr>
                <w:rFonts w:ascii="仿宋_GB2312" w:hAnsi="仿宋_GB2312" w:cs="仿宋_GB2312" w:eastAsia="仿宋_GB2312"/>
              </w:rPr>
              <w:t>2.服务及时性要求。按照采购人的有关制度规定及要求，制定项目进度计划，按期及时完成设备实验仪器设备运行维护（设备维护、培训、设备检定/校准等），实验室运行保障（固废清理、数据系统维护、设施维护、水电检修、日常保洁等），排水监测服务（排水监测劳务，水质、流量监测服务等）全部服务事项。</w:t>
            </w:r>
          </w:p>
          <w:p>
            <w:pPr>
              <w:pStyle w:val="null3"/>
              <w:ind w:firstLine="400"/>
              <w:jc w:val="left"/>
            </w:pPr>
            <w:r>
              <w:rPr>
                <w:rFonts w:ascii="仿宋_GB2312" w:hAnsi="仿宋_GB2312" w:cs="仿宋_GB2312" w:eastAsia="仿宋_GB2312"/>
              </w:rPr>
              <w:t>3.满足安全生产要求。服务商应建立安全生产制度，保障作业人员的工作安全，切实消除安全隐患。当发生安全事故时，所有责任由服务商承担。项目服务期内，服务商因各种原因，在工作过程中造成第三方的人身和财产损失，由服务商自主承担相应的法律和经济责任，与采购人无关；造成采购经济损失的，由服务商承担，采购人保留追究其法律责任的权利。如因服务商未尽到自身安全责任造成造成的人员伤亡或者直接经济损失的，采购人有权终止合同，采购人保留追究服务商相关责任的权利。</w:t>
            </w:r>
          </w:p>
          <w:p>
            <w:pPr>
              <w:pStyle w:val="null3"/>
              <w:ind w:firstLine="400"/>
              <w:jc w:val="left"/>
            </w:pPr>
            <w:r>
              <w:rPr>
                <w:rFonts w:ascii="仿宋_GB2312" w:hAnsi="仿宋_GB2312" w:cs="仿宋_GB2312" w:eastAsia="仿宋_GB2312"/>
              </w:rPr>
              <w:t>4.服务商必须配合采购人及对本项目实施的监督检查，即采购人不定期监督检查服务商的全过程工作。</w:t>
            </w:r>
          </w:p>
          <w:p>
            <w:pPr>
              <w:pStyle w:val="null3"/>
              <w:ind w:firstLine="400"/>
              <w:jc w:val="left"/>
            </w:pPr>
            <w:r>
              <w:rPr>
                <w:rFonts w:ascii="仿宋_GB2312" w:hAnsi="仿宋_GB2312" w:cs="仿宋_GB2312" w:eastAsia="仿宋_GB2312"/>
              </w:rPr>
              <w:t>5.项目在实施过程中会出现不可预料的需求变更，服务商需积极配合采购人的需求变更，并按照变更后的需求继续进行方案实施。</w:t>
            </w:r>
          </w:p>
          <w:p>
            <w:pPr>
              <w:pStyle w:val="null3"/>
              <w:ind w:firstLine="400"/>
              <w:jc w:val="left"/>
            </w:pPr>
            <w:r>
              <w:rPr>
                <w:rFonts w:ascii="仿宋_GB2312" w:hAnsi="仿宋_GB2312" w:cs="仿宋_GB2312" w:eastAsia="仿宋_GB2312"/>
              </w:rPr>
              <w:t>6.服务商需提交所有实施方案流程及说明文档。服务需设有详细的技术资料档案和服务档案，将保存项目的详细资料以便于更好地提供服务。</w:t>
            </w:r>
          </w:p>
          <w:p>
            <w:pPr>
              <w:pStyle w:val="null3"/>
              <w:ind w:firstLine="402"/>
              <w:jc w:val="both"/>
            </w:pPr>
            <w:r>
              <w:rPr>
                <w:rFonts w:ascii="仿宋_GB2312" w:hAnsi="仿宋_GB2312" w:cs="仿宋_GB2312" w:eastAsia="仿宋_GB2312"/>
                <w:b/>
              </w:rPr>
              <w:t>（三）知识产权</w:t>
            </w:r>
          </w:p>
          <w:p>
            <w:pPr>
              <w:pStyle w:val="null3"/>
              <w:ind w:firstLine="400"/>
              <w:jc w:val="left"/>
            </w:pPr>
            <w:r>
              <w:rPr>
                <w:rFonts w:ascii="仿宋_GB2312" w:hAnsi="仿宋_GB2312" w:cs="仿宋_GB2312" w:eastAsia="仿宋_GB2312"/>
              </w:rPr>
              <w:t>1.本项目知识产权归采购人所有。</w:t>
            </w:r>
          </w:p>
          <w:p>
            <w:pPr>
              <w:pStyle w:val="null3"/>
              <w:ind w:firstLine="400"/>
              <w:jc w:val="left"/>
            </w:pPr>
            <w:r>
              <w:rPr>
                <w:rFonts w:ascii="仿宋_GB2312" w:hAnsi="仿宋_GB2312" w:cs="仿宋_GB2312" w:eastAsia="仿宋_GB2312"/>
              </w:rPr>
              <w:t>2.服务商无论出于任何目的如在其他地方使用该成果，必须经采购人同意方可使用。否则，采购人有权要求终止涉及到该项目相关知识产权的任何使用活动并保留追究卖方相应的法律责任的权利。</w:t>
            </w:r>
          </w:p>
          <w:p>
            <w:pPr>
              <w:pStyle w:val="null3"/>
              <w:ind w:firstLine="400"/>
              <w:jc w:val="left"/>
            </w:pPr>
            <w:r>
              <w:rPr>
                <w:rFonts w:ascii="仿宋_GB2312" w:hAnsi="仿宋_GB2312" w:cs="仿宋_GB2312" w:eastAsia="仿宋_GB2312"/>
              </w:rPr>
              <w:t>3.服务商为执行本项目而提供的技术资料使用权归采购人所有。</w:t>
            </w:r>
          </w:p>
          <w:p>
            <w:pPr>
              <w:pStyle w:val="null3"/>
              <w:ind w:firstLine="402"/>
              <w:jc w:val="both"/>
            </w:pPr>
            <w:r>
              <w:rPr>
                <w:rFonts w:ascii="仿宋_GB2312" w:hAnsi="仿宋_GB2312" w:cs="仿宋_GB2312" w:eastAsia="仿宋_GB2312"/>
                <w:b/>
              </w:rPr>
              <w:t>（四）保密规定</w:t>
            </w:r>
          </w:p>
          <w:p>
            <w:pPr>
              <w:pStyle w:val="null3"/>
              <w:ind w:firstLine="400"/>
              <w:jc w:val="left"/>
            </w:pPr>
            <w:r>
              <w:rPr>
                <w:rFonts w:ascii="仿宋_GB2312" w:hAnsi="仿宋_GB2312" w:cs="仿宋_GB2312" w:eastAsia="仿宋_GB2312"/>
              </w:rPr>
              <w:t>1.服务商应永久恪守因本项目而获知的采购人秘密信息及其它秘密资料。如将获知的秘密信息泄露给第三方，应赔偿因泄密而给对方造成的一切损失并承担相应的法律责任（包括刑事责任）。</w:t>
            </w:r>
          </w:p>
          <w:p>
            <w:pPr>
              <w:pStyle w:val="null3"/>
              <w:ind w:firstLine="400"/>
              <w:jc w:val="left"/>
            </w:pPr>
            <w:r>
              <w:rPr>
                <w:rFonts w:ascii="仿宋_GB2312" w:hAnsi="仿宋_GB2312" w:cs="仿宋_GB2312" w:eastAsia="仿宋_GB2312"/>
              </w:rPr>
              <w:t>2.本项目所指保密信息资料包括：在服务过程中，从采购人（或其主管部门、关联部门及下属机构）获得的与合作项目有关检测数据、设备信息等相关的技术、运营资料或其它资料；在项目合作过程中产生的原始记录、存储数据及影像资料、作业成果报告等。上述保密信息资料可以以数据、文字及记载上述内容的资料、光盘、软件、图书等有形媒介体现。</w:t>
            </w:r>
          </w:p>
          <w:p>
            <w:pPr>
              <w:pStyle w:val="null3"/>
              <w:ind w:firstLine="402"/>
              <w:jc w:val="both"/>
            </w:pPr>
            <w:r>
              <w:rPr>
                <w:rFonts w:ascii="仿宋_GB2312" w:hAnsi="仿宋_GB2312" w:cs="仿宋_GB2312" w:eastAsia="仿宋_GB2312"/>
                <w:b/>
              </w:rPr>
              <w:t>（五）服务成果及履约验收要求</w:t>
            </w:r>
          </w:p>
          <w:p>
            <w:pPr>
              <w:pStyle w:val="null3"/>
              <w:ind w:firstLine="400"/>
              <w:jc w:val="left"/>
            </w:pPr>
            <w:r>
              <w:rPr>
                <w:rFonts w:ascii="仿宋_GB2312" w:hAnsi="仿宋_GB2312" w:cs="仿宋_GB2312" w:eastAsia="仿宋_GB2312"/>
              </w:rPr>
              <w:t>1.成果交付要求</w:t>
            </w:r>
          </w:p>
          <w:p>
            <w:pPr>
              <w:pStyle w:val="null3"/>
              <w:ind w:firstLine="400"/>
              <w:jc w:val="left"/>
            </w:pPr>
            <w:r>
              <w:rPr>
                <w:rFonts w:ascii="仿宋_GB2312" w:hAnsi="仿宋_GB2312" w:cs="仿宋_GB2312" w:eastAsia="仿宋_GB2312"/>
              </w:rPr>
              <w:t>服务期结束后履约验收时服务商至少应提交以下成果资料，设备运维做好运维记录（原始资料）、设备检定书及校准报告等（每台设备坚定书或校准报告，纸质版1份、电子版1份），检测报告（纸质版1份、电子版1份），固废清运（相关运输证明材料1份），项目服务开展总结报告等。</w:t>
            </w:r>
          </w:p>
          <w:p>
            <w:pPr>
              <w:pStyle w:val="null3"/>
              <w:ind w:firstLine="400"/>
              <w:jc w:val="left"/>
            </w:pPr>
            <w:r>
              <w:rPr>
                <w:rFonts w:ascii="仿宋_GB2312" w:hAnsi="仿宋_GB2312" w:cs="仿宋_GB2312" w:eastAsia="仿宋_GB2312"/>
              </w:rPr>
              <w:t>2.履约验收方案及要求</w:t>
            </w:r>
          </w:p>
          <w:p>
            <w:pPr>
              <w:pStyle w:val="null3"/>
              <w:ind w:firstLine="400"/>
              <w:jc w:val="both"/>
            </w:pPr>
            <w:r>
              <w:rPr>
                <w:rFonts w:ascii="仿宋_GB2312" w:hAnsi="仿宋_GB2312" w:cs="仿宋_GB2312" w:eastAsia="仿宋_GB2312"/>
              </w:rPr>
              <w:t>（1）服务商完成全部任务后，向采购人递交验收通知书，经采购人确认后，组织进行系统验收。成立本项目验收小组（不少于5人且为奇数），召开验收会议，验收合格后，出具验收报告（验收单）并签字，验收报告（验收单）应当列明各项标准的验收情况及项目总体绩效评价，作为对本次服务的最终认可及项目款项结算依据等。</w:t>
            </w:r>
          </w:p>
          <w:p>
            <w:pPr>
              <w:pStyle w:val="null3"/>
              <w:ind w:firstLine="400"/>
              <w:jc w:val="both"/>
            </w:pPr>
            <w:r>
              <w:rPr>
                <w:rFonts w:ascii="仿宋_GB2312" w:hAnsi="仿宋_GB2312" w:cs="仿宋_GB2312" w:eastAsia="仿宋_GB2312"/>
              </w:rPr>
              <w:t>（2）在项目实施过程中或验收时，如发现质量不符合规定，服务商负责无偿返工。</w:t>
            </w:r>
          </w:p>
          <w:p>
            <w:pPr>
              <w:pStyle w:val="null3"/>
              <w:ind w:firstLine="400"/>
              <w:jc w:val="both"/>
            </w:pPr>
            <w:r>
              <w:rPr>
                <w:rFonts w:ascii="仿宋_GB2312" w:hAnsi="仿宋_GB2312" w:cs="仿宋_GB2312" w:eastAsia="仿宋_GB2312"/>
              </w:rPr>
              <w:t>（3）服务商对设备检定和校准报告、检测报告及其他本项目相关的服务成果负责，服务技术质量保证的相关费用包含在投标报价中，采购人不另行支付。服务商所供的成果文件必须保证符合国家相关程序和相关规定，质量符合现行的国家及行业相关的技术规范和规定要求，确保真实性、可靠性。</w:t>
            </w:r>
          </w:p>
          <w:p>
            <w:pPr>
              <w:pStyle w:val="null3"/>
              <w:ind w:firstLine="400"/>
              <w:jc w:val="both"/>
            </w:pPr>
            <w:r>
              <w:rPr>
                <w:rFonts w:ascii="仿宋_GB2312" w:hAnsi="仿宋_GB2312" w:cs="仿宋_GB2312" w:eastAsia="仿宋_GB2312"/>
              </w:rPr>
              <w:t>（4） 如遇以下情况，履约保证金不予退还：</w:t>
            </w:r>
          </w:p>
          <w:p>
            <w:pPr>
              <w:pStyle w:val="null3"/>
              <w:ind w:firstLine="400"/>
              <w:jc w:val="both"/>
            </w:pPr>
            <w:r>
              <w:rPr>
                <w:rFonts w:ascii="仿宋_GB2312" w:hAnsi="仿宋_GB2312" w:cs="仿宋_GB2312" w:eastAsia="仿宋_GB2312"/>
              </w:rPr>
              <w:t>①合同签订后各项服务不能按合同期限要求完成的；</w:t>
            </w:r>
          </w:p>
          <w:p>
            <w:pPr>
              <w:pStyle w:val="null3"/>
              <w:ind w:firstLine="400"/>
              <w:jc w:val="both"/>
            </w:pPr>
            <w:r>
              <w:rPr>
                <w:rFonts w:ascii="仿宋_GB2312" w:hAnsi="仿宋_GB2312" w:cs="仿宋_GB2312" w:eastAsia="仿宋_GB2312"/>
              </w:rPr>
              <w:t>②发现问题经整改后仍不能按合同履约的；</w:t>
            </w:r>
          </w:p>
          <w:p>
            <w:pPr>
              <w:pStyle w:val="null3"/>
            </w:pPr>
            <w:r>
              <w:rPr>
                <w:rFonts w:ascii="仿宋_GB2312" w:hAnsi="仿宋_GB2312" w:cs="仿宋_GB2312" w:eastAsia="仿宋_GB2312"/>
              </w:rPr>
              <w:t xml:space="preserve">    ③服务质量经多次整改后仍验收不合格的。</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详见服务要求中相关描述。</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详见服务要求中相关描述。</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详见服务要求中相关描述。</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西安市范围内，具体按照采购人要求。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经甲方验收合格后，确定项目完成。</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预付款，合同签订后7个工作日乙方向甲方提供履约保函，达到付款条件起20个工作日内，支付合同总金额的55.0%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进度款，项目服务期满，甲方验收合格后，达到付款条件起20个工作日内，支付合同总金额的45.0%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向采购人提供的服务不符合招投标文件及合同要求且拒不整改、违反保密协议及违反安全生产法律法规等，采购人有权解除合同，对已经发生未支付的费用可不予以支付，对已支付费服务商应无条件返还；由此给采购人造成的损失的，采购人有权进一步要求服务商赔偿损失，并追究服务商相关责任。2.服务商服务过程中出现严重的质量问题，经采购人或第三方核查属实的，该部分工作量全部作废，采购人应无条件限期重做；则采购人有权解除合同，对已经发生未支付的费用可不予以支付，对已支付费服务商应无条件返还；由此给采购人造成的损失的，采购人有权进一步要求服务商赔偿损失，并追究服务商相关责任。3.服务商应对提交的检定、校验、检测报告成果负责。成果达不到要求的，采购人有权督促服务商按照采购人提供的书面成果审查或审批意见进行补充完善，相关费用已含在投标报价中，采购人不再另外支付费用，如出现重大失误，服务商需承担由此造成的全部经济责任和法律责任，采购人对已经发生未支付的费用可不予以支付，对已支付费服务商应无条件返还。4.服务商未按项目需求建立安全生产制度并严格落实的，或经采购人或第三方检查发现存在重大安全隐患的，采购人给予书面警告，服务商应无条件限期整改；不整改或整改不到位的，采购人有权终止合同，采购人保留追究乙方相关责任的权利。5.服务商未按项目项目响应文件或需求投入相应的人员、车辆、设备，采购人给予书面告知，服务商应无条件限期整改；不整改或整改不到位的采购人有权终止合同，采购人保留追究服务相关责任的权利。</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其他补充事宜：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置无法调整，合同付款支付要求以第八章“拟签订采购合同文本”中体现的内容为准.3、成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提供具有审计资质单位出具的2025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在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履行合同所必需的设备和专业技术能力的书面声明.docx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参加政府采购活动前3年内无重大违法记录的书面声明.docx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信誉书面声明.docx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费用组成明细表.docx 标的清单 报价表 首次报价表.docx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与所投项目名称、项目编号一致，符合磋商文件签署盖章要求。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 首次报价表.docx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内容至少包括①项目背景了解；②服务内容及目标；③实验室仪器设备运行维护具体服务措施；④实验室运行保障具体服务措施；⑤排水监测服务具体服务措施等。 评审标准：整体服务方案各部分内容全面详细、阐述条理清晰详尽、符合本项目采购需求得15分，每缺一项内容扣3分，评审内容有瑕疵的根据情况扣分，扣完为止。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内容至少包括①项目实施进度目标分析；②项目进度保障措施；③突发情况的应急方案等。 评审标准：项目实施进度计划各部分内容全面详细、阐述条理清晰详尽、符合本项目采购需求得9分，每缺一项内容扣3分，评审内容有瑕疵的根据情况扣分，扣完为止。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内容至少包括①质量保障方案；②服务质量内部考核方案；③项目服务过程中成果文件质量控制措施等。 评审标准：质量保证措施各部分内容全面详细、阐述条理清晰详尽、符合本项目采购需求得9分，每缺一项内容扣3分，评审内容有瑕疵的根据情况扣分，扣完为止。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内容至少包括①保密管理制度；②具体工作保密措施及承诺等。 评审标准：保密措施各部分内容全面详细、阐述条理清晰详尽、符合本项目采购需求得7分，每缺一项内容扣3.5分，评审内容有瑕疵的根据情况扣分，扣完为止。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项目设备配置</w:t>
            </w:r>
          </w:p>
        </w:tc>
        <w:tc>
          <w:tcPr>
            <w:tcW w:type="dxa" w:w="2492"/>
          </w:tcPr>
          <w:p>
            <w:pPr>
              <w:pStyle w:val="null3"/>
            </w:pPr>
            <w:r>
              <w:rPr>
                <w:rFonts w:ascii="仿宋_GB2312" w:hAnsi="仿宋_GB2312" w:cs="仿宋_GB2312" w:eastAsia="仿宋_GB2312"/>
              </w:rPr>
              <w:t>配备1台车辆保障排水监测运行维护和应急检测得基础分3分，每增加1台车辆加2分，本项最高得7分。 （需提供车辆购置发票或者租赁协议）</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1.项目负责人 项目负责人具备检测等相关专业副高级及以上职称证书或资格证书得3分。（需提供证书复印件） 2.团队成员 ①配备设备设施（含信息系统）运维专业技术人员3人得基础分3分，每增加1人加1.5分，本项最高6分。 （需提供人员身份证复印件、相关证书及岗位职责） ②配备检测人员2人得基础分2分，每增加1人加1.5分，本项最高得5分。 （需提供人员身份证复印件、相关证书及岗位职责） ③配备保洁1人得基础分1分，每增加1人加1分，本项最高得2分。 （需提供人员身份证复印件及岗位职责） ④配备水工1人得基础分1分，每增加1人加1分，本项最高得2分。 （需提供人员身份证复印件、水工证及岗位职责） ⑤配备电工1人得基础分1分，每增加1人加1分，本项最高得2分。 （需提供人员身份证复印件、电工证及岗位职责） ⑥配备辅助人员2人得基础分1分，每增加1人加1分，本项最高得2分。 （需提供人员身份证复印件及岗位职责） 3.设备设施（含信息系统）运维专业技术人员参与过3家及以上环境监测项目实施工作，拥有丰富的维护经验，具备系统培训、维护及解决问题的能力，每提供1个得2分，本项最高得6分。 （需提供相关证明材料）</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供应商具有2023年8月1日（以合同签订时间为准）同类项目业绩，响应文件中提供合同复印件加盖公章，每提供一个得3分，最高得15分。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满足磋商文件要求且最后报价最低的供应商的价格为评标基准价，其价格分为满分。其他供应商的价格分统一按照下列公式计算： 投标报价得分=（评标基准价/最后报价）×价格权值×100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首次报价表.docx</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详见附件：履行合同所必需的设备和专业技术能力的书面声明.docx</w:t>
      </w:r>
    </w:p>
    <w:p>
      <w:pPr>
        <w:pStyle w:val="null3"/>
        <w:ind w:firstLine="960"/>
      </w:pPr>
      <w:r>
        <w:rPr>
          <w:rFonts w:ascii="仿宋_GB2312" w:hAnsi="仿宋_GB2312" w:cs="仿宋_GB2312" w:eastAsia="仿宋_GB2312"/>
        </w:rPr>
        <w:t>详见附件：参加政府采购活动前3年内无重大违法记录的书面声明.docx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详见附件：信誉书面声明.docx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