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C03062">
      <w:pPr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仿宋_GB2312" w:hAnsi="仿宋_GB2312" w:eastAsia="仿宋_GB2312" w:cs="仿宋_GB2312"/>
          <w:b/>
          <w:bCs/>
          <w:sz w:val="20"/>
          <w:szCs w:val="20"/>
        </w:rPr>
      </w:pPr>
      <w:bookmarkStart w:id="0" w:name="_Toc20990"/>
      <w:r>
        <w:rPr>
          <w:rFonts w:hint="eastAsia" w:ascii="仿宋_GB2312" w:hAnsi="仿宋_GB2312" w:eastAsia="仿宋_GB2312" w:cs="仿宋_GB2312"/>
          <w:b/>
          <w:bCs/>
          <w:sz w:val="20"/>
          <w:szCs w:val="20"/>
        </w:rPr>
        <w:t>服务方案响应说明</w:t>
      </w:r>
    </w:p>
    <w:p w14:paraId="531377B9">
      <w:pPr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仿宋_GB2312" w:hAnsi="仿宋_GB2312" w:eastAsia="仿宋_GB2312" w:cs="仿宋_GB2312"/>
          <w:b/>
          <w:bCs/>
          <w:sz w:val="20"/>
          <w:szCs w:val="20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sz w:val="20"/>
          <w:szCs w:val="20"/>
        </w:rPr>
        <w:t>一、服务</w:t>
      </w:r>
      <w:r>
        <w:rPr>
          <w:rFonts w:hint="eastAsia" w:ascii="仿宋_GB2312" w:hAnsi="仿宋_GB2312" w:eastAsia="仿宋_GB2312" w:cs="仿宋_GB2312"/>
          <w:b/>
          <w:bCs/>
          <w:sz w:val="20"/>
          <w:szCs w:val="20"/>
          <w:lang w:val="zh-CN"/>
        </w:rPr>
        <w:t>条款</w:t>
      </w:r>
      <w:r>
        <w:rPr>
          <w:rFonts w:hint="eastAsia" w:ascii="仿宋_GB2312" w:hAnsi="仿宋_GB2312" w:eastAsia="仿宋_GB2312" w:cs="仿宋_GB2312"/>
          <w:b/>
          <w:bCs/>
          <w:sz w:val="20"/>
          <w:szCs w:val="20"/>
        </w:rPr>
        <w:t>响应</w:t>
      </w:r>
      <w:r>
        <w:rPr>
          <w:rFonts w:hint="eastAsia" w:ascii="仿宋_GB2312" w:hAnsi="仿宋_GB2312" w:eastAsia="仿宋_GB2312" w:cs="仿宋_GB2312"/>
          <w:b/>
          <w:bCs/>
          <w:sz w:val="20"/>
          <w:szCs w:val="20"/>
          <w:lang w:val="zh-CN"/>
        </w:rPr>
        <w:t>偏离表</w:t>
      </w:r>
      <w:bookmarkEnd w:id="0"/>
    </w:p>
    <w:tbl>
      <w:tblPr>
        <w:tblStyle w:val="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0"/>
        <w:gridCol w:w="2520"/>
        <w:gridCol w:w="2625"/>
        <w:gridCol w:w="2075"/>
      </w:tblGrid>
      <w:tr w14:paraId="112C8A2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1160" w:type="dxa"/>
            <w:vAlign w:val="center"/>
          </w:tcPr>
          <w:p w14:paraId="69CEC558">
            <w:pPr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</w:rPr>
              <w:t>序号</w:t>
            </w:r>
          </w:p>
        </w:tc>
        <w:tc>
          <w:tcPr>
            <w:tcW w:w="2520" w:type="dxa"/>
            <w:vAlign w:val="center"/>
          </w:tcPr>
          <w:p w14:paraId="1D6287D0">
            <w:pPr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_GB2312" w:hAnsi="仿宋_GB2312" w:eastAsia="仿宋_GB2312" w:cs="仿宋_GB2312"/>
                <w:b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0"/>
                <w:szCs w:val="20"/>
              </w:rPr>
              <w:t>磋商文件</w:t>
            </w:r>
          </w:p>
          <w:p w14:paraId="56BB2E0A">
            <w:pPr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0"/>
                <w:szCs w:val="20"/>
              </w:rPr>
              <w:t>服务需求条款</w:t>
            </w:r>
          </w:p>
        </w:tc>
        <w:tc>
          <w:tcPr>
            <w:tcW w:w="2625" w:type="dxa"/>
            <w:vAlign w:val="center"/>
          </w:tcPr>
          <w:p w14:paraId="199AD780">
            <w:pPr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_GB2312" w:hAnsi="仿宋_GB2312" w:eastAsia="仿宋_GB2312" w:cs="仿宋_GB2312"/>
                <w:b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0"/>
                <w:szCs w:val="20"/>
              </w:rPr>
              <w:t>响应文件</w:t>
            </w:r>
          </w:p>
          <w:p w14:paraId="62C0C546">
            <w:pPr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0"/>
                <w:szCs w:val="20"/>
              </w:rPr>
              <w:t>服务条款响应</w:t>
            </w:r>
          </w:p>
        </w:tc>
        <w:tc>
          <w:tcPr>
            <w:tcW w:w="2075" w:type="dxa"/>
            <w:vAlign w:val="center"/>
          </w:tcPr>
          <w:p w14:paraId="3834E653">
            <w:pPr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</w:rPr>
              <w:t>偏离</w:t>
            </w:r>
          </w:p>
          <w:p w14:paraId="2C46BC8C">
            <w:pPr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</w:rPr>
              <w:t>及其影响</w:t>
            </w:r>
          </w:p>
        </w:tc>
      </w:tr>
      <w:tr w14:paraId="4487C2A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</w:tcPr>
          <w:p w14:paraId="607F63FB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_GB2312" w:hAnsi="仿宋_GB2312" w:eastAsia="仿宋_GB2312" w:cs="仿宋_GB2312"/>
                <w:bCs/>
                <w:sz w:val="20"/>
                <w:szCs w:val="20"/>
              </w:rPr>
            </w:pPr>
          </w:p>
        </w:tc>
        <w:tc>
          <w:tcPr>
            <w:tcW w:w="2520" w:type="dxa"/>
          </w:tcPr>
          <w:p w14:paraId="4F2FE625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_GB2312" w:hAnsi="仿宋_GB2312" w:eastAsia="仿宋_GB2312" w:cs="仿宋_GB2312"/>
                <w:bCs/>
                <w:sz w:val="20"/>
                <w:szCs w:val="20"/>
              </w:rPr>
            </w:pPr>
          </w:p>
        </w:tc>
        <w:tc>
          <w:tcPr>
            <w:tcW w:w="2625" w:type="dxa"/>
          </w:tcPr>
          <w:p w14:paraId="5DB97202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_GB2312" w:hAnsi="仿宋_GB2312" w:eastAsia="仿宋_GB2312" w:cs="仿宋_GB2312"/>
                <w:bCs/>
                <w:sz w:val="20"/>
                <w:szCs w:val="20"/>
              </w:rPr>
            </w:pPr>
          </w:p>
        </w:tc>
        <w:tc>
          <w:tcPr>
            <w:tcW w:w="2075" w:type="dxa"/>
          </w:tcPr>
          <w:p w14:paraId="02A41AA3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_GB2312" w:hAnsi="仿宋_GB2312" w:eastAsia="仿宋_GB2312" w:cs="仿宋_GB2312"/>
                <w:bCs/>
                <w:sz w:val="20"/>
                <w:szCs w:val="20"/>
              </w:rPr>
            </w:pPr>
          </w:p>
        </w:tc>
      </w:tr>
      <w:tr w14:paraId="1564522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</w:tcPr>
          <w:p w14:paraId="29259FF5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_GB2312" w:hAnsi="仿宋_GB2312" w:eastAsia="仿宋_GB2312" w:cs="仿宋_GB2312"/>
                <w:bCs/>
                <w:sz w:val="20"/>
                <w:szCs w:val="20"/>
              </w:rPr>
            </w:pPr>
          </w:p>
        </w:tc>
        <w:tc>
          <w:tcPr>
            <w:tcW w:w="2520" w:type="dxa"/>
          </w:tcPr>
          <w:p w14:paraId="245E02B1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_GB2312" w:hAnsi="仿宋_GB2312" w:eastAsia="仿宋_GB2312" w:cs="仿宋_GB2312"/>
                <w:bCs/>
                <w:sz w:val="20"/>
                <w:szCs w:val="20"/>
              </w:rPr>
            </w:pPr>
          </w:p>
        </w:tc>
        <w:tc>
          <w:tcPr>
            <w:tcW w:w="2625" w:type="dxa"/>
          </w:tcPr>
          <w:p w14:paraId="1B814C03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_GB2312" w:hAnsi="仿宋_GB2312" w:eastAsia="仿宋_GB2312" w:cs="仿宋_GB2312"/>
                <w:bCs/>
                <w:sz w:val="20"/>
                <w:szCs w:val="20"/>
              </w:rPr>
            </w:pPr>
          </w:p>
        </w:tc>
        <w:tc>
          <w:tcPr>
            <w:tcW w:w="2075" w:type="dxa"/>
          </w:tcPr>
          <w:p w14:paraId="64923E39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_GB2312" w:hAnsi="仿宋_GB2312" w:eastAsia="仿宋_GB2312" w:cs="仿宋_GB2312"/>
                <w:bCs/>
                <w:sz w:val="20"/>
                <w:szCs w:val="20"/>
              </w:rPr>
            </w:pPr>
          </w:p>
        </w:tc>
      </w:tr>
      <w:tr w14:paraId="237161E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</w:tcPr>
          <w:p w14:paraId="2DED09E9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_GB2312" w:hAnsi="仿宋_GB2312" w:eastAsia="仿宋_GB2312" w:cs="仿宋_GB2312"/>
                <w:bCs/>
                <w:sz w:val="20"/>
                <w:szCs w:val="20"/>
              </w:rPr>
            </w:pPr>
          </w:p>
        </w:tc>
        <w:tc>
          <w:tcPr>
            <w:tcW w:w="2520" w:type="dxa"/>
          </w:tcPr>
          <w:p w14:paraId="2D0BCB33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_GB2312" w:hAnsi="仿宋_GB2312" w:eastAsia="仿宋_GB2312" w:cs="仿宋_GB2312"/>
                <w:bCs/>
                <w:sz w:val="20"/>
                <w:szCs w:val="20"/>
              </w:rPr>
            </w:pPr>
          </w:p>
        </w:tc>
        <w:tc>
          <w:tcPr>
            <w:tcW w:w="2625" w:type="dxa"/>
          </w:tcPr>
          <w:p w14:paraId="4BE08A0E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_GB2312" w:hAnsi="仿宋_GB2312" w:eastAsia="仿宋_GB2312" w:cs="仿宋_GB2312"/>
                <w:bCs/>
                <w:sz w:val="20"/>
                <w:szCs w:val="20"/>
              </w:rPr>
            </w:pPr>
          </w:p>
        </w:tc>
        <w:tc>
          <w:tcPr>
            <w:tcW w:w="2075" w:type="dxa"/>
          </w:tcPr>
          <w:p w14:paraId="2B43A84F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_GB2312" w:hAnsi="仿宋_GB2312" w:eastAsia="仿宋_GB2312" w:cs="仿宋_GB2312"/>
                <w:bCs/>
                <w:sz w:val="20"/>
                <w:szCs w:val="20"/>
              </w:rPr>
            </w:pPr>
          </w:p>
        </w:tc>
      </w:tr>
      <w:tr w14:paraId="39BAE29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</w:tcPr>
          <w:p w14:paraId="0A38AEDC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_GB2312" w:hAnsi="仿宋_GB2312" w:eastAsia="仿宋_GB2312" w:cs="仿宋_GB2312"/>
                <w:bCs/>
                <w:sz w:val="20"/>
                <w:szCs w:val="20"/>
              </w:rPr>
            </w:pPr>
          </w:p>
        </w:tc>
        <w:tc>
          <w:tcPr>
            <w:tcW w:w="2520" w:type="dxa"/>
          </w:tcPr>
          <w:p w14:paraId="55136078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_GB2312" w:hAnsi="仿宋_GB2312" w:eastAsia="仿宋_GB2312" w:cs="仿宋_GB2312"/>
                <w:bCs/>
                <w:sz w:val="20"/>
                <w:szCs w:val="20"/>
              </w:rPr>
            </w:pPr>
          </w:p>
        </w:tc>
        <w:tc>
          <w:tcPr>
            <w:tcW w:w="2625" w:type="dxa"/>
          </w:tcPr>
          <w:p w14:paraId="688A9462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_GB2312" w:hAnsi="仿宋_GB2312" w:eastAsia="仿宋_GB2312" w:cs="仿宋_GB2312"/>
                <w:bCs/>
                <w:sz w:val="20"/>
                <w:szCs w:val="20"/>
              </w:rPr>
            </w:pPr>
          </w:p>
        </w:tc>
        <w:tc>
          <w:tcPr>
            <w:tcW w:w="2075" w:type="dxa"/>
          </w:tcPr>
          <w:p w14:paraId="74BC48BB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_GB2312" w:hAnsi="仿宋_GB2312" w:eastAsia="仿宋_GB2312" w:cs="仿宋_GB2312"/>
                <w:bCs/>
                <w:sz w:val="20"/>
                <w:szCs w:val="20"/>
              </w:rPr>
            </w:pPr>
          </w:p>
        </w:tc>
      </w:tr>
      <w:tr w14:paraId="1FDAEA9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</w:tcPr>
          <w:p w14:paraId="116B55FA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_GB2312" w:hAnsi="仿宋_GB2312" w:eastAsia="仿宋_GB2312" w:cs="仿宋_GB2312"/>
                <w:bCs/>
                <w:sz w:val="20"/>
                <w:szCs w:val="20"/>
              </w:rPr>
            </w:pPr>
          </w:p>
        </w:tc>
        <w:tc>
          <w:tcPr>
            <w:tcW w:w="2520" w:type="dxa"/>
          </w:tcPr>
          <w:p w14:paraId="1A651392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_GB2312" w:hAnsi="仿宋_GB2312" w:eastAsia="仿宋_GB2312" w:cs="仿宋_GB2312"/>
                <w:bCs/>
                <w:sz w:val="20"/>
                <w:szCs w:val="20"/>
              </w:rPr>
            </w:pPr>
          </w:p>
        </w:tc>
        <w:tc>
          <w:tcPr>
            <w:tcW w:w="2625" w:type="dxa"/>
          </w:tcPr>
          <w:p w14:paraId="0B544604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_GB2312" w:hAnsi="仿宋_GB2312" w:eastAsia="仿宋_GB2312" w:cs="仿宋_GB2312"/>
                <w:bCs/>
                <w:sz w:val="20"/>
                <w:szCs w:val="20"/>
              </w:rPr>
            </w:pPr>
          </w:p>
        </w:tc>
        <w:tc>
          <w:tcPr>
            <w:tcW w:w="2075" w:type="dxa"/>
          </w:tcPr>
          <w:p w14:paraId="28366CB0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_GB2312" w:hAnsi="仿宋_GB2312" w:eastAsia="仿宋_GB2312" w:cs="仿宋_GB2312"/>
                <w:bCs/>
                <w:sz w:val="20"/>
                <w:szCs w:val="20"/>
              </w:rPr>
            </w:pPr>
          </w:p>
        </w:tc>
      </w:tr>
      <w:tr w14:paraId="1FD3D14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</w:tcPr>
          <w:p w14:paraId="63B5D121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_GB2312" w:hAnsi="仿宋_GB2312" w:eastAsia="仿宋_GB2312" w:cs="仿宋_GB2312"/>
                <w:bCs/>
                <w:sz w:val="20"/>
                <w:szCs w:val="20"/>
              </w:rPr>
            </w:pPr>
          </w:p>
        </w:tc>
        <w:tc>
          <w:tcPr>
            <w:tcW w:w="2520" w:type="dxa"/>
          </w:tcPr>
          <w:p w14:paraId="1AB70CE0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_GB2312" w:hAnsi="仿宋_GB2312" w:eastAsia="仿宋_GB2312" w:cs="仿宋_GB2312"/>
                <w:bCs/>
                <w:sz w:val="20"/>
                <w:szCs w:val="20"/>
              </w:rPr>
            </w:pPr>
          </w:p>
        </w:tc>
        <w:tc>
          <w:tcPr>
            <w:tcW w:w="2625" w:type="dxa"/>
          </w:tcPr>
          <w:p w14:paraId="65C7C4F0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_GB2312" w:hAnsi="仿宋_GB2312" w:eastAsia="仿宋_GB2312" w:cs="仿宋_GB2312"/>
                <w:bCs/>
                <w:sz w:val="20"/>
                <w:szCs w:val="20"/>
              </w:rPr>
            </w:pPr>
          </w:p>
        </w:tc>
        <w:tc>
          <w:tcPr>
            <w:tcW w:w="2075" w:type="dxa"/>
          </w:tcPr>
          <w:p w14:paraId="02A3AA5C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_GB2312" w:hAnsi="仿宋_GB2312" w:eastAsia="仿宋_GB2312" w:cs="仿宋_GB2312"/>
                <w:bCs/>
                <w:sz w:val="20"/>
                <w:szCs w:val="20"/>
              </w:rPr>
            </w:pPr>
          </w:p>
        </w:tc>
      </w:tr>
    </w:tbl>
    <w:p w14:paraId="6D68306B">
      <w:pPr>
        <w:spacing w:line="360" w:lineRule="auto"/>
        <w:ind w:right="-197" w:rightChars="-94" w:firstLine="400" w:firstLineChars="200"/>
        <w:jc w:val="left"/>
        <w:rPr>
          <w:rFonts w:hint="eastAsia" w:ascii="仿宋_GB2312" w:hAnsi="仿宋_GB2312" w:eastAsia="仿宋_GB2312" w:cs="仿宋_GB2312"/>
          <w:sz w:val="20"/>
          <w:szCs w:val="20"/>
        </w:rPr>
      </w:pPr>
      <w:r>
        <w:rPr>
          <w:rFonts w:hint="eastAsia" w:ascii="仿宋_GB2312" w:hAnsi="仿宋_GB2312" w:eastAsia="仿宋_GB2312" w:cs="仿宋_GB2312"/>
          <w:sz w:val="20"/>
          <w:szCs w:val="20"/>
        </w:rPr>
        <w:t>说明：</w:t>
      </w:r>
    </w:p>
    <w:p w14:paraId="67C185E0">
      <w:pPr>
        <w:spacing w:line="360" w:lineRule="auto"/>
        <w:ind w:right="-197" w:rightChars="-94" w:firstLine="400" w:firstLineChars="200"/>
        <w:jc w:val="left"/>
        <w:rPr>
          <w:rFonts w:hint="eastAsia" w:ascii="仿宋_GB2312" w:hAnsi="仿宋_GB2312" w:eastAsia="仿宋_GB2312" w:cs="仿宋_GB2312"/>
          <w:sz w:val="20"/>
          <w:szCs w:val="20"/>
        </w:rPr>
      </w:pPr>
      <w:r>
        <w:rPr>
          <w:rFonts w:hint="eastAsia" w:ascii="仿宋_GB2312" w:hAnsi="仿宋_GB2312" w:eastAsia="仿宋_GB2312" w:cs="仿宋_GB2312"/>
          <w:sz w:val="20"/>
          <w:szCs w:val="20"/>
        </w:rPr>
        <w:t>1、本表只填写响应文件中与磋商文件有偏离（包括正偏离和负偏离）的内容，响应文件中服务条款响应与磋商文件“第三章 采购项目技术、服务、商务及其他要求”要求完全一致的，不用在此表中列出，但必须提交空白表。</w:t>
      </w:r>
    </w:p>
    <w:p w14:paraId="549F4794">
      <w:pPr>
        <w:spacing w:line="360" w:lineRule="auto"/>
        <w:ind w:right="-197" w:rightChars="-94" w:firstLine="400" w:firstLineChars="200"/>
        <w:jc w:val="left"/>
        <w:rPr>
          <w:rFonts w:hint="eastAsia" w:ascii="仿宋_GB2312" w:hAnsi="仿宋_GB2312" w:eastAsia="仿宋_GB2312" w:cs="仿宋_GB2312"/>
          <w:sz w:val="20"/>
          <w:szCs w:val="20"/>
        </w:rPr>
      </w:pPr>
      <w:r>
        <w:rPr>
          <w:rFonts w:hint="eastAsia" w:ascii="仿宋_GB2312" w:hAnsi="仿宋_GB2312" w:eastAsia="仿宋_GB2312" w:cs="仿宋_GB2312"/>
          <w:sz w:val="20"/>
          <w:szCs w:val="20"/>
        </w:rPr>
        <w:t>2、偏离填写：正偏离、负偏离、相同。</w:t>
      </w:r>
    </w:p>
    <w:p w14:paraId="1E11E4AF">
      <w:pPr>
        <w:spacing w:line="360" w:lineRule="auto"/>
        <w:ind w:right="-197" w:rightChars="-94" w:firstLine="400" w:firstLineChars="200"/>
        <w:jc w:val="left"/>
        <w:rPr>
          <w:rFonts w:hint="eastAsia" w:ascii="仿宋_GB2312" w:hAnsi="仿宋_GB2312" w:eastAsia="仿宋_GB2312" w:cs="仿宋_GB2312"/>
          <w:sz w:val="20"/>
          <w:szCs w:val="20"/>
        </w:rPr>
      </w:pPr>
      <w:r>
        <w:rPr>
          <w:rFonts w:hint="eastAsia" w:ascii="仿宋_GB2312" w:hAnsi="仿宋_GB2312" w:eastAsia="仿宋_GB2312" w:cs="仿宋_GB2312"/>
          <w:sz w:val="20"/>
          <w:szCs w:val="20"/>
        </w:rPr>
        <w:t>3、供应商必须据实填写，不得虚假响应，否则将取消其评审或成交资格，并按有关规定进行处罚。</w:t>
      </w:r>
    </w:p>
    <w:p w14:paraId="18E0B164">
      <w:pPr>
        <w:spacing w:line="360" w:lineRule="auto"/>
        <w:ind w:firstLine="1800" w:firstLineChars="900"/>
        <w:rPr>
          <w:rFonts w:hint="eastAsia" w:ascii="仿宋_GB2312" w:hAnsi="仿宋_GB2312" w:eastAsia="仿宋_GB2312" w:cs="仿宋_GB2312"/>
          <w:sz w:val="20"/>
          <w:szCs w:val="20"/>
        </w:rPr>
      </w:pPr>
      <w:r>
        <w:rPr>
          <w:rFonts w:hint="eastAsia" w:ascii="仿宋_GB2312" w:hAnsi="仿宋_GB2312" w:eastAsia="仿宋_GB2312" w:cs="仿宋_GB2312"/>
          <w:sz w:val="20"/>
          <w:szCs w:val="20"/>
        </w:rPr>
        <w:t>供应商名称（盖章）：</w:t>
      </w:r>
      <w:r>
        <w:rPr>
          <w:rFonts w:hint="eastAsia" w:ascii="仿宋_GB2312" w:hAnsi="仿宋_GB2312" w:eastAsia="仿宋_GB2312" w:cs="仿宋_GB2312"/>
          <w:sz w:val="20"/>
          <w:szCs w:val="20"/>
          <w:u w:val="single"/>
        </w:rPr>
        <w:t xml:space="preserve">                           </w:t>
      </w:r>
      <w:r>
        <w:rPr>
          <w:rFonts w:hint="eastAsia" w:ascii="仿宋_GB2312" w:hAnsi="仿宋_GB2312" w:eastAsia="仿宋_GB2312" w:cs="仿宋_GB2312"/>
          <w:sz w:val="20"/>
          <w:szCs w:val="20"/>
        </w:rPr>
        <w:t xml:space="preserve">                        </w:t>
      </w:r>
    </w:p>
    <w:p w14:paraId="0E65A20D">
      <w:pPr>
        <w:spacing w:line="360" w:lineRule="auto"/>
        <w:ind w:firstLine="1800" w:firstLineChars="900"/>
        <w:rPr>
          <w:rFonts w:hint="eastAsia" w:ascii="仿宋_GB2312" w:hAnsi="仿宋_GB2312" w:eastAsia="仿宋_GB2312" w:cs="仿宋_GB2312"/>
          <w:sz w:val="20"/>
          <w:szCs w:val="20"/>
        </w:rPr>
      </w:pPr>
      <w:r>
        <w:rPr>
          <w:rFonts w:hint="eastAsia" w:ascii="仿宋_GB2312" w:hAnsi="仿宋_GB2312" w:eastAsia="仿宋_GB2312" w:cs="仿宋_GB2312"/>
          <w:sz w:val="20"/>
          <w:szCs w:val="20"/>
        </w:rPr>
        <w:t>法定代表人或授权代表（签字或盖章）：</w:t>
      </w:r>
      <w:r>
        <w:rPr>
          <w:rFonts w:hint="eastAsia" w:ascii="仿宋_GB2312" w:hAnsi="仿宋_GB2312" w:eastAsia="仿宋_GB2312" w:cs="仿宋_GB2312"/>
          <w:sz w:val="20"/>
          <w:szCs w:val="20"/>
          <w:u w:val="single"/>
        </w:rPr>
        <w:t xml:space="preserve">             </w:t>
      </w:r>
      <w:r>
        <w:rPr>
          <w:rFonts w:hint="eastAsia" w:ascii="仿宋_GB2312" w:hAnsi="仿宋_GB2312" w:eastAsia="仿宋_GB2312" w:cs="仿宋_GB2312"/>
          <w:sz w:val="20"/>
          <w:szCs w:val="20"/>
        </w:rPr>
        <w:t xml:space="preserve">           </w:t>
      </w:r>
    </w:p>
    <w:p w14:paraId="34477FDD">
      <w:pPr>
        <w:adjustRightInd w:val="0"/>
        <w:snapToGrid w:val="0"/>
        <w:spacing w:line="360" w:lineRule="auto"/>
        <w:ind w:firstLine="1800" w:firstLineChars="900"/>
        <w:rPr>
          <w:rFonts w:hint="eastAsia" w:ascii="仿宋_GB2312" w:hAnsi="仿宋_GB2312" w:eastAsia="仿宋_GB2312" w:cs="仿宋_GB2312"/>
          <w:sz w:val="20"/>
          <w:szCs w:val="20"/>
          <w:u w:val="single"/>
        </w:rPr>
      </w:pPr>
      <w:r>
        <w:rPr>
          <w:rFonts w:hint="eastAsia" w:ascii="仿宋_GB2312" w:hAnsi="仿宋_GB2312" w:eastAsia="仿宋_GB2312" w:cs="仿宋_GB2312"/>
          <w:sz w:val="20"/>
          <w:szCs w:val="20"/>
        </w:rPr>
        <w:t>日    期：</w:t>
      </w:r>
      <w:r>
        <w:rPr>
          <w:rFonts w:hint="eastAsia" w:ascii="仿宋_GB2312" w:hAnsi="仿宋_GB2312" w:eastAsia="仿宋_GB2312" w:cs="仿宋_GB2312"/>
          <w:sz w:val="20"/>
          <w:szCs w:val="20"/>
          <w:u w:val="single"/>
        </w:rPr>
        <w:t xml:space="preserve">                                  </w:t>
      </w:r>
    </w:p>
    <w:p w14:paraId="0F521D7D">
      <w:pPr>
        <w:spacing w:line="360" w:lineRule="auto"/>
        <w:rPr>
          <w:rFonts w:hint="eastAsia" w:ascii="仿宋_GB2312" w:hAnsi="仿宋_GB2312" w:eastAsia="仿宋_GB2312" w:cs="仿宋_GB2312"/>
          <w:sz w:val="20"/>
          <w:szCs w:val="20"/>
          <w:u w:val="single"/>
        </w:rPr>
      </w:pPr>
      <w:r>
        <w:rPr>
          <w:rFonts w:hint="eastAsia" w:ascii="仿宋_GB2312" w:hAnsi="仿宋_GB2312" w:eastAsia="仿宋_GB2312" w:cs="仿宋_GB2312"/>
          <w:sz w:val="20"/>
          <w:szCs w:val="20"/>
          <w:u w:val="single"/>
        </w:rPr>
        <w:br w:type="page"/>
      </w:r>
    </w:p>
    <w:p w14:paraId="379F8B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0" w:firstLineChars="0"/>
        <w:jc w:val="center"/>
        <w:textAlignment w:val="auto"/>
        <w:rPr>
          <w:rFonts w:hint="eastAsia" w:ascii="仿宋_GB2312" w:hAnsi="仿宋_GB2312" w:eastAsia="仿宋_GB2312" w:cs="仿宋_GB2312"/>
          <w:b/>
          <w:bCs/>
          <w:sz w:val="20"/>
          <w:szCs w:val="20"/>
        </w:rPr>
      </w:pPr>
      <w:r>
        <w:rPr>
          <w:rFonts w:hint="eastAsia" w:ascii="仿宋_GB2312" w:hAnsi="仿宋_GB2312" w:eastAsia="仿宋_GB2312" w:cs="仿宋_GB2312"/>
          <w:b/>
          <w:bCs/>
          <w:sz w:val="20"/>
          <w:szCs w:val="20"/>
        </w:rPr>
        <w:t>二、响应方案</w:t>
      </w:r>
    </w:p>
    <w:p w14:paraId="6025D332">
      <w:pPr>
        <w:spacing w:line="360" w:lineRule="auto"/>
        <w:ind w:right="-197" w:rightChars="-94" w:firstLine="400" w:firstLineChars="200"/>
        <w:jc w:val="left"/>
        <w:rPr>
          <w:rFonts w:hint="eastAsia" w:ascii="仿宋_GB2312" w:hAnsi="仿宋_GB2312" w:eastAsia="仿宋_GB2312" w:cs="仿宋_GB2312"/>
          <w:sz w:val="20"/>
          <w:szCs w:val="20"/>
        </w:rPr>
      </w:pPr>
    </w:p>
    <w:p w14:paraId="325BAEEC">
      <w:pPr>
        <w:spacing w:line="360" w:lineRule="auto"/>
        <w:ind w:right="-197" w:rightChars="-94" w:firstLine="400" w:firstLineChars="200"/>
        <w:jc w:val="left"/>
        <w:rPr>
          <w:rFonts w:hint="eastAsia" w:ascii="仿宋_GB2312" w:hAnsi="仿宋_GB2312" w:eastAsia="仿宋_GB2312" w:cs="仿宋_GB2312"/>
          <w:sz w:val="20"/>
          <w:szCs w:val="20"/>
        </w:rPr>
      </w:pPr>
      <w:r>
        <w:rPr>
          <w:rFonts w:hint="eastAsia" w:ascii="仿宋_GB2312" w:hAnsi="仿宋_GB2312" w:eastAsia="仿宋_GB2312" w:cs="仿宋_GB2312"/>
          <w:sz w:val="20"/>
          <w:szCs w:val="20"/>
        </w:rPr>
        <w:t>格式自定，参照磋商文件第六章评审细则及标准中各条款的要求，结合第三章服务要求编制响应方案。</w:t>
      </w:r>
    </w:p>
    <w:p w14:paraId="361DCB57">
      <w:pPr>
        <w:spacing w:line="360" w:lineRule="auto"/>
      </w:pP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decorative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C34048"/>
    <w:rsid w:val="050471D5"/>
    <w:rsid w:val="053C7039"/>
    <w:rsid w:val="05711A44"/>
    <w:rsid w:val="07055153"/>
    <w:rsid w:val="07F933E3"/>
    <w:rsid w:val="09CF2980"/>
    <w:rsid w:val="09D0533B"/>
    <w:rsid w:val="0B6F77E5"/>
    <w:rsid w:val="0BE77DA2"/>
    <w:rsid w:val="117A2513"/>
    <w:rsid w:val="11B46B55"/>
    <w:rsid w:val="13FE0526"/>
    <w:rsid w:val="181C3FA3"/>
    <w:rsid w:val="18EF18DD"/>
    <w:rsid w:val="19235D7C"/>
    <w:rsid w:val="1F5A6197"/>
    <w:rsid w:val="23C949D6"/>
    <w:rsid w:val="26396924"/>
    <w:rsid w:val="26E13E53"/>
    <w:rsid w:val="27D868FE"/>
    <w:rsid w:val="283D6944"/>
    <w:rsid w:val="297558AC"/>
    <w:rsid w:val="2D901664"/>
    <w:rsid w:val="333A6108"/>
    <w:rsid w:val="34391CBC"/>
    <w:rsid w:val="34880D18"/>
    <w:rsid w:val="34E06B1D"/>
    <w:rsid w:val="34FD51B3"/>
    <w:rsid w:val="37B13F46"/>
    <w:rsid w:val="385935CD"/>
    <w:rsid w:val="3A6F7E2D"/>
    <w:rsid w:val="3ABB227F"/>
    <w:rsid w:val="3C31041F"/>
    <w:rsid w:val="3D1928D1"/>
    <w:rsid w:val="3F41226C"/>
    <w:rsid w:val="41271A71"/>
    <w:rsid w:val="427D3EB0"/>
    <w:rsid w:val="44C01FE2"/>
    <w:rsid w:val="485E59E4"/>
    <w:rsid w:val="48D00F65"/>
    <w:rsid w:val="4A3C512E"/>
    <w:rsid w:val="4BE156B5"/>
    <w:rsid w:val="4EE80B08"/>
    <w:rsid w:val="50742555"/>
    <w:rsid w:val="52876BC7"/>
    <w:rsid w:val="530774AF"/>
    <w:rsid w:val="55A52421"/>
    <w:rsid w:val="579A3366"/>
    <w:rsid w:val="59502521"/>
    <w:rsid w:val="5B0842C5"/>
    <w:rsid w:val="5C036210"/>
    <w:rsid w:val="5CD53D97"/>
    <w:rsid w:val="5EAE573F"/>
    <w:rsid w:val="5F171848"/>
    <w:rsid w:val="615B30D9"/>
    <w:rsid w:val="615C33BC"/>
    <w:rsid w:val="636D3049"/>
    <w:rsid w:val="693A7F09"/>
    <w:rsid w:val="6A894E1B"/>
    <w:rsid w:val="6AF272E7"/>
    <w:rsid w:val="6B861DFC"/>
    <w:rsid w:val="6C136138"/>
    <w:rsid w:val="6C414997"/>
    <w:rsid w:val="6C5C1EDC"/>
    <w:rsid w:val="6E5824A9"/>
    <w:rsid w:val="70DA5D7D"/>
    <w:rsid w:val="72E3010A"/>
    <w:rsid w:val="738B22F5"/>
    <w:rsid w:val="75153B55"/>
    <w:rsid w:val="7540409A"/>
    <w:rsid w:val="75FC26D7"/>
    <w:rsid w:val="76842644"/>
    <w:rsid w:val="78A417BB"/>
    <w:rsid w:val="7B7D3A13"/>
    <w:rsid w:val="7CC175EC"/>
    <w:rsid w:val="7CCE6984"/>
    <w:rsid w:val="7D393C95"/>
    <w:rsid w:val="7D6D78F8"/>
    <w:rsid w:val="7DF2584A"/>
    <w:rsid w:val="7E7D6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1"/>
    <w:autoRedefine/>
    <w:qFormat/>
    <w:uiPriority w:val="0"/>
    <w:pPr>
      <w:spacing w:before="0" w:beforeAutospacing="1" w:after="0" w:afterAutospacing="1"/>
      <w:jc w:val="left"/>
      <w:outlineLvl w:val="0"/>
    </w:pPr>
    <w:rPr>
      <w:rFonts w:hint="eastAsia" w:ascii="宋体" w:hAnsi="宋体" w:eastAsia="仿宋_GB2312" w:cs="宋体"/>
      <w:b/>
      <w:bCs/>
      <w:sz w:val="32"/>
      <w:szCs w:val="48"/>
      <w:lang w:bidi="ar"/>
    </w:rPr>
  </w:style>
  <w:style w:type="paragraph" w:styleId="3">
    <w:name w:val="heading 2"/>
    <w:basedOn w:val="1"/>
    <w:next w:val="1"/>
    <w:link w:val="10"/>
    <w:semiHidden/>
    <w:unhideWhenUsed/>
    <w:qFormat/>
    <w:uiPriority w:val="0"/>
    <w:pPr>
      <w:keepNext/>
      <w:adjustRightInd w:val="0"/>
      <w:snapToGrid w:val="0"/>
      <w:spacing w:line="360" w:lineRule="auto"/>
      <w:outlineLvl w:val="1"/>
    </w:pPr>
    <w:rPr>
      <w:rFonts w:ascii="黑体" w:hAnsi="黑体" w:cs="Times New Roman"/>
      <w:b/>
      <w:sz w:val="30"/>
      <w:szCs w:val="24"/>
    </w:rPr>
  </w:style>
  <w:style w:type="paragraph" w:styleId="4">
    <w:name w:val="heading 3"/>
    <w:basedOn w:val="1"/>
    <w:next w:val="1"/>
    <w:link w:val="12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360" w:lineRule="auto"/>
      <w:outlineLvl w:val="2"/>
    </w:pPr>
    <w:rPr>
      <w:rFonts w:ascii="Calibri" w:hAnsi="Calibri" w:cs="Times New Roman"/>
      <w:b/>
      <w:sz w:val="24"/>
      <w:szCs w:val="24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300" w:lineRule="auto"/>
      <w:outlineLvl w:val="3"/>
    </w:pPr>
    <w:rPr>
      <w:rFonts w:ascii="Arial" w:hAnsi="Arial" w:cs="Times New Roman"/>
      <w:b/>
      <w:sz w:val="30"/>
      <w:szCs w:val="24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autoRedefine/>
    <w:qFormat/>
    <w:uiPriority w:val="0"/>
    <w:pPr>
      <w:ind w:firstLine="420" w:firstLineChars="200"/>
    </w:pPr>
  </w:style>
  <w:style w:type="paragraph" w:styleId="7">
    <w:name w:val="Body Text"/>
    <w:basedOn w:val="1"/>
    <w:next w:val="1"/>
    <w:autoRedefine/>
    <w:qFormat/>
    <w:uiPriority w:val="0"/>
    <w:pPr>
      <w:spacing w:after="120" w:afterLines="0" w:afterAutospacing="0"/>
    </w:pPr>
  </w:style>
  <w:style w:type="character" w:customStyle="1" w:styleId="10">
    <w:name w:val="标题 2 Char"/>
    <w:link w:val="3"/>
    <w:autoRedefine/>
    <w:qFormat/>
    <w:uiPriority w:val="0"/>
    <w:rPr>
      <w:rFonts w:ascii="Arial" w:hAnsi="Arial" w:eastAsia="仿宋_GB2312" w:cs="Times New Roman"/>
      <w:b/>
      <w:snapToGrid w:val="0"/>
      <w:color w:val="000000"/>
      <w:kern w:val="0"/>
      <w:sz w:val="30"/>
      <w:szCs w:val="24"/>
      <w:lang w:eastAsia="en-US"/>
    </w:rPr>
  </w:style>
  <w:style w:type="character" w:customStyle="1" w:styleId="11">
    <w:name w:val="标题 1 Char"/>
    <w:link w:val="2"/>
    <w:autoRedefine/>
    <w:qFormat/>
    <w:uiPriority w:val="0"/>
    <w:rPr>
      <w:rFonts w:ascii="宋体" w:hAnsi="宋体" w:eastAsia="仿宋_GB2312" w:cs="宋体"/>
      <w:b/>
      <w:bCs/>
      <w:snapToGrid w:val="0"/>
      <w:color w:val="000000"/>
      <w:spacing w:val="-4"/>
      <w:kern w:val="44"/>
      <w:sz w:val="32"/>
      <w:szCs w:val="24"/>
      <w:lang w:val="en-US" w:eastAsia="en-US" w:bidi="ar-SA"/>
    </w:rPr>
  </w:style>
  <w:style w:type="character" w:customStyle="1" w:styleId="12">
    <w:name w:val="标题 3 Char"/>
    <w:link w:val="4"/>
    <w:qFormat/>
    <w:uiPriority w:val="0"/>
    <w:rPr>
      <w:rFonts w:ascii="Calibri" w:hAnsi="Calibri" w:eastAsia="仿宋_GB2312" w:cs="Times New Roman"/>
      <w:b/>
      <w:bCs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438</Words>
  <Characters>438</Characters>
  <Lines>0</Lines>
  <Paragraphs>0</Paragraphs>
  <TotalTime>0</TotalTime>
  <ScaleCrop>false</ScaleCrop>
  <LinksUpToDate>false</LinksUpToDate>
  <CharactersWithSpaces>628</CharactersWithSpaces>
  <Application>WPS Office_12.1.0.26936_F1E327BC-269C-435d-A152-05C5408002CA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2023-03-24T03:57:00Z</dcterms:created>
  <dc:creator>DELL</dc:creator>
  <cp:lastModifiedBy>陕西华采招标有限公司</cp:lastModifiedBy>
  <dcterms:modified xsi:type="dcterms:W3CDTF">2026-08-17T02:49:31Z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2052-12.1.0.26936</vt:lpwstr>
  </property>
  <property fmtid="{D5CDD505-2E9C-101B-9397-08002B2CF9AE}" pid="3" name="ICV">
    <vt:lpwstr>2565929D983A4C9D93BB486716BBE886_12</vt:lpwstr>
  </property>
  <property fmtid="{D5CDD505-2E9C-101B-9397-08002B2CF9AE}" pid="4" name="KSOTemplateDocerSaveRecord">
    <vt:lpwstr>eyJoZGlkIjoiZjJhNzdmOTM5YmVkNWYxMDI1ZDJkZDk5YzNhZTc2YzAiLCJ1c2VySWQiOiI5MzY1NjA0ODAifQ==</vt:lpwstr>
  </property>
</Properties>
</file>