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版本号：OTXA-262023128420260630001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污水处理第三方托管运行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OTXA-2620231284</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污水处理第三方托管运行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OTXA-2620231284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污水处理第三方托管运行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医院污水站设计处理水量：500吨/日。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采购包1（污水处理第三方托管运行）：属于专门面向小微企业采购。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在中华人民共和国境内注册，并有效存续的营业执照/事业单位法人证书/非企业专业服务机构执业许可证/民办非企业单位登记证书、税务登记证、组织机构代码证，或“三证合一”后的注册登记证；自然人参与投标的提供其身份证明。</w:t>
      </w:r>
    </w:p>
    <w:p>
      <w:pPr>
        <w:pStyle w:val="null3"/>
      </w:pPr>
      <w:r>
        <w:rPr>
          <w:rFonts w:ascii="仿宋_GB2312" w:hAnsi="仿宋_GB2312" w:cs="仿宋_GB2312" w:eastAsia="仿宋_GB2312"/>
        </w:rPr>
        <w:t>2、法定代表人委托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3、具有良好的商业信誉和健全的财务会计制度（任选其一）：1、提供提供2024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p>
      <w:pPr>
        <w:pStyle w:val="null3"/>
      </w:pPr>
      <w:r>
        <w:rPr>
          <w:rFonts w:ascii="仿宋_GB2312" w:hAnsi="仿宋_GB2312" w:cs="仿宋_GB2312" w:eastAsia="仿宋_GB2312"/>
        </w:rPr>
        <w:t>4、有依法缴纳税收和社会保障资金的良好记录：4.1、社会保障资金缴纳证明：自2025年6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 4.2、税收缴纳证明：自2025年6月1日以来已缴纳的至少连续三个月的纳税证明或完税证明，纳税证明或完税证明上应有代收机构或税务机关的公章或业务专用章。依法免税的投标人应提供相关文件证明。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以及未被列入失信被执行人、重大税收违法案件当事人名单、政府采购严重违法失信行为记录名单的书面声明。同时附投标人在“信用中国”和“中国政府采购网”网站上的信用查询结果。</w:t>
      </w:r>
    </w:p>
    <w:p>
      <w:pPr>
        <w:pStyle w:val="null3"/>
      </w:pPr>
      <w:r>
        <w:rPr>
          <w:rFonts w:ascii="仿宋_GB2312" w:hAnsi="仿宋_GB2312" w:cs="仿宋_GB2312" w:eastAsia="仿宋_GB2312"/>
        </w:rPr>
        <w:t>6、利益关系承诺：本项目不接受由西安市第五医院医院职工及其亲属投资举办的企业参加投标(提供承诺函)；</w:t>
      </w:r>
    </w:p>
    <w:p>
      <w:pPr>
        <w:pStyle w:val="null3"/>
      </w:pPr>
      <w:r>
        <w:rPr>
          <w:rFonts w:ascii="仿宋_GB2312" w:hAnsi="仿宋_GB2312" w:cs="仿宋_GB2312" w:eastAsia="仿宋_GB2312"/>
        </w:rPr>
        <w:t>7、资质要求：须具备中华人民共和国住房和城乡建设部颁发的“环保工程专业承包二级”的资质。</w:t>
      </w:r>
    </w:p>
    <w:p>
      <w:pPr>
        <w:pStyle w:val="null3"/>
      </w:pPr>
      <w:r>
        <w:rPr>
          <w:rFonts w:ascii="仿宋_GB2312" w:hAnsi="仿宋_GB2312" w:cs="仿宋_GB2312" w:eastAsia="仿宋_GB2312"/>
        </w:rPr>
        <w:t>8、信用信息：8.1查询渠道：“信用中国”网站（www.creditchina.gov.vn）、中国政府采购网（www.ccgp.gov.vn）；以现场查询为准。8.2截止时点：投标截止时间；8.3信用信息查询记录和证据留存的具体方式：网上查询 结果打印。8.4信用信息的使用规则：凡在截止时点内，列入失信被执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孙翊轩、陈一凡、李小艺、王滨、张强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代理服务费收费标准：代理服务费的金额参照国家发展计划委员会计价格[2002]1980号文件的规定标准下浮20%计算，成交金额50万（不含）以下的项目不下浮。</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踏勘时间：2026-07-08 09:30:00</w:t>
            </w:r>
          </w:p>
          <w:p>
            <w:pPr>
              <w:pStyle w:val="null3"/>
              <w:ind w:firstLine="975"/>
            </w:pPr>
            <w:r>
              <w:rPr>
                <w:rFonts w:ascii="仿宋_GB2312" w:hAnsi="仿宋_GB2312" w:cs="仿宋_GB2312" w:eastAsia="仿宋_GB2312"/>
              </w:rPr>
              <w:t>踏勘地点：西安市第五医院行政楼下集合，过时未到视为放弃踏勘。</w:t>
            </w:r>
          </w:p>
          <w:p>
            <w:pPr>
              <w:pStyle w:val="null3"/>
              <w:ind w:firstLine="975"/>
            </w:pPr>
            <w:r>
              <w:rPr>
                <w:rFonts w:ascii="仿宋_GB2312" w:hAnsi="仿宋_GB2312" w:cs="仿宋_GB2312" w:eastAsia="仿宋_GB2312"/>
              </w:rPr>
              <w:t>联系人：陈一凡</w:t>
            </w:r>
          </w:p>
          <w:p>
            <w:pPr>
              <w:pStyle w:val="null3"/>
              <w:ind w:firstLine="975"/>
            </w:pPr>
            <w:r>
              <w:rPr>
                <w:rFonts w:ascii="仿宋_GB2312" w:hAnsi="仿宋_GB2312" w:cs="仿宋_GB2312" w:eastAsia="仿宋_GB2312"/>
              </w:rPr>
              <w:t>联系电话号码：029-89585662-807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详见服务要求及合同模版</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依据本项目相关行业规定及合同执行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联系人：孙翊轩、陈一凡</w:t>
      </w:r>
    </w:p>
    <w:p>
      <w:pPr>
        <w:pStyle w:val="null3"/>
      </w:pPr>
      <w:r>
        <w:rPr>
          <w:rFonts w:ascii="仿宋_GB2312" w:hAnsi="仿宋_GB2312" w:cs="仿宋_GB2312" w:eastAsia="仿宋_GB2312"/>
        </w:rPr>
        <w:t>联系电话：029-89585662-807</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（1）医院污水站设计处理水量：500吨/日。（2）医院废气，噪音检测。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368,000.00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污水处理第三方托管运行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标的名称：污水处理第三方托管运行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333333"/>
              </w:rPr>
              <w:t>一、服务内容</w:t>
            </w:r>
          </w:p>
          <w:p>
            <w:pPr>
              <w:pStyle w:val="null3"/>
              <w:ind w:firstLine="400"/>
              <w:jc w:val="both"/>
            </w:pPr>
            <w:r>
              <w:rPr>
                <w:rFonts w:ascii="仿宋_GB2312" w:hAnsi="仿宋_GB2312" w:cs="仿宋_GB2312" w:eastAsia="仿宋_GB2312"/>
                <w:sz w:val="20"/>
                <w:color w:val="333333"/>
              </w:rPr>
              <w:t>1、负责医院污水站系统日常运行、污水处理、管理、维护、维修、水质检测（需提供具有</w:t>
            </w:r>
            <w:r>
              <w:rPr>
                <w:rFonts w:ascii="仿宋_GB2312" w:hAnsi="仿宋_GB2312" w:cs="仿宋_GB2312" w:eastAsia="仿宋_GB2312"/>
                <w:sz w:val="20"/>
                <w:color w:val="333333"/>
              </w:rPr>
              <w:t>C</w:t>
            </w:r>
            <w:r>
              <w:rPr>
                <w:rFonts w:ascii="仿宋_GB2312" w:hAnsi="仿宋_GB2312" w:cs="仿宋_GB2312" w:eastAsia="仿宋_GB2312"/>
                <w:sz w:val="20"/>
                <w:color w:val="333333"/>
              </w:rPr>
              <w:t>MA认证的第三方监测报告）等工作，并符合国家相关标准；</w:t>
            </w:r>
          </w:p>
          <w:p>
            <w:pPr>
              <w:pStyle w:val="null3"/>
              <w:ind w:firstLine="400"/>
              <w:jc w:val="both"/>
            </w:pPr>
            <w:r>
              <w:rPr>
                <w:rFonts w:ascii="仿宋_GB2312" w:hAnsi="仿宋_GB2312" w:cs="仿宋_GB2312" w:eastAsia="仿宋_GB2312"/>
                <w:sz w:val="20"/>
                <w:color w:val="333333"/>
              </w:rPr>
              <w:t>2、负责所有污水处理相关药剂采购；</w:t>
            </w:r>
          </w:p>
          <w:p>
            <w:pPr>
              <w:pStyle w:val="null3"/>
              <w:ind w:firstLine="400"/>
              <w:jc w:val="both"/>
            </w:pPr>
            <w:r>
              <w:rPr>
                <w:rFonts w:ascii="仿宋_GB2312" w:hAnsi="仿宋_GB2312" w:cs="仿宋_GB2312" w:eastAsia="仿宋_GB2312"/>
                <w:sz w:val="20"/>
                <w:color w:val="333333"/>
              </w:rPr>
              <w:t>3、负责污水站消毒药剂、原料搬运、储存、使用中的安全及设备的运行操作安全；</w:t>
            </w:r>
          </w:p>
          <w:p>
            <w:pPr>
              <w:pStyle w:val="null3"/>
              <w:ind w:firstLine="400"/>
              <w:jc w:val="both"/>
            </w:pPr>
            <w:r>
              <w:rPr>
                <w:rFonts w:ascii="仿宋_GB2312" w:hAnsi="仿宋_GB2312" w:cs="仿宋_GB2312" w:eastAsia="仿宋_GB2312"/>
                <w:sz w:val="20"/>
                <w:color w:val="333333"/>
              </w:rPr>
              <w:t>4、污水处理后</w:t>
            </w:r>
            <w:r>
              <w:rPr>
                <w:rFonts w:ascii="仿宋_GB2312" w:hAnsi="仿宋_GB2312" w:cs="仿宋_GB2312" w:eastAsia="仿宋_GB2312"/>
                <w:sz w:val="20"/>
                <w:color w:val="333333"/>
              </w:rPr>
              <w:t>，</w:t>
            </w:r>
            <w:r>
              <w:rPr>
                <w:rFonts w:ascii="仿宋_GB2312" w:hAnsi="仿宋_GB2312" w:cs="仿宋_GB2312" w:eastAsia="仿宋_GB2312"/>
                <w:sz w:val="20"/>
                <w:color w:val="333333"/>
              </w:rPr>
              <w:t>水质指标</w:t>
            </w:r>
            <w:r>
              <w:rPr>
                <w:rFonts w:ascii="仿宋_GB2312" w:hAnsi="仿宋_GB2312" w:cs="仿宋_GB2312" w:eastAsia="仿宋_GB2312"/>
                <w:sz w:val="20"/>
                <w:color w:val="333333"/>
              </w:rPr>
              <w:t>应达到《医疗机构水污染物排放标准》</w:t>
            </w:r>
            <w:r>
              <w:rPr>
                <w:rFonts w:ascii="仿宋_GB2312" w:hAnsi="仿宋_GB2312" w:cs="仿宋_GB2312" w:eastAsia="仿宋_GB2312"/>
                <w:sz w:val="20"/>
                <w:color w:val="333333"/>
              </w:rPr>
              <w:t>GB18466-2005中表一</w:t>
            </w:r>
            <w:r>
              <w:rPr>
                <w:rFonts w:ascii="仿宋_GB2312" w:hAnsi="仿宋_GB2312" w:cs="仿宋_GB2312" w:eastAsia="仿宋_GB2312"/>
                <w:sz w:val="20"/>
                <w:color w:val="333333"/>
              </w:rPr>
              <w:t>预处理</w:t>
            </w:r>
            <w:r>
              <w:rPr>
                <w:rFonts w:ascii="仿宋_GB2312" w:hAnsi="仿宋_GB2312" w:cs="仿宋_GB2312" w:eastAsia="仿宋_GB2312"/>
                <w:sz w:val="20"/>
                <w:color w:val="333333"/>
              </w:rPr>
              <w:t>标准，且在日常运行中应符合《排污许可证》规定的要求，以环保监管部门要求为准。</w:t>
            </w:r>
          </w:p>
          <w:p>
            <w:pPr>
              <w:pStyle w:val="null3"/>
              <w:ind w:firstLine="400"/>
              <w:jc w:val="both"/>
            </w:pPr>
            <w:r>
              <w:rPr>
                <w:rFonts w:ascii="仿宋_GB2312" w:hAnsi="仿宋_GB2312" w:cs="仿宋_GB2312" w:eastAsia="仿宋_GB2312"/>
                <w:sz w:val="20"/>
                <w:color w:val="333333"/>
              </w:rPr>
              <w:t>5、</w:t>
            </w:r>
            <w:r>
              <w:rPr>
                <w:rFonts w:ascii="仿宋_GB2312" w:hAnsi="仿宋_GB2312" w:cs="仿宋_GB2312" w:eastAsia="仿宋_GB2312"/>
                <w:sz w:val="20"/>
                <w:color w:val="333333"/>
              </w:rPr>
              <w:t>负责</w:t>
            </w:r>
            <w:r>
              <w:rPr>
                <w:rFonts w:ascii="仿宋_GB2312" w:hAnsi="仿宋_GB2312" w:cs="仿宋_GB2312" w:eastAsia="仿宋_GB2312"/>
                <w:sz w:val="20"/>
                <w:color w:val="333333"/>
              </w:rPr>
              <w:t>污泥、栅渣及废液的清理处置</w:t>
            </w:r>
            <w:r>
              <w:rPr>
                <w:rFonts w:ascii="仿宋_GB2312" w:hAnsi="仿宋_GB2312" w:cs="仿宋_GB2312" w:eastAsia="仿宋_GB2312"/>
                <w:sz w:val="20"/>
                <w:color w:val="333333"/>
              </w:rPr>
              <w:t>，</w:t>
            </w:r>
            <w:r>
              <w:rPr>
                <w:rFonts w:ascii="仿宋_GB2312" w:hAnsi="仿宋_GB2312" w:cs="仿宋_GB2312" w:eastAsia="仿宋_GB2312"/>
                <w:sz w:val="20"/>
                <w:color w:val="333333"/>
              </w:rPr>
              <w:t>提供</w:t>
            </w:r>
            <w:r>
              <w:rPr>
                <w:rFonts w:ascii="仿宋_GB2312" w:hAnsi="仿宋_GB2312" w:cs="仿宋_GB2312" w:eastAsia="仿宋_GB2312"/>
                <w:sz w:val="20"/>
                <w:color w:val="333333"/>
              </w:rPr>
              <w:t>污泥、栅渣及废液</w:t>
            </w:r>
            <w:r>
              <w:rPr>
                <w:rFonts w:ascii="仿宋_GB2312" w:hAnsi="仿宋_GB2312" w:cs="仿宋_GB2312" w:eastAsia="仿宋_GB2312"/>
                <w:sz w:val="20"/>
                <w:color w:val="333333"/>
              </w:rPr>
              <w:t>处置协议及处置转运联单，备环保部门检查</w:t>
            </w:r>
            <w:r>
              <w:rPr>
                <w:rFonts w:ascii="仿宋_GB2312" w:hAnsi="仿宋_GB2312" w:cs="仿宋_GB2312" w:eastAsia="仿宋_GB2312"/>
                <w:sz w:val="20"/>
                <w:color w:val="333333"/>
              </w:rPr>
              <w:t>；（按国家标准执行）</w:t>
            </w:r>
          </w:p>
          <w:p>
            <w:pPr>
              <w:pStyle w:val="null3"/>
              <w:jc w:val="both"/>
            </w:pPr>
            <w:r>
              <w:rPr>
                <w:rFonts w:ascii="仿宋_GB2312" w:hAnsi="仿宋_GB2312" w:cs="仿宋_GB2312" w:eastAsia="仿宋_GB2312"/>
                <w:sz w:val="24"/>
                <w:b/>
                <w:color w:val="333333"/>
              </w:rPr>
              <w:t>二、技术要求</w:t>
            </w:r>
          </w:p>
          <w:p>
            <w:pPr>
              <w:pStyle w:val="null3"/>
              <w:jc w:val="both"/>
            </w:pPr>
            <w:r>
              <w:rPr>
                <w:rFonts w:ascii="仿宋_GB2312" w:hAnsi="仿宋_GB2312" w:cs="仿宋_GB2312" w:eastAsia="仿宋_GB2312"/>
                <w:sz w:val="20"/>
              </w:rPr>
              <w:t>（一）服务范围</w:t>
            </w:r>
          </w:p>
          <w:p>
            <w:pPr>
              <w:pStyle w:val="null3"/>
              <w:jc w:val="both"/>
            </w:pPr>
            <w:r>
              <w:rPr>
                <w:rFonts w:ascii="仿宋_GB2312" w:hAnsi="仿宋_GB2312" w:cs="仿宋_GB2312" w:eastAsia="仿宋_GB2312"/>
                <w:sz w:val="20"/>
                <w:color w:val="333333"/>
              </w:rPr>
              <w:t>西安市第五医院院区污水站运营及院内污水监测等（排污</w:t>
            </w:r>
            <w:r>
              <w:rPr>
                <w:rFonts w:ascii="仿宋_GB2312" w:hAnsi="仿宋_GB2312" w:cs="仿宋_GB2312" w:eastAsia="仿宋_GB2312"/>
                <w:sz w:val="20"/>
                <w:color w:val="333333"/>
              </w:rPr>
              <w:t>许可证</w:t>
            </w:r>
            <w:r>
              <w:rPr>
                <w:rFonts w:ascii="仿宋_GB2312" w:hAnsi="仿宋_GB2312" w:cs="仿宋_GB2312" w:eastAsia="仿宋_GB2312"/>
                <w:sz w:val="20"/>
                <w:color w:val="333333"/>
              </w:rPr>
              <w:t>自行监测</w:t>
            </w:r>
            <w:r>
              <w:rPr>
                <w:rFonts w:ascii="仿宋_GB2312" w:hAnsi="仿宋_GB2312" w:cs="仿宋_GB2312" w:eastAsia="仿宋_GB2312"/>
                <w:sz w:val="20"/>
                <w:color w:val="333333"/>
              </w:rPr>
              <w:t>要求内容），并报告上传各项监测数据。</w:t>
            </w:r>
          </w:p>
          <w:p>
            <w:pPr>
              <w:pStyle w:val="null3"/>
              <w:jc w:val="both"/>
            </w:pPr>
            <w:r>
              <w:rPr>
                <w:rFonts w:ascii="仿宋_GB2312" w:hAnsi="仿宋_GB2312" w:cs="仿宋_GB2312" w:eastAsia="仿宋_GB2312"/>
                <w:sz w:val="20"/>
              </w:rPr>
              <w:t>（二）技术参数</w:t>
            </w:r>
          </w:p>
          <w:p>
            <w:pPr>
              <w:pStyle w:val="null3"/>
              <w:ind w:firstLine="480"/>
              <w:jc w:val="both"/>
            </w:pPr>
            <w:r>
              <w:rPr>
                <w:rFonts w:ascii="仿宋_GB2312" w:hAnsi="仿宋_GB2312" w:cs="仿宋_GB2312" w:eastAsia="仿宋_GB2312"/>
                <w:sz w:val="20"/>
                <w:color w:val="333333"/>
              </w:rPr>
              <w:t>1、污水处理站设计处理规模为500吨/日。</w:t>
            </w:r>
          </w:p>
          <w:p>
            <w:pPr>
              <w:pStyle w:val="null3"/>
              <w:ind w:firstLine="480"/>
              <w:jc w:val="both"/>
            </w:pPr>
            <w:r>
              <w:rPr>
                <w:rFonts w:ascii="仿宋_GB2312" w:hAnsi="仿宋_GB2312" w:cs="仿宋_GB2312" w:eastAsia="仿宋_GB2312"/>
                <w:sz w:val="20"/>
                <w:color w:val="333333"/>
              </w:rPr>
              <w:t>2、服务目标：处理后水质指标达到《医疗机构水污染排放标准》（GB18466-2005）预处理标准、本院环评排放标准及国家相关要求，必须满足在线监测</w:t>
            </w:r>
            <w:r>
              <w:rPr>
                <w:rFonts w:ascii="仿宋_GB2312" w:hAnsi="仿宋_GB2312" w:cs="仿宋_GB2312" w:eastAsia="仿宋_GB2312"/>
                <w:sz w:val="20"/>
                <w:color w:val="333333"/>
              </w:rPr>
              <w:t>要求（对应排污许可证所有执行标准内容）。</w:t>
            </w:r>
          </w:p>
          <w:p>
            <w:pPr>
              <w:pStyle w:val="null3"/>
              <w:ind w:firstLine="480"/>
              <w:jc w:val="left"/>
            </w:pPr>
            <w:r>
              <w:rPr>
                <w:rFonts w:ascii="仿宋_GB2312" w:hAnsi="仿宋_GB2312" w:cs="仿宋_GB2312" w:eastAsia="仿宋_GB2312"/>
                <w:sz w:val="20"/>
                <w:color w:val="333333"/>
              </w:rPr>
              <w:t>3、污水站主要运营设备：格栅池调节池传感器两台、</w:t>
            </w:r>
            <w:r>
              <w:rPr>
                <w:rFonts w:ascii="仿宋_GB2312" w:hAnsi="仿宋_GB2312" w:cs="仿宋_GB2312" w:eastAsia="仿宋_GB2312"/>
                <w:sz w:val="20"/>
                <w:color w:val="333333"/>
              </w:rPr>
              <w:t>集水提升泵</w:t>
            </w:r>
            <w:r>
              <w:rPr>
                <w:rFonts w:ascii="仿宋_GB2312" w:hAnsi="仿宋_GB2312" w:cs="仿宋_GB2312" w:eastAsia="仿宋_GB2312"/>
                <w:sz w:val="20"/>
                <w:color w:val="333333"/>
              </w:rPr>
              <w:t>4台、</w:t>
            </w:r>
            <w:r>
              <w:rPr>
                <w:rFonts w:ascii="仿宋_GB2312" w:hAnsi="仿宋_GB2312" w:cs="仿宋_GB2312" w:eastAsia="仿宋_GB2312"/>
                <w:sz w:val="20"/>
                <w:color w:val="333333"/>
              </w:rPr>
              <w:t>调节池提升泵</w:t>
            </w:r>
            <w:r>
              <w:rPr>
                <w:rFonts w:ascii="仿宋_GB2312" w:hAnsi="仿宋_GB2312" w:cs="仿宋_GB2312" w:eastAsia="仿宋_GB2312"/>
                <w:sz w:val="20"/>
                <w:color w:val="333333"/>
              </w:rPr>
              <w:t>2台、罗茨风机两台、电磁流量计两台、污泥气提泵两台、二氧化氯发生器一台、制氯间排气扇一台。工艺流程如下：</w:t>
            </w:r>
          </w:p>
          <w:p>
            <w:pPr>
              <w:pStyle w:val="null3"/>
              <w:ind w:firstLine="480"/>
              <w:jc w:val="left"/>
            </w:pPr>
            <w:r>
              <w:drawing>
                <wp:inline distT="0" distR="0" distB="0" distL="0">
                  <wp:extent cx="1621155" cy="4008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400899"/>
                          </a:xfrm>
                          <a:prstGeom prst="rect">
                            <a:avLst/>
                          </a:prstGeom>
                        </pic:spPr>
                      </pic:pic>
                    </a:graphicData>
                  </a:graphic>
                </wp:inline>
              </w:drawing>
            </w:r>
          </w:p>
          <w:p>
            <w:pPr>
              <w:pStyle w:val="null3"/>
              <w:ind w:firstLine="480"/>
              <w:jc w:val="left"/>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0"/>
                <w:color w:val="333333"/>
              </w:rPr>
              <w:t>4、污水站设备及处理流程等现场环境投标方须在踏勘现场时确认，中标后不得以设备及现场处理工艺等问题为借口拒不履行承诺的服务项目及该项目环保要求。</w:t>
            </w:r>
          </w:p>
          <w:p>
            <w:pPr>
              <w:pStyle w:val="null3"/>
              <w:jc w:val="both"/>
            </w:pPr>
            <w:r>
              <w:rPr>
                <w:rFonts w:ascii="仿宋_GB2312" w:hAnsi="仿宋_GB2312" w:cs="仿宋_GB2312" w:eastAsia="仿宋_GB2312"/>
                <w:sz w:val="20"/>
              </w:rPr>
              <w:t>（三）功能要求</w:t>
            </w:r>
          </w:p>
          <w:tbl>
            <w:tblPr>
              <w:tblBorders>
                <w:top w:val="none" w:color="000000" w:sz="4"/>
                <w:left w:val="none" w:color="000000" w:sz="4"/>
                <w:bottom w:val="none" w:color="000000" w:sz="4"/>
                <w:right w:val="none" w:color="000000" w:sz="4"/>
                <w:insideH w:val="none"/>
                <w:insideV w:val="none"/>
              </w:tblBorders>
            </w:tblPr>
            <w:tblGrid>
              <w:gridCol w:w="180"/>
              <w:gridCol w:w="579"/>
              <w:gridCol w:w="1607"/>
              <w:gridCol w:w="176"/>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jc w:val="center"/>
                  </w:pPr>
                  <w:r>
                    <w:rPr>
                      <w:rFonts w:ascii="仿宋_GB2312" w:hAnsi="仿宋_GB2312" w:cs="仿宋_GB2312" w:eastAsia="仿宋_GB2312"/>
                      <w:sz w:val="20"/>
                    </w:rPr>
                    <w:t>1</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管沟</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汇集污水、排入污水处理站</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化粪池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化粪池是固化物在池底分解，上层的水化物体，进入管道流走，防止了管道堵塞，给固化物体有充足的时间水解</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格栅池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拦截大颗粒物体，防止进入池体堵塞设备</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调节池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调节水量，均匀水质</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厌氧池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对有机物进行水解酸化，去除</w:t>
                  </w:r>
                  <w:r>
                    <w:rPr>
                      <w:rFonts w:ascii="仿宋_GB2312" w:hAnsi="仿宋_GB2312" w:cs="仿宋_GB2312" w:eastAsia="仿宋_GB2312"/>
                      <w:sz w:val="20"/>
                    </w:rPr>
                    <w:t>COD</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好氧池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进一步分解有机物转化为化合物</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二沉池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沉淀水质，上清液排除</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消毒池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对污水进行消毒处理</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污泥池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储存污泥</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二氧化氯发生器</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0"/>
                    </w:rPr>
                    <w:t>制备二氧化氯投加进入消毒池</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bl>
          <w:p>
            <w:pPr>
              <w:pStyle w:val="null3"/>
              <w:jc w:val="both"/>
            </w:pPr>
            <w:r>
              <w:rPr>
                <w:rFonts w:ascii="仿宋_GB2312" w:hAnsi="仿宋_GB2312" w:cs="仿宋_GB2312" w:eastAsia="仿宋_GB2312"/>
                <w:sz w:val="24"/>
                <w:b/>
              </w:rPr>
              <w:t>三、服务内容与质量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在管理服务区域内，</w:t>
            </w:r>
            <w:r>
              <w:rPr>
                <w:rFonts w:ascii="仿宋_GB2312" w:hAnsi="仿宋_GB2312" w:cs="仿宋_GB2312" w:eastAsia="仿宋_GB2312"/>
                <w:sz w:val="20"/>
              </w:rPr>
              <w:t>供应商</w:t>
            </w:r>
            <w:r>
              <w:rPr>
                <w:rFonts w:ascii="仿宋_GB2312" w:hAnsi="仿宋_GB2312" w:cs="仿宋_GB2312" w:eastAsia="仿宋_GB2312"/>
                <w:sz w:val="20"/>
              </w:rPr>
              <w:t>提供的管理服务包括以下内容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color w:val="333333"/>
              </w:rPr>
              <w:t>负责医院污水站系统日常运行、污水处理、管理、维护、维修、水质检测（需提供具有</w:t>
            </w:r>
            <w:r>
              <w:rPr>
                <w:rFonts w:ascii="仿宋_GB2312" w:hAnsi="仿宋_GB2312" w:cs="仿宋_GB2312" w:eastAsia="仿宋_GB2312"/>
                <w:sz w:val="20"/>
                <w:color w:val="333333"/>
              </w:rPr>
              <w:t>C</w:t>
            </w:r>
            <w:r>
              <w:rPr>
                <w:rFonts w:ascii="仿宋_GB2312" w:hAnsi="仿宋_GB2312" w:cs="仿宋_GB2312" w:eastAsia="仿宋_GB2312"/>
                <w:sz w:val="20"/>
                <w:color w:val="333333"/>
              </w:rPr>
              <w:t>MA认证的第三方监测报告）等工作，并符合国家相关标准。负责消毒药剂采购负责污水站消毒药剂、原料搬运、储存、使用中的安全及设备的运行操作安全。污水处理后应达到《医疗机构水污染物排放标准》GB18466-2005标准，且在日常运行中应符合《排污许可证》规定的要求，以环保监管部门要求为准。负责院区内污泥、栅渣及化粪池废液的清理、转运及处置。（按国家标准执行）</w:t>
            </w:r>
          </w:p>
          <w:p>
            <w:pPr>
              <w:pStyle w:val="null3"/>
              <w:ind w:firstLine="400"/>
              <w:jc w:val="both"/>
            </w:pPr>
            <w:r>
              <w:rPr>
                <w:rFonts w:ascii="仿宋_GB2312" w:hAnsi="仿宋_GB2312" w:cs="仿宋_GB2312" w:eastAsia="仿宋_GB2312"/>
                <w:sz w:val="20"/>
              </w:rPr>
              <w:t>1、污水站日常维护工作</w:t>
            </w:r>
          </w:p>
          <w:p>
            <w:pPr>
              <w:pStyle w:val="null3"/>
              <w:ind w:firstLine="400"/>
              <w:jc w:val="both"/>
            </w:pPr>
            <w:r>
              <w:rPr>
                <w:rFonts w:ascii="仿宋_GB2312" w:hAnsi="仿宋_GB2312" w:cs="仿宋_GB2312" w:eastAsia="仿宋_GB2312"/>
                <w:sz w:val="20"/>
              </w:rPr>
              <w:t>对污水站各项设施进行日常管理维护，保证处理设施正常运行，污水排放达到国家有关标准要求。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1）定期检查出水池液位是否正常；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2）定期检查设备调节池内的水位控制器动作是否正常，一旦发现问题应</w:t>
            </w:r>
            <w:r>
              <w:rPr>
                <w:rFonts w:ascii="仿宋_GB2312" w:hAnsi="仿宋_GB2312" w:cs="仿宋_GB2312" w:eastAsia="仿宋_GB2312"/>
                <w:sz w:val="20"/>
              </w:rPr>
              <w:t>及时修复调整；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3）定期检查“手动”功能是否正常，如有故障及时排除；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4）定期检查控制柜内的电子元件技术性能是否良好，如有误差及时维修或调整；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5）定期检查控制柜的液位信号、工作指示信号及报警信号是否正常，如发现问题及时修复或更换；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6）定期检测机电设备的工作运行电流并做记录，如有异常应及时检查原因并作相应处理；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7）检查污水消毒设备是否正常，消毒剂是否有效，如发现问题及时修复或更换；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8）做好工作记录，日常的维修保养记录；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9）工艺技术工程师对污水站定期巡检；</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10）每日对水质进行自检，检测项目有：PH、余氯等并做好记录；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11）其他与污水站质量相关的临时性工作。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color w:val="333333"/>
              </w:rPr>
              <w:t>制定严格的药剂</w:t>
            </w:r>
            <w:r>
              <w:rPr>
                <w:rFonts w:ascii="仿宋_GB2312" w:hAnsi="仿宋_GB2312" w:cs="仿宋_GB2312" w:eastAsia="仿宋_GB2312"/>
                <w:sz w:val="20"/>
                <w:color w:val="333333"/>
              </w:rPr>
              <w:t>使用操作规程</w:t>
            </w:r>
            <w:r>
              <w:rPr>
                <w:rFonts w:ascii="仿宋_GB2312" w:hAnsi="仿宋_GB2312" w:cs="仿宋_GB2312" w:eastAsia="仿宋_GB2312"/>
                <w:sz w:val="20"/>
                <w:color w:val="333333"/>
              </w:rPr>
              <w:t>。</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13</w:t>
            </w:r>
            <w:r>
              <w:rPr>
                <w:rFonts w:ascii="仿宋_GB2312" w:hAnsi="仿宋_GB2312" w:cs="仿宋_GB2312" w:eastAsia="仿宋_GB2312"/>
                <w:sz w:val="20"/>
                <w:color w:val="333333"/>
              </w:rPr>
              <w:t>）</w:t>
            </w:r>
            <w:r>
              <w:rPr>
                <w:rFonts w:ascii="仿宋_GB2312" w:hAnsi="仿宋_GB2312" w:cs="仿宋_GB2312" w:eastAsia="仿宋_GB2312"/>
                <w:sz w:val="20"/>
                <w:color w:val="333333"/>
              </w:rPr>
              <w:t>制定完善、安全的药品存储检查制度及</w:t>
            </w:r>
            <w:r>
              <w:rPr>
                <w:rFonts w:ascii="仿宋_GB2312" w:hAnsi="仿宋_GB2312" w:cs="仿宋_GB2312" w:eastAsia="仿宋_GB2312"/>
                <w:sz w:val="20"/>
                <w:color w:val="333333"/>
              </w:rPr>
              <w:t>污水处理站</w:t>
            </w:r>
            <w:r>
              <w:rPr>
                <w:rFonts w:ascii="仿宋_GB2312" w:hAnsi="仿宋_GB2312" w:cs="仿宋_GB2312" w:eastAsia="仿宋_GB2312"/>
                <w:sz w:val="20"/>
                <w:color w:val="333333"/>
              </w:rPr>
              <w:t>应急预案。</w:t>
            </w:r>
          </w:p>
          <w:p>
            <w:pPr>
              <w:pStyle w:val="null3"/>
              <w:ind w:firstLine="400"/>
              <w:jc w:val="both"/>
            </w:pPr>
            <w:r>
              <w:rPr>
                <w:rFonts w:ascii="仿宋_GB2312" w:hAnsi="仿宋_GB2312" w:cs="仿宋_GB2312" w:eastAsia="仿宋_GB2312"/>
                <w:sz w:val="20"/>
              </w:rPr>
              <w:t>2、每月工作项目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1）清理水泵污物以防堵塞；</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2）调整和加固水泵底座螺丝；</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3）检测电机绝缘电阻并做记录；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4）检查水泵提升链条是否牢固可行，如发现问题应及时更换。</w:t>
            </w:r>
          </w:p>
          <w:p>
            <w:pPr>
              <w:pStyle w:val="null3"/>
              <w:ind w:firstLine="400"/>
              <w:jc w:val="both"/>
            </w:pPr>
            <w:r>
              <w:rPr>
                <w:rFonts w:ascii="仿宋_GB2312" w:hAnsi="仿宋_GB2312" w:cs="仿宋_GB2312" w:eastAsia="仿宋_GB2312"/>
                <w:sz w:val="20"/>
              </w:rPr>
              <w:t>3、每年/半年工作项目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1）对污水站内所有设备、系统每半年进行一次大保养，以确保运行正常；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2）对所有污水池每年一次彻底清污；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color w:val="000000"/>
              </w:rPr>
              <w:t>服务期内所有维修人工费均由</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承担，配件费</w:t>
            </w:r>
            <w:r>
              <w:rPr>
                <w:rFonts w:ascii="仿宋_GB2312" w:hAnsi="仿宋_GB2312" w:cs="仿宋_GB2312" w:eastAsia="仿宋_GB2312"/>
                <w:sz w:val="20"/>
                <w:color w:val="000000"/>
              </w:rPr>
              <w:t>用</w:t>
            </w:r>
            <w:r>
              <w:rPr>
                <w:rFonts w:ascii="仿宋_GB2312" w:hAnsi="仿宋_GB2312" w:cs="仿宋_GB2312" w:eastAsia="仿宋_GB2312"/>
                <w:sz w:val="20"/>
                <w:color w:val="000000"/>
              </w:rPr>
              <w:t>单价</w:t>
            </w:r>
            <w:r>
              <w:rPr>
                <w:rFonts w:ascii="仿宋_GB2312" w:hAnsi="仿宋_GB2312" w:cs="仿宋_GB2312" w:eastAsia="仿宋_GB2312"/>
                <w:sz w:val="20"/>
                <w:color w:val="000000"/>
              </w:rPr>
              <w:t>少</w:t>
            </w:r>
            <w:r>
              <w:rPr>
                <w:rFonts w:ascii="仿宋_GB2312" w:hAnsi="仿宋_GB2312" w:cs="仿宋_GB2312" w:eastAsia="仿宋_GB2312"/>
                <w:sz w:val="20"/>
                <w:color w:val="000000"/>
              </w:rPr>
              <w:t>于</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w:t>
            </w:r>
            <w:r>
              <w:rPr>
                <w:rFonts w:ascii="仿宋_GB2312" w:hAnsi="仿宋_GB2312" w:cs="仿宋_GB2312" w:eastAsia="仿宋_GB2312"/>
                <w:sz w:val="20"/>
                <w:color w:val="000000"/>
              </w:rPr>
              <w:t>00</w:t>
            </w:r>
            <w:r>
              <w:rPr>
                <w:rFonts w:ascii="仿宋_GB2312" w:hAnsi="仿宋_GB2312" w:cs="仿宋_GB2312" w:eastAsia="仿宋_GB2312"/>
                <w:sz w:val="20"/>
                <w:color w:val="000000"/>
              </w:rPr>
              <w:t>元（含）由</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承担，配件（维修）大于</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w:t>
            </w:r>
            <w:r>
              <w:rPr>
                <w:rFonts w:ascii="仿宋_GB2312" w:hAnsi="仿宋_GB2312" w:cs="仿宋_GB2312" w:eastAsia="仿宋_GB2312"/>
                <w:sz w:val="20"/>
                <w:color w:val="000000"/>
              </w:rPr>
              <w:t>00</w:t>
            </w:r>
            <w:r>
              <w:rPr>
                <w:rFonts w:ascii="仿宋_GB2312" w:hAnsi="仿宋_GB2312" w:cs="仿宋_GB2312" w:eastAsia="仿宋_GB2312"/>
                <w:sz w:val="20"/>
                <w:color w:val="000000"/>
              </w:rPr>
              <w:t>元的，由</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进行招标（议价）进行采购。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4）所有污水站在院工作人员资料及设备保养维护资料交医院存档。</w:t>
            </w:r>
          </w:p>
          <w:p>
            <w:pPr>
              <w:pStyle w:val="null3"/>
              <w:ind w:firstLine="400"/>
              <w:jc w:val="both"/>
            </w:pPr>
            <w:r>
              <w:rPr>
                <w:rFonts w:ascii="仿宋_GB2312" w:hAnsi="仿宋_GB2312" w:cs="仿宋_GB2312" w:eastAsia="仿宋_GB2312"/>
                <w:sz w:val="20"/>
              </w:rPr>
              <w:t>4、运行管理主要内容：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1）污水处理工艺技术参数的设置与控制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2）主要污水处理设备运行管理及记录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3）主要构筑物的运行管理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4）消毒系统的管理与维护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5）相关电气与仪表专业管理与维护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6）协助采购方办理污水站相关证件（排污许可证、等）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7）其他注意事项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负责配合</w:t>
            </w:r>
            <w:r>
              <w:rPr>
                <w:rFonts w:ascii="仿宋_GB2312" w:hAnsi="仿宋_GB2312" w:cs="仿宋_GB2312" w:eastAsia="仿宋_GB2312"/>
                <w:sz w:val="20"/>
              </w:rPr>
              <w:t>采购人</w:t>
            </w:r>
            <w:r>
              <w:rPr>
                <w:rFonts w:ascii="仿宋_GB2312" w:hAnsi="仿宋_GB2312" w:cs="仿宋_GB2312" w:eastAsia="仿宋_GB2312"/>
                <w:sz w:val="20"/>
              </w:rPr>
              <w:t>接受各个部门的检查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9）出现问题1小时</w:t>
            </w:r>
            <w:r>
              <w:rPr>
                <w:rFonts w:ascii="仿宋_GB2312" w:hAnsi="仿宋_GB2312" w:cs="仿宋_GB2312" w:eastAsia="仿宋_GB2312"/>
                <w:sz w:val="20"/>
              </w:rPr>
              <w:t>内通知采购人</w:t>
            </w:r>
            <w:r>
              <w:rPr>
                <w:rFonts w:ascii="仿宋_GB2312" w:hAnsi="仿宋_GB2312" w:cs="仿宋_GB2312" w:eastAsia="仿宋_GB2312"/>
                <w:sz w:val="20"/>
              </w:rPr>
              <w:t>，重大问题需要立即通知</w:t>
            </w:r>
            <w:r>
              <w:rPr>
                <w:rFonts w:ascii="仿宋_GB2312" w:hAnsi="仿宋_GB2312" w:cs="仿宋_GB2312" w:eastAsia="仿宋_GB2312"/>
                <w:sz w:val="20"/>
              </w:rPr>
              <w:t>采购人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10）若发生环保事件，一切责任由</w:t>
            </w:r>
            <w:r>
              <w:rPr>
                <w:rFonts w:ascii="仿宋_GB2312" w:hAnsi="仿宋_GB2312" w:cs="仿宋_GB2312" w:eastAsia="仿宋_GB2312"/>
                <w:sz w:val="20"/>
              </w:rPr>
              <w:t>供应商</w:t>
            </w:r>
            <w:r>
              <w:rPr>
                <w:rFonts w:ascii="仿宋_GB2312" w:hAnsi="仿宋_GB2312" w:cs="仿宋_GB2312" w:eastAsia="仿宋_GB2312"/>
                <w:sz w:val="20"/>
              </w:rPr>
              <w:t>负责</w:t>
            </w:r>
          </w:p>
          <w:p>
            <w:pPr>
              <w:pStyle w:val="null3"/>
              <w:ind w:firstLine="400"/>
              <w:jc w:val="both"/>
            </w:pPr>
            <w:r>
              <w:rPr>
                <w:rFonts w:ascii="仿宋_GB2312" w:hAnsi="仿宋_GB2312" w:cs="仿宋_GB2312" w:eastAsia="仿宋_GB2312"/>
                <w:sz w:val="20"/>
              </w:rPr>
              <w:t>5、运营及污水排放标准要求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1）保证</w:t>
            </w:r>
            <w:r>
              <w:rPr>
                <w:rFonts w:ascii="仿宋_GB2312" w:hAnsi="仿宋_GB2312" w:cs="仿宋_GB2312" w:eastAsia="仿宋_GB2312"/>
                <w:sz w:val="20"/>
              </w:rPr>
              <w:t>采购人</w:t>
            </w:r>
            <w:r>
              <w:rPr>
                <w:rFonts w:ascii="仿宋_GB2312" w:hAnsi="仿宋_GB2312" w:cs="仿宋_GB2312" w:eastAsia="仿宋_GB2312"/>
                <w:sz w:val="20"/>
              </w:rPr>
              <w:t>污水处理设备全年</w:t>
            </w:r>
            <w:r>
              <w:rPr>
                <w:rFonts w:ascii="仿宋_GB2312" w:hAnsi="仿宋_GB2312" w:cs="仿宋_GB2312" w:eastAsia="仿宋_GB2312"/>
                <w:sz w:val="20"/>
              </w:rPr>
              <w:t>365天正常运行，在</w:t>
            </w:r>
            <w:r>
              <w:rPr>
                <w:rFonts w:ascii="仿宋_GB2312" w:hAnsi="仿宋_GB2312" w:cs="仿宋_GB2312" w:eastAsia="仿宋_GB2312"/>
                <w:sz w:val="20"/>
              </w:rPr>
              <w:t>环保部门检查中能够达到环保要求。保证</w:t>
            </w:r>
            <w:r>
              <w:rPr>
                <w:rFonts w:ascii="仿宋_GB2312" w:hAnsi="仿宋_GB2312" w:cs="仿宋_GB2312" w:eastAsia="仿宋_GB2312"/>
                <w:sz w:val="20"/>
              </w:rPr>
              <w:t>采购人</w:t>
            </w:r>
            <w:r>
              <w:rPr>
                <w:rFonts w:ascii="仿宋_GB2312" w:hAnsi="仿宋_GB2312" w:cs="仿宋_GB2312" w:eastAsia="仿宋_GB2312"/>
                <w:sz w:val="20"/>
              </w:rPr>
              <w:t>原有污水处理设备的完整性，不得私自改动任何设备。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2）要求达到《医疗机构水污染物排放标准》（GB18466-2005）中预处理标准。</w:t>
            </w:r>
            <w:r>
              <w:rPr>
                <w:rFonts w:ascii="仿宋_GB2312" w:hAnsi="仿宋_GB2312" w:cs="仿宋_GB2312" w:eastAsia="仿宋_GB2312"/>
                <w:sz w:val="20"/>
                <w:color w:val="333333"/>
              </w:rPr>
              <w:t>（包括但不限于：</w:t>
            </w:r>
            <w:r>
              <w:rPr>
                <w:rFonts w:ascii="仿宋_GB2312" w:hAnsi="仿宋_GB2312" w:cs="仿宋_GB2312" w:eastAsia="仿宋_GB2312"/>
                <w:sz w:val="20"/>
                <w:color w:val="333333"/>
              </w:rPr>
              <w:t>PH、COD、BOD5、SS、动植物油、粪大肠杆菌群、NH3-N、氰化物、挥发酚、总余氯、色度、石油类、阴离子表面活性剂。</w:t>
            </w:r>
            <w:r>
              <w:rPr>
                <w:rFonts w:ascii="仿宋_GB2312" w:hAnsi="仿宋_GB2312" w:cs="仿宋_GB2312" w:eastAsia="仿宋_GB2312"/>
                <w:sz w:val="20"/>
                <w:color w:val="333333"/>
              </w:rPr>
              <w:t>供应商</w:t>
            </w:r>
            <w:r>
              <w:rPr>
                <w:rFonts w:ascii="仿宋_GB2312" w:hAnsi="仿宋_GB2312" w:cs="仿宋_GB2312" w:eastAsia="仿宋_GB2312"/>
                <w:sz w:val="20"/>
                <w:color w:val="333333"/>
              </w:rPr>
              <w:t>可根据自身情况增加检测项目但不可减少当前项目）、废气（包括但不限于：二氧化硫、氮氧化物、颗粒物。</w:t>
            </w:r>
            <w:r>
              <w:rPr>
                <w:rFonts w:ascii="仿宋_GB2312" w:hAnsi="仿宋_GB2312" w:cs="仿宋_GB2312" w:eastAsia="仿宋_GB2312"/>
                <w:sz w:val="20"/>
                <w:color w:val="333333"/>
              </w:rPr>
              <w:t>供应商</w:t>
            </w:r>
            <w:r>
              <w:rPr>
                <w:rFonts w:ascii="仿宋_GB2312" w:hAnsi="仿宋_GB2312" w:cs="仿宋_GB2312" w:eastAsia="仿宋_GB2312"/>
                <w:sz w:val="20"/>
                <w:color w:val="333333"/>
              </w:rPr>
              <w:t>可根据自身情况增加监测项目但不可减少当前项目）</w:t>
            </w:r>
            <w:r>
              <w:rPr>
                <w:rFonts w:ascii="仿宋_GB2312" w:hAnsi="仿宋_GB2312" w:cs="仿宋_GB2312" w:eastAsia="仿宋_GB2312"/>
                <w:sz w:val="20"/>
                <w:color w:val="333333"/>
              </w:rPr>
              <w:t xml:space="preserve">            </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3）进行全面指标检测并提供合格的监测报告。如在环保部门检查及抽样检测中发现有不达标的排放行为，</w:t>
            </w:r>
            <w:r>
              <w:rPr>
                <w:rFonts w:ascii="仿宋_GB2312" w:hAnsi="仿宋_GB2312" w:cs="仿宋_GB2312" w:eastAsia="仿宋_GB2312"/>
                <w:sz w:val="20"/>
                <w:color w:val="333333"/>
              </w:rPr>
              <w:t>供应商</w:t>
            </w:r>
            <w:r>
              <w:rPr>
                <w:rFonts w:ascii="仿宋_GB2312" w:hAnsi="仿宋_GB2312" w:cs="仿宋_GB2312" w:eastAsia="仿宋_GB2312"/>
                <w:sz w:val="20"/>
                <w:color w:val="333333"/>
              </w:rPr>
              <w:t>承担由此而造成的一切经济损失及法律责任。</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供应商</w:t>
            </w:r>
            <w:r>
              <w:rPr>
                <w:rFonts w:ascii="仿宋_GB2312" w:hAnsi="仿宋_GB2312" w:cs="仿宋_GB2312" w:eastAsia="仿宋_GB2312"/>
                <w:sz w:val="20"/>
              </w:rPr>
              <w:t>负责档案资料管理，负责建立、建全设备档案，收集、整理和完善技术资料，定期移交</w:t>
            </w:r>
            <w:r>
              <w:rPr>
                <w:rFonts w:ascii="仿宋_GB2312" w:hAnsi="仿宋_GB2312" w:cs="仿宋_GB2312" w:eastAsia="仿宋_GB2312"/>
                <w:sz w:val="20"/>
              </w:rPr>
              <w:t>采购人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color w:val="333333"/>
              </w:rPr>
              <w:t>应对排污许可证年审所需的污水项目出具监测报告，需要制定并定期上传自行监测报告及年度执行报告至陕西省污染源环境监测信息管理平台，按时出具具有</w:t>
            </w:r>
            <w:r>
              <w:rPr>
                <w:rFonts w:ascii="仿宋_GB2312" w:hAnsi="仿宋_GB2312" w:cs="仿宋_GB2312" w:eastAsia="仿宋_GB2312"/>
                <w:sz w:val="20"/>
                <w:color w:val="333333"/>
              </w:rPr>
              <w:t>CM</w:t>
            </w:r>
            <w:r>
              <w:rPr>
                <w:rFonts w:ascii="仿宋_GB2312" w:hAnsi="仿宋_GB2312" w:cs="仿宋_GB2312" w:eastAsia="仿宋_GB2312"/>
                <w:sz w:val="20"/>
                <w:color w:val="333333"/>
              </w:rPr>
              <w:t>A认证的每日、每周、每月、每季度监测报告并上传数据。</w:t>
            </w:r>
          </w:p>
          <w:p>
            <w:pPr>
              <w:pStyle w:val="null3"/>
              <w:ind w:firstLine="400"/>
              <w:jc w:val="both"/>
            </w:pPr>
            <w:r>
              <w:rPr>
                <w:rFonts w:ascii="仿宋_GB2312" w:hAnsi="仿宋_GB2312" w:cs="仿宋_GB2312" w:eastAsia="仿宋_GB2312"/>
                <w:sz w:val="20"/>
              </w:rPr>
              <w:t>8、其他</w:t>
            </w:r>
          </w:p>
          <w:p>
            <w:pPr>
              <w:pStyle w:val="null3"/>
              <w:ind w:firstLine="400"/>
              <w:jc w:val="both"/>
            </w:pPr>
            <w:r>
              <w:rPr>
                <w:rFonts w:ascii="仿宋_GB2312" w:hAnsi="仿宋_GB2312" w:cs="仿宋_GB2312" w:eastAsia="仿宋_GB2312"/>
                <w:sz w:val="20"/>
              </w:rPr>
              <w:t>主要规定如下：</w:t>
            </w:r>
          </w:p>
          <w:p>
            <w:pPr>
              <w:pStyle w:val="null3"/>
              <w:ind w:firstLine="400"/>
              <w:jc w:val="both"/>
            </w:pPr>
            <w:r>
              <w:rPr>
                <w:rFonts w:ascii="仿宋_GB2312" w:hAnsi="仿宋_GB2312" w:cs="仿宋_GB2312" w:eastAsia="仿宋_GB2312"/>
                <w:sz w:val="20"/>
              </w:rPr>
              <w:t>1、保证人员按时在岗，</w:t>
            </w:r>
            <w:r>
              <w:rPr>
                <w:rFonts w:ascii="仿宋_GB2312" w:hAnsi="仿宋_GB2312" w:cs="仿宋_GB2312" w:eastAsia="仿宋_GB2312"/>
                <w:sz w:val="20"/>
                <w:color w:val="333333"/>
              </w:rPr>
              <w:t>出现问题或突发情况时，应</w:t>
            </w:r>
            <w:r>
              <w:rPr>
                <w:rFonts w:ascii="仿宋_GB2312" w:hAnsi="仿宋_GB2312" w:cs="仿宋_GB2312" w:eastAsia="仿宋_GB2312"/>
                <w:sz w:val="20"/>
                <w:color w:val="333333"/>
              </w:rPr>
              <w:t>30分钟内做出反应，3小时提供解决方案，6小时解决问题或有效控制突发情况。</w:t>
            </w:r>
          </w:p>
          <w:p>
            <w:pPr>
              <w:pStyle w:val="null3"/>
              <w:ind w:firstLine="400"/>
              <w:jc w:val="both"/>
            </w:pPr>
            <w:r>
              <w:rPr>
                <w:rFonts w:ascii="仿宋_GB2312" w:hAnsi="仿宋_GB2312" w:cs="仿宋_GB2312" w:eastAsia="仿宋_GB2312"/>
                <w:sz w:val="20"/>
              </w:rPr>
              <w:t>2、工作期间不得抽烟、酗酒</w:t>
            </w:r>
          </w:p>
          <w:p>
            <w:pPr>
              <w:pStyle w:val="null3"/>
              <w:ind w:firstLine="400"/>
              <w:jc w:val="both"/>
            </w:pPr>
            <w:r>
              <w:rPr>
                <w:rFonts w:ascii="仿宋_GB2312" w:hAnsi="仿宋_GB2312" w:cs="仿宋_GB2312" w:eastAsia="仿宋_GB2312"/>
                <w:sz w:val="20"/>
              </w:rPr>
              <w:t>3、不得带与工作无关的人进入工作区域</w:t>
            </w:r>
          </w:p>
          <w:p>
            <w:pPr>
              <w:pStyle w:val="null3"/>
              <w:ind w:firstLine="400"/>
              <w:jc w:val="both"/>
            </w:pPr>
            <w:r>
              <w:rPr>
                <w:rFonts w:ascii="仿宋_GB2312" w:hAnsi="仿宋_GB2312" w:cs="仿宋_GB2312" w:eastAsia="仿宋_GB2312"/>
                <w:sz w:val="20"/>
              </w:rPr>
              <w:t>4、保持环境卫生的整洁</w:t>
            </w:r>
          </w:p>
          <w:p>
            <w:pPr>
              <w:pStyle w:val="null3"/>
              <w:ind w:firstLine="300"/>
              <w:jc w:val="both"/>
            </w:pPr>
            <w:r>
              <w:rPr>
                <w:rFonts w:ascii="仿宋_GB2312" w:hAnsi="仿宋_GB2312" w:cs="仿宋_GB2312" w:eastAsia="仿宋_GB2312"/>
                <w:sz w:val="20"/>
              </w:rPr>
              <w:t xml:space="preserve"> </w:t>
            </w:r>
            <w:r>
              <w:rPr>
                <w:rFonts w:ascii="仿宋_GB2312" w:hAnsi="仿宋_GB2312" w:cs="仿宋_GB2312" w:eastAsia="仿宋_GB2312"/>
                <w:sz w:val="20"/>
              </w:rPr>
              <w:t>5</w:t>
            </w:r>
            <w:r>
              <w:rPr>
                <w:rFonts w:ascii="仿宋_GB2312" w:hAnsi="仿宋_GB2312" w:cs="仿宋_GB2312" w:eastAsia="仿宋_GB2312"/>
                <w:sz w:val="20"/>
              </w:rPr>
              <w:t>、保证每天固定值班人员</w:t>
            </w:r>
            <w:r>
              <w:rPr>
                <w:rFonts w:ascii="仿宋_GB2312" w:hAnsi="仿宋_GB2312" w:cs="仿宋_GB2312" w:eastAsia="仿宋_GB2312"/>
                <w:sz w:val="20"/>
              </w:rPr>
              <w:t>1</w:t>
            </w:r>
            <w:r>
              <w:rPr>
                <w:rFonts w:ascii="仿宋_GB2312" w:hAnsi="仿宋_GB2312" w:cs="仿宋_GB2312" w:eastAsia="仿宋_GB2312"/>
                <w:sz w:val="20"/>
              </w:rPr>
              <w:t>人，值班时间</w:t>
            </w:r>
            <w:r>
              <w:rPr>
                <w:rFonts w:ascii="仿宋_GB2312" w:hAnsi="仿宋_GB2312" w:cs="仿宋_GB2312" w:eastAsia="仿宋_GB2312"/>
                <w:sz w:val="20"/>
              </w:rPr>
              <w:t>8:30</w:t>
            </w:r>
            <w:r>
              <w:rPr>
                <w:rFonts w:ascii="仿宋_GB2312" w:hAnsi="仿宋_GB2312" w:cs="仿宋_GB2312" w:eastAsia="仿宋_GB2312"/>
                <w:sz w:val="20"/>
              </w:rPr>
              <w:t>至</w:t>
            </w:r>
            <w:r>
              <w:rPr>
                <w:rFonts w:ascii="仿宋_GB2312" w:hAnsi="仿宋_GB2312" w:cs="仿宋_GB2312" w:eastAsia="仿宋_GB2312"/>
                <w:sz w:val="20"/>
              </w:rPr>
              <w:t>18:00</w:t>
            </w:r>
          </w:p>
          <w:p>
            <w:pPr>
              <w:pStyle w:val="null3"/>
              <w:ind w:firstLine="400"/>
              <w:jc w:val="both"/>
            </w:pPr>
            <w:r>
              <w:rPr>
                <w:rFonts w:ascii="仿宋_GB2312" w:hAnsi="仿宋_GB2312" w:cs="仿宋_GB2312" w:eastAsia="仿宋_GB2312"/>
                <w:sz w:val="20"/>
              </w:rPr>
              <w:t>6、不得违反</w:t>
            </w:r>
            <w:r>
              <w:rPr>
                <w:rFonts w:ascii="仿宋_GB2312" w:hAnsi="仿宋_GB2312" w:cs="仿宋_GB2312" w:eastAsia="仿宋_GB2312"/>
                <w:sz w:val="20"/>
              </w:rPr>
              <w:t>采购人</w:t>
            </w:r>
            <w:r>
              <w:rPr>
                <w:rFonts w:ascii="仿宋_GB2312" w:hAnsi="仿宋_GB2312" w:cs="仿宋_GB2312" w:eastAsia="仿宋_GB2312"/>
                <w:sz w:val="20"/>
              </w:rPr>
              <w:t>单位的其他规定。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）供应商</w:t>
            </w:r>
            <w:r>
              <w:rPr>
                <w:rFonts w:ascii="仿宋_GB2312" w:hAnsi="仿宋_GB2312" w:cs="仿宋_GB2312" w:eastAsia="仿宋_GB2312"/>
                <w:sz w:val="20"/>
              </w:rPr>
              <w:t>提供的管理服务应达到国家和地方现行标准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）供应商</w:t>
            </w:r>
            <w:r>
              <w:rPr>
                <w:rFonts w:ascii="仿宋_GB2312" w:hAnsi="仿宋_GB2312" w:cs="仿宋_GB2312" w:eastAsia="仿宋_GB2312"/>
                <w:sz w:val="20"/>
              </w:rPr>
              <w:t>不得将本项目管理服务进行分包或转包</w:t>
            </w:r>
            <w:r>
              <w:rPr>
                <w:rFonts w:ascii="仿宋_GB2312" w:hAnsi="仿宋_GB2312" w:cs="仿宋_GB2312" w:eastAsia="仿宋_GB2312"/>
                <w:sz w:val="20"/>
              </w:rPr>
              <w:t>，</w:t>
            </w:r>
            <w:r>
              <w:rPr>
                <w:rFonts w:ascii="仿宋_GB2312" w:hAnsi="仿宋_GB2312" w:cs="仿宋_GB2312" w:eastAsia="仿宋_GB2312"/>
                <w:sz w:val="20"/>
              </w:rPr>
              <w:t>否则，按照本合同第十条向采购人承担违约责任</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详见本项目服务要求及合同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详见本项目服务要求及合同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详见本项目服务要求及合同。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 年 月 日至 年 月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（1）保证医院污水排放全年达到环保主管部门、相关疾控部门要求的排放标准。 （2）由运营服务公司分别于当年5月、11月进行污水处理系统应急演练，并做总结报告上交动力科审核、存档。 （3）依据污水站操作、保修手册，规范操作，定期保养，保持污水站所有设备设施的正常运行，并配合院方完成各项检查工作。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进度款，本项目服务费用人民币（大写）： 小写：¥ 元 。 1、支付方式：银行转账，以人民币结算付款。 2、结算方式：采购人对供应商提供的质量及服务无任何异议后，供应商提供向依法设立的污水集中处理场所排污及符合国家和地方环境保护标准的设施处置污泥的材料（如有污泥清运须提供相关材料，如未产生污泥则不须提供）后，每半年支付合同总价的50%。即人民币（大写）： 小写：￥ 元。供应商应为采购人提供增值税发票，采购人收到发票，达到付款条件起10个工作日内，支付合同总金额的50.0%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半年后，采购人对供应商提供的质量及服务无任何异议后，供应商提供向依法设立的污水集中处理场所排污及符合国家和地方环境保护标准的设施处置污泥的材料（如有污泥清运须提供相关材料，如未产生污泥则不须提供）后。供应商应为采购人提供增值税发票，采购人收到发票，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条款：1.供应商提供服务的质量不符合合同要求的，采购人有权要求供应商在合理时间整改，供应商逾期未整改的，采购人有权要求供应商支付本合同总价款30%的违约金，违约金不足以弥补采购人全部损失的，供应商应补足。 2.供应商不履行合同义务或不按合同约定履行义务的其它情况，本合同有特殊约定的，按照约定处理；本合同没有特殊约定的，应立即改正并赔偿因其违约给采购人造成的全部损失，并且承担本合同价款30%的违约金。 3.采购人把医院污水处理站运营管理服务工作委托供应商管理，由于供应商责任所产生的一切损失由供应商赔偿采购人及第三关联人。 4.供应商对所雇用的管理服务人员负责，须按相关规定为供应商工作人员缴纳雇主责任保险，所有人员劳务纠纷由供应商承担。供应商人员应严格按照安全规程、规范作业，在作业期间造成人员伤亡、感染等事件全部由供应商负责解决。 5.当发生紧急公共卫生事件时，供应商必须依照合同履行职责保证人员的相对稳定及所提供的管理和服务的连续性，不得中断，不得借故终止合同，否则由此产生的一切损失由供应商承担。 6.本合同项下所列采购人的全部损失包括但不限于采购人的直接损失，采购人可能需为此支付的一切赔偿、罚款等费用及为维权而支付的合理律师费、诉讼费、保全保险费、调查取证费、公证费、差旅费、鉴定费等。 7.处罚或罚款均视为违约金。 8.供应商未遵守国家法律法规及安全条例，造成重大人员伤亡和重大设备损失以及环境污染事件的，采购人有权提前终止合同，并有权要求供应商支付本合同总金额30%的违约金，违约金不足以弥补采购人全部损失的，供应商应补足。 9.本合同终止时，供应商应将污水站管理用房、相关资料等属于采购人所有的财物及时完整地移交给采购人，供应商逾期提交的，每逾期一日，供应商应向采购人支付本合同总价款万分之一的违约金。 10.供应商对采购人在运营发现的问题整改不到位的，采购人有权要求供应商支付违约金，违约金的金额为1000—5000元/次，采购人有权在应付款中扣除，供应商无异议。 解决合同纠纷的办法：本合同在履行过程中发生争议，由招、投标双方协商解决。协商不成时可向招标人所在地法院起诉。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1.付款方式以合同约定为准； 2.合同范围： （1）本项目污水处理站运营服务费采用包干制，包括服务成本、法定税费和运营服务企业的利润等一切应尽费用，应包括但不限于以下内容： 1.人工：包含养老保险、意外保险等。 2.员工住宿餐费：包括早餐、午餐、晚餐、宵夜；住宿。 3.检测药剂费：按国家标准执行。 4.细菌培养费：培养细菌，包括污泥和尿素等。 5.劳动防护品：包括口罩、防护手套、水鞋、围裙、扫把、洗衣粉等日常用品。 6.设备维护保养：包括设备的日常保养与维护。 7.污水处理剂：不限种类、按国家标准及现场设备情况执行 。 8.污泥清理费：包括污泥装袋和上车、清运处理的费用（按国家标准执行）。 9.化粪池清理费：按国家标准执行。 10.管理费：包括监督管理、与市政环保各项业务等事宜。 11.监测费：污水、废气、噪音监测（取得具有CMA认证的监测报告）及监测数据上传污染源平台，监测项目及频次按国家标准执行。 （2）行政费用，包括：员工/管理人员工资、社保等费用，办公经费等； （3）设施维护费； （4）设备日常清洁、保养费； （5）服务期内所有维修人工费均由供应商承担，配件费用单价少于1000.00元（含）由供应商承担，配件（维修）大于1000.00元的，由采购人进行招标（议价）进行采购。 （6）招标范围有关项目内容要求所列的各项指定费用。 （7）投标人应根据本企业的成本自行决定报价，但不得以低于其企业成本的报价投标；供应商报价必须充分考虑到医院服务要求和特点，以及污水处理站运营服务的各种管理因素和环境条件，在资源配置方面必须满足现有服务需求，并能够保持持续性改进提升的投入能力。供应商的报价包括入场的各项费用，医院不再为此增加任何费用。 3.注意事项： （1）供应商不得将项目非法分包或转包给任何单位和个人。否则，采购人有权即刻终止合同，并要求中标人赔偿相应损失。 （2）供应商使用的标准必须是国际公认或国家、或地方政府颁布的同等或更高的标准，如供应商使用的标准低于上述标准,评标委员会将有权不予接受，供应商必须列表将明显的差异详细说明。 （3）委托管理其间，所有委托管理项目如因未执行国家相关政策法规、或因管理不善、服务不规范等原因引发事故、纠纷，或受到主管部门的处罚，由运营管理方承担全部责任。 （4）合同终止时，运营管理服务方应将各项目条款的工作记录、设施管理使用及监测记录等移交给院方。 （5）在合同执行期间，运营管理服务方须接受市、区上级主管部门的监管。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 1、提供2024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在中华人民共和国境内注册，并有效存续的营业执照/事业单位法人证书/非企业专业服务机构执业许可证/民办非企业单位登记证书、税务登记证、组织机构代码证，或“三证合一”后的注册登记证；自然人参与投标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法定代表人证明书.docx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具有良好的商业信誉和健全的财务会计制度（任选其一）</w:t>
            </w:r>
          </w:p>
        </w:tc>
        <w:tc>
          <w:tcPr>
            <w:tcW w:type="dxa" w:w="3322"/>
          </w:tcPr>
          <w:p>
            <w:pPr>
              <w:pStyle w:val="null3"/>
            </w:pPr>
            <w:r>
              <w:rPr>
                <w:rFonts w:ascii="仿宋_GB2312" w:hAnsi="仿宋_GB2312" w:cs="仿宋_GB2312" w:eastAsia="仿宋_GB2312"/>
              </w:rPr>
              <w:t>1、提供提供2024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4.1、社会保障资金缴纳证明：自2025年6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 4.2、税收缴纳证明：自2025年6月1日以来已缴纳的至少连续三个月的纳税证明或完税证明，纳税证明或完税证明上应有代收机构或税务机关的公章或业务专用章。依法免税的投标人应提供相关文件证明。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以及未被列入失信被执行人、重大税收违法案件当事人名单、政府采购严重违法失信行为记录名单的书面声明。同时附投标人在“信用中国”和“中国政府采购网”网站上的信用查询结果。</w:t>
            </w:r>
          </w:p>
        </w:tc>
        <w:tc>
          <w:tcPr>
            <w:tcW w:type="dxa" w:w="1661"/>
          </w:tcPr>
          <w:p>
            <w:pPr>
              <w:pStyle w:val="null3"/>
            </w:pPr>
            <w:r>
              <w:rPr>
                <w:rFonts w:ascii="仿宋_GB2312" w:hAnsi="仿宋_GB2312" w:cs="仿宋_GB2312" w:eastAsia="仿宋_GB2312"/>
              </w:rPr>
              <w:t>投标人无重大违法记录的书面声明格式.docx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利益关系承诺</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利益关系承诺函.docx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须具备中华人民共和国住房和城乡建设部颁发的“环保工程专业承包二级”的资质。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8.1查询渠道：“信用中国”网站（www.creditchina.gov.vn）、中国政府采购网（www.ccgp.gov.vn）；以现场查询为准。8.2截止时点：投标截止时间；8.3信用信息查询记录和证据留存的具体方式：网上查询 结果打印。8.4信用信息的使用规则：凡在截止时点内，列入失信被执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1.符合性检查： 1.1投标文件的完整性审查。 1.1.1投标文件是否按照招标文件要求的格式编写； 1.1.2投标内容是否有重大缺漏项。 1.2投标文件的有效性审查。 1.2.1投标文件的签署、加盖印章是否合格、有效；提供的各种证明文件、数据、资料是否真实、有效。 1.2.2代理商投标时，是否提交了合格有效的货物来源渠道证明文件。（若有） 1.2.3是否提交了合格有效的本次采购特别要求的服务合格性证明。（若有） 1.3投标文件的响应性审查。 1.3.1投标报价是否超过采购预算； 1.3.2投标有效期是否符合招标文件的要求； 1.3.3投标文件响应内容是否符合国家法律法规，是否实质性响应了招标文件要求的全部条款、条件和规格要求，并且提供了支持文件，没有重大偏离。对于重大偏离，在开标后不得澄清、纠正及补充。</w:t>
            </w:r>
          </w:p>
        </w:tc>
        <w:tc>
          <w:tcPr>
            <w:tcW w:type="dxa" w:w="1661"/>
          </w:tcPr>
          <w:p>
            <w:pPr>
              <w:pStyle w:val="null3"/>
            </w:pPr>
            <w:r>
              <w:rPr>
                <w:rFonts w:ascii="仿宋_GB2312" w:hAnsi="仿宋_GB2312" w:cs="仿宋_GB2312" w:eastAsia="仿宋_GB2312"/>
              </w:rPr>
              <w:t>响应文件封面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服务响应内容</w:t>
            </w:r>
          </w:p>
        </w:tc>
        <w:tc>
          <w:tcPr>
            <w:tcW w:type="dxa" w:w="2492"/>
          </w:tcPr>
          <w:p>
            <w:pPr>
              <w:pStyle w:val="null3"/>
            </w:pPr>
            <w:r>
              <w:rPr>
                <w:rFonts w:ascii="仿宋_GB2312" w:hAnsi="仿宋_GB2312" w:cs="仿宋_GB2312" w:eastAsia="仿宋_GB2312"/>
              </w:rPr>
              <w:t>依据响应文件所提供的磋商响应服务要求的响应程度，按差别赋分：完全满足磋商文件服务要求，得满分；服务要求一项不满足，扣3分；扣完为止，不计负分。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服务要求响应表.docx</w:t>
            </w:r>
          </w:p>
        </w:tc>
      </w:tr>
      <w:tr>
        <w:tc>
          <w:tcPr>
            <w:tcW w:type="dxa" w:w="831"/>
            <w:vMerge/>
          </w:tcPr>
          <w:p/>
        </w:tc>
        <w:tc>
          <w:tcPr>
            <w:tcW w:type="dxa" w:w="1661"/>
          </w:tcPr>
          <w:p>
            <w:pPr>
              <w:pStyle w:val="null3"/>
            </w:pPr>
            <w:r>
              <w:rPr>
                <w:rFonts w:ascii="仿宋_GB2312" w:hAnsi="仿宋_GB2312" w:cs="仿宋_GB2312" w:eastAsia="仿宋_GB2312"/>
              </w:rPr>
              <w:t>驻场人员信息</w:t>
            </w:r>
          </w:p>
        </w:tc>
        <w:tc>
          <w:tcPr>
            <w:tcW w:type="dxa" w:w="2492"/>
          </w:tcPr>
          <w:p>
            <w:pPr>
              <w:pStyle w:val="null3"/>
            </w:pPr>
            <w:r>
              <w:rPr>
                <w:rFonts w:ascii="仿宋_GB2312" w:hAnsi="仿宋_GB2312" w:cs="仿宋_GB2312" w:eastAsia="仿宋_GB2312"/>
              </w:rPr>
              <w:t>根据响应文件提供的拟投入本项目的驻场人员信息，内容至少包括①驻场人员简历②驻场人员从业经历③驻场人员资质④驻场服务承诺书，结合相关支持材料赋分： 1、驻场人员简历提供得2分，未提供不得分； 2、驻场人员从业年限≥5年本项得2分，2年≤从业年限＜5年本项得1分，从业年限＜2年本项不得分；（提供相关证明材料，包括但不限于单位从业年限证明、劳务合同、项目业绩文件等） 3、每提供一份驻场人员针对本项目相关有效的资质证书，本项得1分，最高得2分。 4、提供驻场服务承诺书得1分，未提供不得分。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根据响应文件提供的拟投入本项目的服务团队信息，内容至少包括①团队人员清单及信息③团队人员岗位安排③人员考核管理制度，结合相关支持材料自主赋分： 上述3方面内容中每有1项分析内容完整、与项目需求吻合、思路清晰、层次细化，有具体详细的闸述且符合项目要求的得3分，最高得9分；每缺少一项内容的扣3分，每有一处需求分析内容存在缺陷或不足的扣2分，扣完为止。 注：未提供服务团队信息本项不得分。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根据响应文件的所提供的本项目实施方案，内容至少包括①日常运行管理方案②安全管理方案③档案收集管理方案④药剂配比制度及存储方案，自主赋分： 上述4方面内容中每有1项分析内容完整、与项目需求吻合、思路清晰、层次细化，有具体详细的闸述且符合项目要求的得2分，最高得8分；每缺少一项内容的扣2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设备维保方案</w:t>
            </w:r>
          </w:p>
        </w:tc>
        <w:tc>
          <w:tcPr>
            <w:tcW w:type="dxa" w:w="2492"/>
          </w:tcPr>
          <w:p>
            <w:pPr>
              <w:pStyle w:val="null3"/>
            </w:pPr>
            <w:r>
              <w:rPr>
                <w:rFonts w:ascii="仿宋_GB2312" w:hAnsi="仿宋_GB2312" w:cs="仿宋_GB2312" w:eastAsia="仿宋_GB2312"/>
              </w:rPr>
              <w:t>根据响应文件所提供的设备维保方案，内容至少包括①设备的基本了解情况②设备日常维护保养方案，自主排序赋分： 上述2方面内容中每有1项分析内容完整、与项目需求吻合、思路清晰、层次细化，有具体详细的闸述且符合项目要求的得3分，最高得6分；每缺少一项内容的扣3分，每有一处需求分析内容存在缺陷或不足的扣2分，扣完为止。 注：未提供设备维保方案本项不得分。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根据响应文件所提供的应急预案，内容至少包括①对日常突发事件的基础解读②面对突发事件的应急预案，自主赋分： 上述2方面内容中每有1项分析内容完整、与项目需求吻合、思路清晰、层次细化，有具体详细的闸述且符合项目要求的得3分，最高得6分；每缺少一项内容的扣3分，每有一处需求分析内容存在缺陷或不足的扣2分，扣完为止。 注：未提供设备维保方案本项不得分。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拟投入的耗材配备</w:t>
            </w:r>
          </w:p>
        </w:tc>
        <w:tc>
          <w:tcPr>
            <w:tcW w:type="dxa" w:w="2492"/>
          </w:tcPr>
          <w:p>
            <w:pPr>
              <w:pStyle w:val="null3"/>
            </w:pPr>
            <w:r>
              <w:rPr>
                <w:rFonts w:ascii="仿宋_GB2312" w:hAnsi="仿宋_GB2312" w:cs="仿宋_GB2312" w:eastAsia="仿宋_GB2312"/>
              </w:rPr>
              <w:t>根据响应文件提供的针对本项目拟投入的耗材配备方案，方案内容至少包括①耗材、备品备件及专用工具清单、报价及规格；②耗材、备品备件及专用工具供货保障能力等内容。 上述2方面内容中每有1项分析内容完整、与项目需求吻合、思路清晰、层次细化，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根据响应文件提供的针对本项目的实施方案及质量保障措施，包括但不限于①故障处理措施及处理时效保证措施；②定期巡检安排；③养护周期安排；④药剂供应保证措施等内容。 上述4方面内容中每有1项分析内容完整、与项目需求吻合、思路清晰、层次细化，有具体详细的闸述且符合项目要求的得1.25分，最高得5分；每缺少一项内容的扣 1.25分，每有一处需求分析内容存在缺陷或不足的扣0.5分，扣完为止。 注：未提供质量保障措施本项不得分。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提供2023年6月1日（以合同签订时间为准）至今类似项目业绩（污水处理运维），需提供完整的合同复印件加盖公章，每提供1个得2分，最高得8分。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详见附件：服务要求响应表.docx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详见附件：声明函.docx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详见附件：西安第五医院污水处理第三方托管运行合同.docx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