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版本号：SDZC2026-13220260821001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2026年度蒲城县紫荆街道三兴村产业配套渠道衬砌项目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SDZC2026-132</w:t>
      </w:r>
      <w:r>
        <w:br/>
      </w:r>
      <w:r>
        <w:br/>
      </w:r>
      <w:r>
        <w:br/>
      </w:r>
    </w:p>
    <w:p>
      <w:pPr>
        <w:pStyle w:val="null3"/>
        <w:jc w:val="center"/>
        <w:outlineLvl w:val="2"/>
      </w:pPr>
      <w:r>
        <w:rPr>
          <w:rFonts w:ascii="仿宋_GB2312" w:hAnsi="仿宋_GB2312" w:cs="仿宋_GB2312" w:eastAsia="仿宋_GB2312"/>
          <w:sz w:val="28"/>
          <w:b/>
        </w:rPr>
        <w:t>蒲城县紫荆街道办事处</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蒲城县紫荆街道办事处</w:t>
      </w:r>
      <w:r>
        <w:rPr>
          <w:rFonts w:ascii="仿宋_GB2312" w:hAnsi="仿宋_GB2312" w:cs="仿宋_GB2312" w:eastAsia="仿宋_GB2312"/>
        </w:rPr>
        <w:t>委托，拟对</w:t>
      </w:r>
      <w:r>
        <w:rPr>
          <w:rFonts w:ascii="仿宋_GB2312" w:hAnsi="仿宋_GB2312" w:cs="仿宋_GB2312" w:eastAsia="仿宋_GB2312"/>
        </w:rPr>
        <w:t>2026年度蒲城县紫荆街道三兴村产业配套渠道衬砌项目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SDZC2026-132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2026年度蒲城县紫荆街道三兴村产业配套渠道衬砌项目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2026年度蒲城县紫荆街道三兴村产业配套渠道衬砌项目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采购包1（2026年度蒲城县紫荆街道三兴村产业配套渠道衬砌项目）：属于专门面向中小企业采购。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1、提供供应商合法注册的法人或其他组织的营业执照等证明文件、自然人的身份证明：提供供应商合法注册的法人或其他组织的营业执照等证明文件、自然人的身份证明；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3、税收缴纳证明：税收缴纳证明：提供截止至2025年8月至今任意一个月的税收缴纳凭据；（增值税、企业所得税至少提供一种，依法免税的供应商应提供相关文件证明）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4、社会保障资金缴纳证明：社会保障资金缴纳证明：提供截止至2026年1月至今任意一个月的社保缴纳凭据或社保机构开具的社会保险参保缴纳情况证明；（依法不需要缴纳社会保障资金的供应商应提供相关证明）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p>
      <w:pPr>
        <w:pStyle w:val="null3"/>
      </w:pPr>
      <w:r>
        <w:rPr>
          <w:rFonts w:ascii="仿宋_GB2312" w:hAnsi="仿宋_GB2312" w:cs="仿宋_GB2312" w:eastAsia="仿宋_GB2312"/>
        </w:rPr>
        <w:t>8、磋商保证金交纳凭证或担保函：磋商保证金交纳凭证或担保函（磋商保证交纳金凭证为银行凭证及基本账户证明资料，担保函为财政部门认可的政府采购信用担保机构出具）；</w:t>
      </w:r>
    </w:p>
    <w:p>
      <w:pPr>
        <w:pStyle w:val="null3"/>
      </w:pPr>
      <w:r>
        <w:rPr>
          <w:rFonts w:ascii="仿宋_GB2312" w:hAnsi="仿宋_GB2312" w:cs="仿宋_GB2312" w:eastAsia="仿宋_GB2312"/>
        </w:rPr>
        <w:t>9、供应商资质：供应商具有建设行政主管部门核发的市政公用工程施工总承包或水利水电工程施工总承包三级（含）以上资质，并提供有效的安全生产许可证；</w:t>
      </w:r>
    </w:p>
    <w:p>
      <w:pPr>
        <w:pStyle w:val="null3"/>
      </w:pPr>
      <w:r>
        <w:rPr>
          <w:rFonts w:ascii="仿宋_GB2312" w:hAnsi="仿宋_GB2312" w:cs="仿宋_GB2312" w:eastAsia="仿宋_GB2312"/>
        </w:rPr>
        <w:t>10、项目经理：项目经理须具备市政公用工程专业或水利水电工程专业二级（含）以上注册建造师资格,具有有效的安全生产考核合格证书（建安B证），在本单位注册，且未担任其他在建工程项目的书面声明；</w:t>
      </w:r>
    </w:p>
    <w:p>
      <w:pPr>
        <w:pStyle w:val="null3"/>
      </w:pPr>
      <w:r>
        <w:rPr>
          <w:rFonts w:ascii="仿宋_GB2312" w:hAnsi="仿宋_GB2312" w:cs="仿宋_GB2312" w:eastAsia="仿宋_GB2312"/>
        </w:rPr>
        <w:t>11、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p>
      <w:pPr>
        <w:pStyle w:val="null3"/>
      </w:pPr>
      <w:r>
        <w:rPr>
          <w:rFonts w:ascii="仿宋_GB2312" w:hAnsi="仿宋_GB2312" w:cs="仿宋_GB2312" w:eastAsia="仿宋_GB2312"/>
        </w:rPr>
        <w:t>12、控股管理关系：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蒲城县紫荆街道办事处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蒲城县重泉路南段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0913-7209502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采购包1：970,000.00元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开户银行：中国建设银行股份有限公司西安武警路支行</w:t>
            </w:r>
          </w:p>
          <w:p>
            <w:pPr>
              <w:pStyle w:val="null3"/>
            </w:pPr>
            <w:r>
              <w:rPr>
                <w:rFonts w:ascii="仿宋_GB2312" w:hAnsi="仿宋_GB2312" w:cs="仿宋_GB2312" w:eastAsia="仿宋_GB2312"/>
              </w:rPr>
              <w:t>银行账号：61050174740000001626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1.开户行名称：中国建设银行股份有限公司西安武警路支行 2.账户名称：陕西上德招标有限公司 3.账 号：61050174740000001626 财务部联系方式： 029-86673953、029-86518381、029-89299829、029-89293231 转813、814备注：供应商在汇款时须注明项目编号+项目简称</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蒲城县紫荆街道办事处</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蒲城县紫荆街道办事处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蒲城县紫荆街道办事处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本工程项目实施过程中产生的全部知识产权归甲方所有，相关资料成果按合同约定移交、保管及使用，不得擅自泄露或挪作他用。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本工程项目按国家及行业现行规范、合同约定及设计文件要求开展验收，通过资料核查、现场实体查验相结合的方式完成项目验收及交付工作。</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970,000.00</w:t>
      </w:r>
    </w:p>
    <w:p>
      <w:pPr>
        <w:pStyle w:val="null3"/>
      </w:pPr>
      <w:r>
        <w:rPr>
          <w:rFonts w:ascii="仿宋_GB2312" w:hAnsi="仿宋_GB2312" w:cs="仿宋_GB2312" w:eastAsia="仿宋_GB2312"/>
        </w:rPr>
        <w:t>采购包最高限价（元）: 969,983.09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2026年度蒲城县紫荆街道三兴村产业配套渠道衬砌项目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970,000.00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标的名称：2026年度蒲城县紫荆街道三兴村产业配套渠道衬砌项目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工程量清单详见附件电子招标书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1.成交人在施工期间应严格遵守国家、省、市有关防火、爆破和施工安全以及文明施工、深夜施工、环卫和城管等规定，建立规章制度和防护措施, 应按安全施工的要求，采取严格科学的安全措施，确保施工安全和第三者的安全，确保工程质量和生产安全。否则，由此造成的经济和法律责任均由成交人负责。2.成交人应配合项目建设进度,向采购人提供施工组织计划、进度计划和施工作业计划，并签订施工安全责任书。3.采购人只提供电源、水源。成交人在施工期间不得破坏原有建筑。</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1.合同履行期限： 自合同签订后40个日历日内施工完毕。 2.合同履约地点：蒲城县紫荆街道三兴村。 3.支付方式：3.1甲乙双方合同签订后，达到付款条件起30日内，支付合同总金额的40%；3.2竣工验收合格后，达到付款条件起30日内，支付至合同总金额的97%；3.3审计完成后，达到付款条件起30日内，支付合同剩余金额款项。 4、质量保修期： 4.1工程质量保修期符合国家标准要求。成交人承诺的质量保修期时间超过磋商文件规定的，按其承诺时间质保。成交人承诺的质量保修期起始时间为终验合格之日。 4.2工程质量等级达到合格或以上标准。 4.3成交人应遵照国家规范规定的建筑工程施工质量标准及要求作出明确承诺。 4.4在质量保修期内，成交人应具有良好、迅速的售后服务能力。 5、合同实施： 5.1.成交人应在合同签订后7个日历日内安排人员（项目组成人员简历表所列）就施工等进行安排、部署。 5.2.若因成交人原因未能在规定工期内完成合同规定的义务，由此对采购人造成的延误和一切损失，由成交人承担和赔偿。 6、违约责任： 6.1按《中华人民共和国民法典》中的相关条款执行。 6.2未按合同要求提供工程质量或工程质量不能满足技术要求，采购人有权终止合同，并对供方违约行为进行追究，同时按《中华人民共和国政府采购法》的有关规定进行处罚。6.3磋商响应文件中提供的资质证书等材料在合同签订及履行期间持续有效，否则响应文件中应提供一份承诺书，承诺到期前完成续期并向采购人提供新的材料；</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成交人在领取成交通知书时提供一正两副纸质竞争性磋商响应文件，纸质响应文件采用书籍（胶装）方式装订成册，与电子响应文件一致的签字、盖章的完整版本（正本为红章，副本不作要求）。2、本项目采购标的对应的中小企业划分标准所属行业为（建筑业）。3、保证金退还3.1在磋商截止时间前撤回已提交磋商响应文件的供应商的磋商保证金，将在采购代理机构收到供应商书面撤回通知之日起5个工作日内退还。3.2所有未成交供应商的磋商保证金，将在成交通知书发出后5个工作日内退还。3.3成交的供应商的磋商保证金在签订合同后，执合同予以5个工作日内退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供应商需在项目电子化交易系统中按要求上传相应证明文件并进行电子签章。本项目审查内容与特殊资格要求的“财务状况报告”审查为同一项。</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响应函 资质证明文件.docx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提供供应商合法注册的法人或其他组织的营业执照等证明文件、自然人的身份证明；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税收缴纳证明：提供截止至2025年8月至今任意一个月的税收缴纳凭据；（增值税、企业所得税至少提供一种，依法免税的供应商应提供相关文件证明）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社会保障资金缴纳证明：提供截止至2026年1月至今任意一个月的社保缴纳凭据或社保机构开具的社会保险参保缴纳情况证明；（依法不需要缴纳社会保障资金的供应商应提供相关证明）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法定代表人授权委托书（附法定代表人身份证复印件及被授权人身份证复印件、同时提供被授权人2026年4月至今任意一个月在本单位的社保资金缴纳凭证）；法定代表人直接参加磋商提供法定代表人资格证明书（附法定代表人身份证复印件）；采购文件凡是法定代表人之处，非法人单位的负责人均参照执行； (式样见文件格式)</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磋商保证金交纳凭证或担保函</w:t>
            </w:r>
          </w:p>
        </w:tc>
        <w:tc>
          <w:tcPr>
            <w:tcW w:type="dxa" w:w="3322"/>
          </w:tcPr>
          <w:p>
            <w:pPr>
              <w:pStyle w:val="null3"/>
            </w:pPr>
            <w:r>
              <w:rPr>
                <w:rFonts w:ascii="仿宋_GB2312" w:hAnsi="仿宋_GB2312" w:cs="仿宋_GB2312" w:eastAsia="仿宋_GB2312"/>
              </w:rPr>
              <w:t>磋商保证金交纳凭证或担保函（磋商保证交纳金凭证为银行凭证及基本账户证明资料，担保函为财政部门认可的政府采购信用担保机构出具）；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供应商具有建设行政主管部门核发的市政公用工程施工总承包或水利水电工程施工总承包三级（含）以上资质，并提供有效的安全生产许可证；</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项目经理须具备市政公用工程专业或水利水电工程专业二级（含）以上注册建造师资格,具有有效的安全生产考核合格证书（建安B证），在本单位注册，且未担任其他在建工程项目的书面声明；</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由采购人在磋商响应截止日当天在“信用中国”网站和中国政府采购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由采购人在磋商响应截止日当天在“国家企业信用信息公示系统”网站进行查询，截图留档；如网站无供应商信息的，供应商须提供相关证明资料或书面声明，且附在竞争性磋商响应文件中）</w:t>
            </w:r>
          </w:p>
        </w:tc>
        <w:tc>
          <w:tcPr>
            <w:tcW w:type="dxa" w:w="1661"/>
          </w:tcPr>
          <w:p>
            <w:pPr>
              <w:pStyle w:val="null3"/>
            </w:pPr>
            <w:r>
              <w:rPr>
                <w:rFonts w:ascii="仿宋_GB2312" w:hAnsi="仿宋_GB2312" w:cs="仿宋_GB2312" w:eastAsia="仿宋_GB2312"/>
              </w:rPr>
              <w:t>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响应文件封面 磋商报价说明.docx 中小企业声明函 残疾人福利性单位声明函 授权委托书.docx 1拒绝政府采购领域商业贿赂承诺书2采购活动的承诺函.docx 商务标封皮.docx 响应函 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已标价工程量清单 中小企业声明函 授权委托书.docx 1拒绝政府采购领域商业贿赂承诺书2采购活动的承诺函.docx 竞争性磋商文件及合同条款的承诺.docx 工程量清单计价表.docx 响应偏离表.docx 响应文件封面 磋商报价说明.docx 残疾人福利性单位声明函 商务标封皮.docx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磋商报价未超过最高限价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已标价工程量清单 工程量清单计价表.docx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磋商有效期是否符合磋商文件的要求；</w:t>
            </w:r>
          </w:p>
        </w:tc>
        <w:tc>
          <w:tcPr>
            <w:tcW w:type="dxa" w:w="1661"/>
          </w:tcPr>
          <w:p>
            <w:pPr>
              <w:pStyle w:val="null3"/>
            </w:pPr>
            <w:r>
              <w:rPr>
                <w:rFonts w:ascii="仿宋_GB2312" w:hAnsi="仿宋_GB2312" w:cs="仿宋_GB2312" w:eastAsia="仿宋_GB2312"/>
              </w:rPr>
              <w:t>授权委托书.docx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技术、服务、商务及其他要求响应</w:t>
            </w:r>
          </w:p>
        </w:tc>
        <w:tc>
          <w:tcPr>
            <w:tcW w:type="dxa" w:w="3322"/>
          </w:tcPr>
          <w:p>
            <w:pPr>
              <w:pStyle w:val="null3"/>
            </w:pPr>
            <w:r>
              <w:rPr>
                <w:rFonts w:ascii="仿宋_GB2312" w:hAnsi="仿宋_GB2312" w:cs="仿宋_GB2312" w:eastAsia="仿宋_GB2312"/>
              </w:rPr>
              <w:t>对磋商文件技术、服务、商务及其他要求是否作出明确响应，对不得偏离的要求是否作出实质性响应；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法律、法规和磋商文件规定的其他无效响应情形</w:t>
            </w:r>
          </w:p>
        </w:tc>
        <w:tc>
          <w:tcPr>
            <w:tcW w:type="dxa" w:w="1661"/>
          </w:tcPr>
          <w:p>
            <w:pPr>
              <w:pStyle w:val="null3"/>
            </w:pPr>
            <w:r>
              <w:rPr>
                <w:rFonts w:ascii="仿宋_GB2312" w:hAnsi="仿宋_GB2312" w:cs="仿宋_GB2312" w:eastAsia="仿宋_GB2312"/>
              </w:rPr>
              <w:t>竞争性磋商文件及合同条款的承诺.docx 供应商认为有必要补充说明的事宜.docx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响应优劣顺序推荐。评审得分且最后报价且技术响应得分均相同的，则由全体磋商小组成员无记名投票，得票高者为第一成交候选人。</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技术响应1</w:t>
            </w:r>
          </w:p>
        </w:tc>
        <w:tc>
          <w:tcPr>
            <w:tcW w:type="dxa" w:w="2492"/>
          </w:tcPr>
          <w:p>
            <w:pPr>
              <w:pStyle w:val="null3"/>
            </w:pPr>
            <w:r>
              <w:rPr>
                <w:rFonts w:ascii="仿宋_GB2312" w:hAnsi="仿宋_GB2312" w:cs="仿宋_GB2312" w:eastAsia="仿宋_GB2312"/>
              </w:rPr>
              <w:t>供应商针对本项目编制完善的工程质量技术组织措施，内容包含但不限于：质量目标管理体系；施工质量的检验制度；确保质量的技术组织措施；材料储存方案。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技术响应2</w:t>
            </w:r>
          </w:p>
        </w:tc>
        <w:tc>
          <w:tcPr>
            <w:tcW w:type="dxa" w:w="2492"/>
          </w:tcPr>
          <w:p>
            <w:pPr>
              <w:pStyle w:val="null3"/>
            </w:pPr>
            <w:r>
              <w:rPr>
                <w:rFonts w:ascii="仿宋_GB2312" w:hAnsi="仿宋_GB2312" w:cs="仿宋_GB2312" w:eastAsia="仿宋_GB2312"/>
              </w:rPr>
              <w:t>供应商针对本项目编制完善的文明施工及环境保护措施，内容包含但不限于：安全文明施工目标及施工现场的临时管理措施；文明施工保障措施；环境保护管理体系、环保控制措施、噪音控制；防尘及扬尘的控制措施。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技术响应3</w:t>
            </w:r>
          </w:p>
        </w:tc>
        <w:tc>
          <w:tcPr>
            <w:tcW w:type="dxa" w:w="2492"/>
          </w:tcPr>
          <w:p>
            <w:pPr>
              <w:pStyle w:val="null3"/>
            </w:pPr>
            <w:r>
              <w:rPr>
                <w:rFonts w:ascii="仿宋_GB2312" w:hAnsi="仿宋_GB2312" w:cs="仿宋_GB2312" w:eastAsia="仿宋_GB2312"/>
              </w:rPr>
              <w:t>供应商针对本项目编制完善的安全生产的技术组织措施，内容包含但不限于：安全管理体系；安全责任归属划分；安全标识：安全警戒标语、施工人员安全警示服和安全帽穿配要求、安全教育培训等。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技术响应4</w:t>
            </w:r>
          </w:p>
        </w:tc>
        <w:tc>
          <w:tcPr>
            <w:tcW w:type="dxa" w:w="2492"/>
          </w:tcPr>
          <w:p>
            <w:pPr>
              <w:pStyle w:val="null3"/>
            </w:pPr>
            <w:r>
              <w:rPr>
                <w:rFonts w:ascii="仿宋_GB2312" w:hAnsi="仿宋_GB2312" w:cs="仿宋_GB2312" w:eastAsia="仿宋_GB2312"/>
              </w:rPr>
              <w:t>供应商针对本项目编制完善的工期的技术组织措施，内容包含但不限于：施工组织与工期保证措施；特殊情况保证：夜间、雨季等情况。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技术响应5</w:t>
            </w:r>
          </w:p>
        </w:tc>
        <w:tc>
          <w:tcPr>
            <w:tcW w:type="dxa" w:w="2492"/>
          </w:tcPr>
          <w:p>
            <w:pPr>
              <w:pStyle w:val="null3"/>
            </w:pPr>
            <w:r>
              <w:rPr>
                <w:rFonts w:ascii="仿宋_GB2312" w:hAnsi="仿宋_GB2312" w:cs="仿宋_GB2312" w:eastAsia="仿宋_GB2312"/>
              </w:rPr>
              <w:t>供应商针对本项目编制完善的施工方案，内容包含但不限于：具体施工内容；施工次序；施工方法（工艺）；成品保护措施等。 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技术响应6</w:t>
            </w:r>
          </w:p>
        </w:tc>
        <w:tc>
          <w:tcPr>
            <w:tcW w:type="dxa" w:w="2492"/>
          </w:tcPr>
          <w:p>
            <w:pPr>
              <w:pStyle w:val="null3"/>
            </w:pPr>
            <w:r>
              <w:rPr>
                <w:rFonts w:ascii="仿宋_GB2312" w:hAnsi="仿宋_GB2312" w:cs="仿宋_GB2312" w:eastAsia="仿宋_GB2312"/>
              </w:rPr>
              <w:t>供应商针对本项目编制完善的施工机械及材料投入计划，内容包含但不限于：拟投入的主要施工机械设备计划；主要材料进场计划。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技术响应7</w:t>
            </w:r>
          </w:p>
        </w:tc>
        <w:tc>
          <w:tcPr>
            <w:tcW w:type="dxa" w:w="2492"/>
          </w:tcPr>
          <w:p>
            <w:pPr>
              <w:pStyle w:val="null3"/>
            </w:pPr>
            <w:r>
              <w:rPr>
                <w:rFonts w:ascii="仿宋_GB2312" w:hAnsi="仿宋_GB2312" w:cs="仿宋_GB2312" w:eastAsia="仿宋_GB2312"/>
              </w:rPr>
              <w:t>供应商针对本项目编制完善的施工进度网络图或施工进度表，内容包含但不限于：施工总进度；施工进度目标和施工总进度计划表/图；施工进度保障措施等。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技术响应8</w:t>
            </w:r>
          </w:p>
        </w:tc>
        <w:tc>
          <w:tcPr>
            <w:tcW w:type="dxa" w:w="2492"/>
          </w:tcPr>
          <w:p>
            <w:pPr>
              <w:pStyle w:val="null3"/>
            </w:pPr>
            <w:r>
              <w:rPr>
                <w:rFonts w:ascii="仿宋_GB2312" w:hAnsi="仿宋_GB2312" w:cs="仿宋_GB2312" w:eastAsia="仿宋_GB2312"/>
              </w:rPr>
              <w:t>供应商针对本项目编制完善的劳动力安排计划及劳务分包情况，内容包含但不限于：劳动力投入计划；劳动力保障措施。 评审标准：内容全面详细、阐述条理清晰、具有针对性、合理可行得4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技术响应9</w:t>
            </w:r>
          </w:p>
        </w:tc>
        <w:tc>
          <w:tcPr>
            <w:tcW w:type="dxa" w:w="2492"/>
          </w:tcPr>
          <w:p>
            <w:pPr>
              <w:pStyle w:val="null3"/>
            </w:pPr>
            <w:r>
              <w:rPr>
                <w:rFonts w:ascii="仿宋_GB2312" w:hAnsi="仿宋_GB2312" w:cs="仿宋_GB2312" w:eastAsia="仿宋_GB2312"/>
              </w:rPr>
              <w:t>供应商针对本项目编制完善的项目经理部组织机构，内容包含但不限于：项目成员配置清单及架构；项目组配备人员的专业素质；人员结构；项目成员的主要职责及工作内容等。评审标准：内容全面详细、阐述条理清晰、具有针对性、合理可行得8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技术标附表.docx</w:t>
            </w:r>
          </w:p>
          <w:p>
            <w:pPr>
              <w:pStyle w:val="null3"/>
            </w:pPr>
            <w:r>
              <w:rPr>
                <w:rFonts w:ascii="仿宋_GB2312" w:hAnsi="仿宋_GB2312" w:cs="仿宋_GB2312" w:eastAsia="仿宋_GB2312"/>
              </w:rPr>
              <w:t>技术标.docx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以合同形式提供供应商2023年01月至今类似项目业绩，每份计2分，计满8分为止。（以合同签订时间为准，附合同复印件）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技术标附表.docx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供应商针对本项目编制完善的服务承诺，内容包含但不限于：对招标文件和合同条款的响应承诺；针对本项目实际需求提供实质性服务承诺及保障措施；针对本项目的施工验收后期的质保承诺等。 评审标准：内容全面详细、阐述条理清晰、具有针对性、合理可行得6分。每缺一项扣2分，每有一处内容存在缺陷，扣1分，扣完为止，未提供相关内容本项不计分。备注：缺陷是指内容不合理、内容仅有粗略表述不具体、内容表述前后不一致、内容存在明显错误、漏洞、套用其他项目内容或与项目需求不匹配及其他不利于项目实施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采用低价优先法计算，即满足竞争性磋商文件要求且最后报价最低的供应商的价格为磋商基准价，其价格分为满分。其他供应商的价格分统一按照下列公式计算： 磋商报价得分=（磋商基准价/最终磋商报价）×价格权值（即30%）×100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详见附件：1拒绝政府采购领域商业贿赂承诺书2采购活动的承诺函.docx</w:t>
      </w:r>
    </w:p>
    <w:p>
      <w:pPr>
        <w:pStyle w:val="null3"/>
        <w:ind w:firstLine="960"/>
      </w:pPr>
      <w:r>
        <w:rPr>
          <w:rFonts w:ascii="仿宋_GB2312" w:hAnsi="仿宋_GB2312" w:cs="仿宋_GB2312" w:eastAsia="仿宋_GB2312"/>
        </w:rPr>
        <w:t>详见附件：磋商报价说明.docx</w:t>
      </w:r>
    </w:p>
    <w:p>
      <w:pPr>
        <w:pStyle w:val="null3"/>
        <w:ind w:firstLine="960"/>
      </w:pPr>
      <w:r>
        <w:rPr>
          <w:rFonts w:ascii="仿宋_GB2312" w:hAnsi="仿宋_GB2312" w:cs="仿宋_GB2312" w:eastAsia="仿宋_GB2312"/>
        </w:rPr>
        <w:t>详见附件：工程量清单计价表.docx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详见附件：技术标.docx</w:t>
      </w:r>
    </w:p>
    <w:p>
      <w:pPr>
        <w:pStyle w:val="null3"/>
        <w:ind w:firstLine="960"/>
      </w:pPr>
      <w:r>
        <w:rPr>
          <w:rFonts w:ascii="仿宋_GB2312" w:hAnsi="仿宋_GB2312" w:cs="仿宋_GB2312" w:eastAsia="仿宋_GB2312"/>
        </w:rPr>
        <w:t>详见附件：技术标附表.docx</w:t>
      </w:r>
    </w:p>
    <w:p>
      <w:pPr>
        <w:pStyle w:val="null3"/>
        <w:ind w:firstLine="960"/>
      </w:pPr>
      <w:r>
        <w:rPr>
          <w:rFonts w:ascii="仿宋_GB2312" w:hAnsi="仿宋_GB2312" w:cs="仿宋_GB2312" w:eastAsia="仿宋_GB2312"/>
        </w:rPr>
        <w:t>详见附件：竞争性磋商文件及合同条款的承诺.docx</w:t>
      </w:r>
    </w:p>
    <w:p>
      <w:pPr>
        <w:pStyle w:val="null3"/>
        <w:ind w:firstLine="960"/>
      </w:pPr>
      <w:r>
        <w:rPr>
          <w:rFonts w:ascii="仿宋_GB2312" w:hAnsi="仿宋_GB2312" w:cs="仿宋_GB2312" w:eastAsia="仿宋_GB2312"/>
        </w:rPr>
        <w:t>详见附件：商务标封皮.docx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详见附件：资质证明文件.docx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