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版本号：LWQZFCG2026-00320260514002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渭南市南湖公园项目合同纠纷行政应诉法律服务项目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LWQZFCG2026-003</w:t>
      </w:r>
      <w:r>
        <w:br/>
      </w:r>
      <w:r>
        <w:br/>
      </w:r>
      <w:r>
        <w:br/>
      </w:r>
    </w:p>
    <w:p>
      <w:pPr>
        <w:pStyle w:val="null3"/>
        <w:jc w:val="center"/>
        <w:outlineLvl w:val="2"/>
      </w:pPr>
      <w:r>
        <w:rPr>
          <w:rFonts w:ascii="仿宋_GB2312" w:hAnsi="仿宋_GB2312" w:cs="仿宋_GB2312" w:eastAsia="仿宋_GB2312"/>
          <w:sz w:val="28"/>
          <w:b/>
        </w:rPr>
        <w:t>渭南市临渭区水务局</w:t>
      </w:r>
    </w:p>
    <w:p>
      <w:pPr>
        <w:pStyle w:val="null3"/>
        <w:jc w:val="center"/>
        <w:outlineLvl w:val="2"/>
      </w:pPr>
      <w:r>
        <w:rPr>
          <w:rFonts w:ascii="仿宋_GB2312" w:hAnsi="仿宋_GB2312" w:cs="仿宋_GB2312" w:eastAsia="仿宋_GB2312"/>
          <w:sz w:val="28"/>
          <w:b/>
        </w:rPr>
        <w:t>临渭区政府采购中心</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临渭区政府采购中心</w:t>
      </w:r>
      <w:r>
        <w:rPr>
          <w:rFonts w:ascii="仿宋_GB2312" w:hAnsi="仿宋_GB2312" w:cs="仿宋_GB2312" w:eastAsia="仿宋_GB2312"/>
        </w:rPr>
        <w:t>（以下简称“代理机构”）受</w:t>
      </w:r>
      <w:r>
        <w:rPr>
          <w:rFonts w:ascii="仿宋_GB2312" w:hAnsi="仿宋_GB2312" w:cs="仿宋_GB2312" w:eastAsia="仿宋_GB2312"/>
        </w:rPr>
        <w:t>渭南市临渭区水务局</w:t>
      </w:r>
      <w:r>
        <w:rPr>
          <w:rFonts w:ascii="仿宋_GB2312" w:hAnsi="仿宋_GB2312" w:cs="仿宋_GB2312" w:eastAsia="仿宋_GB2312"/>
        </w:rPr>
        <w:t>委托，拟对</w:t>
      </w:r>
      <w:r>
        <w:rPr>
          <w:rFonts w:ascii="仿宋_GB2312" w:hAnsi="仿宋_GB2312" w:cs="仿宋_GB2312" w:eastAsia="仿宋_GB2312"/>
        </w:rPr>
        <w:t>渭南市南湖公园项目合同纠纷行政应诉法律服务项目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LWQZFCG2026-003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渭南市南湖公园项目合同纠纷行政应诉法律服务项目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为渭南市南湖公园项目合同纠纷行政应诉案件提供诉讼代理、法律咨询、案件答辩、法律文书起草、证据收集整理、庭审应诉、案件论证、争议协调等全流程法律服务。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其他组织的营业执照/事业单位法人证书/非企业专业服务机构执业许可证/民办非企业单位登记证书：提供供应商合法注册的法人或其他组织的营业执照/事业单位法人证书/非企业专业服务机构执业许可证/民办非企业单位登记证书；</w:t>
      </w:r>
    </w:p>
    <w:p>
      <w:pPr>
        <w:pStyle w:val="null3"/>
      </w:pPr>
      <w:r>
        <w:rPr>
          <w:rFonts w:ascii="仿宋_GB2312" w:hAnsi="仿宋_GB2312" w:cs="仿宋_GB2312" w:eastAsia="仿宋_GB2312"/>
        </w:rPr>
        <w:t>2、财务状况报告：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w:t>
      </w:r>
    </w:p>
    <w:p>
      <w:pPr>
        <w:pStyle w:val="null3"/>
      </w:pPr>
      <w:r>
        <w:rPr>
          <w:rFonts w:ascii="仿宋_GB2312" w:hAnsi="仿宋_GB2312" w:cs="仿宋_GB2312" w:eastAsia="仿宋_GB2312"/>
        </w:rPr>
        <w:t>3、税收缴纳证明：提供截止至开标时间前一年内任意一个月的缴纳凭据（增值税、企业所得税至少提供一种，依法免税的供应商应提供相关文件证明）；</w:t>
      </w:r>
    </w:p>
    <w:p>
      <w:pPr>
        <w:pStyle w:val="null3"/>
      </w:pPr>
      <w:r>
        <w:rPr>
          <w:rFonts w:ascii="仿宋_GB2312" w:hAnsi="仿宋_GB2312" w:cs="仿宋_GB2312" w:eastAsia="仿宋_GB2312"/>
        </w:rPr>
        <w:t>4、社会保障资金缴纳证明：提供截止至开标时间前一年内任意一个月的社保缴纳凭据或社保机构开具的社会保险参保缴纳情况证明（依法不需要缴纳社会保障资金的供应商应提供相关证明）；</w:t>
      </w:r>
    </w:p>
    <w:p>
      <w:pPr>
        <w:pStyle w:val="null3"/>
      </w:pPr>
      <w:r>
        <w:rPr>
          <w:rFonts w:ascii="仿宋_GB2312" w:hAnsi="仿宋_GB2312" w:cs="仿宋_GB2312" w:eastAsia="仿宋_GB2312"/>
        </w:rPr>
        <w:t>5、具有履行本合同所必需的设备和专业技术能力的说明及承诺：提供具有履行本合同所必需的设备和专业技术能力的说明及承诺（提供书面说明及承诺，加盖供应商公章）；</w:t>
      </w:r>
    </w:p>
    <w:p>
      <w:pPr>
        <w:pStyle w:val="null3"/>
      </w:pPr>
      <w:r>
        <w:rPr>
          <w:rFonts w:ascii="仿宋_GB2312" w:hAnsi="仿宋_GB2312" w:cs="仿宋_GB2312" w:eastAsia="仿宋_GB2312"/>
        </w:rPr>
        <w:t>6、参加政府采购活动前三年内在经营活动中没有重大违法记录的书面声明：提供参加政府采购活动前三年内在经营活动中没有重大违法记录的书面声明（提供书面声明，加盖供应商公章）；</w:t>
      </w:r>
    </w:p>
    <w:p>
      <w:pPr>
        <w:pStyle w:val="null3"/>
      </w:pPr>
      <w:r>
        <w:rPr>
          <w:rFonts w:ascii="仿宋_GB2312" w:hAnsi="仿宋_GB2312" w:cs="仿宋_GB2312" w:eastAsia="仿宋_GB2312"/>
        </w:rPr>
        <w:t>7、法定代表人授权委托书：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p>
      <w:pPr>
        <w:pStyle w:val="null3"/>
      </w:pPr>
      <w:r>
        <w:rPr>
          <w:rFonts w:ascii="仿宋_GB2312" w:hAnsi="仿宋_GB2312" w:cs="仿宋_GB2312" w:eastAsia="仿宋_GB2312"/>
        </w:rPr>
        <w:t>8、供应商及项目负责人资质要求：供应商具有司法行政管理部门核发并经年审合格的《律师事务所执业许可证》、拟派项目负责人持有司法部门颁发的律师执业证；</w:t>
      </w:r>
    </w:p>
    <w:p>
      <w:pPr>
        <w:pStyle w:val="null3"/>
      </w:pPr>
      <w:r>
        <w:rPr>
          <w:rFonts w:ascii="仿宋_GB2312" w:hAnsi="仿宋_GB2312" w:cs="仿宋_GB2312" w:eastAsia="仿宋_GB2312"/>
        </w:rPr>
        <w:t>9、信用信息查询：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10、控股关系：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渭南市临渭区水务局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渭南市东风街83号院</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渭南市临渭区水务局</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0913-2074046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临渭区政府采购中心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渭南市临渭区乐天大街123号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临渭区政府采购中心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0913-2130883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渭南市临渭区政府采购管理股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渭南市临渭区政府采购管理股</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0913-2130873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本项目不收取代理服务费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渭南市临渭区水务局</w:t>
      </w:r>
      <w:r>
        <w:rPr>
          <w:rFonts w:ascii="仿宋_GB2312" w:hAnsi="仿宋_GB2312" w:cs="仿宋_GB2312" w:eastAsia="仿宋_GB2312"/>
        </w:rPr>
        <w:t>和</w:t>
      </w:r>
      <w:r>
        <w:rPr>
          <w:rFonts w:ascii="仿宋_GB2312" w:hAnsi="仿宋_GB2312" w:cs="仿宋_GB2312" w:eastAsia="仿宋_GB2312"/>
        </w:rPr>
        <w:t>临渭区政府采购中心</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渭南市临渭区水务局</w:t>
      </w:r>
      <w:r>
        <w:rPr>
          <w:rFonts w:ascii="仿宋_GB2312" w:hAnsi="仿宋_GB2312" w:cs="仿宋_GB2312" w:eastAsia="仿宋_GB2312"/>
        </w:rPr>
        <w:t>负责解释。除上述磋商文件内容，其他内容由</w:t>
      </w:r>
      <w:r>
        <w:rPr>
          <w:rFonts w:ascii="仿宋_GB2312" w:hAnsi="仿宋_GB2312" w:cs="仿宋_GB2312" w:eastAsia="仿宋_GB2312"/>
        </w:rPr>
        <w:t>临渭区政府采购中心</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渭南市临渭区水务局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临渭区政府采购中心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满足国家相关法律法规及相关行业规定，完成采购文件要求的服务内容。</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渭南市临渭区水务局</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临渭区政府采购中心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临渭区政府采购中心</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联系人：渭南市临渭区政府采购中心</w:t>
      </w:r>
    </w:p>
    <w:p>
      <w:pPr>
        <w:pStyle w:val="null3"/>
      </w:pPr>
      <w:r>
        <w:rPr>
          <w:rFonts w:ascii="仿宋_GB2312" w:hAnsi="仿宋_GB2312" w:cs="仿宋_GB2312" w:eastAsia="仿宋_GB2312"/>
        </w:rPr>
        <w:t>联系电话：0913-2130883</w:t>
      </w:r>
    </w:p>
    <w:p>
      <w:pPr>
        <w:pStyle w:val="null3"/>
      </w:pPr>
      <w:r>
        <w:rPr>
          <w:rFonts w:ascii="仿宋_GB2312" w:hAnsi="仿宋_GB2312" w:cs="仿宋_GB2312" w:eastAsia="仿宋_GB2312"/>
        </w:rPr>
        <w:t>地址：渭南市乐天大街123号</w:t>
      </w:r>
    </w:p>
    <w:p>
      <w:pPr>
        <w:pStyle w:val="null3"/>
      </w:pPr>
      <w:r>
        <w:rPr>
          <w:rFonts w:ascii="仿宋_GB2312" w:hAnsi="仿宋_GB2312" w:cs="仿宋_GB2312" w:eastAsia="仿宋_GB2312"/>
        </w:rPr>
        <w:t>邮编：714000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为渭南市南湖公园项目合同纠纷行政应诉案件提供诉讼代理、法律咨询、案件答辩、法律文书起草、证据收集整理、庭审应诉、案件论证、争议协调等全流程法律服务。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渭南市南湖公园项目合同纠纷行政应诉法律服务项目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950,000.00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标的名称：渭南市南湖公园项目合同纠纷行政应诉法律服务项目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560"/>
              <w:jc w:val="both"/>
            </w:pPr>
            <w:r>
              <w:rPr>
                <w:rFonts w:ascii="仿宋_GB2312" w:hAnsi="仿宋_GB2312" w:cs="仿宋_GB2312" w:eastAsia="仿宋_GB2312"/>
                <w:sz w:val="28"/>
              </w:rPr>
              <w:t>收集与整理证据</w:t>
            </w:r>
          </w:p>
          <w:p>
            <w:pPr>
              <w:pStyle w:val="null3"/>
              <w:ind w:firstLine="560"/>
              <w:jc w:val="both"/>
            </w:pPr>
            <w:r>
              <w:rPr>
                <w:rFonts w:ascii="仿宋_GB2312" w:hAnsi="仿宋_GB2312" w:cs="仿宋_GB2312" w:eastAsia="仿宋_GB2312"/>
                <w:sz w:val="28"/>
              </w:rPr>
              <w:t>全面了解案情，收集相关证据，包括书证、物证、证人证言等，确保证据的合法性与充分性</w:t>
            </w:r>
            <w:r>
              <w:rPr>
                <w:rFonts w:ascii="仿宋_GB2312" w:hAnsi="仿宋_GB2312" w:cs="仿宋_GB2312" w:eastAsia="仿宋_GB2312"/>
                <w:sz w:val="28"/>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560"/>
              <w:jc w:val="both"/>
            </w:pPr>
            <w:r>
              <w:rPr>
                <w:rFonts w:ascii="仿宋_GB2312" w:hAnsi="仿宋_GB2312" w:cs="仿宋_GB2312" w:eastAsia="仿宋_GB2312"/>
                <w:sz w:val="28"/>
              </w:rPr>
              <w:t>法律分析与策略制定</w:t>
            </w:r>
          </w:p>
          <w:p>
            <w:pPr>
              <w:pStyle w:val="null3"/>
              <w:ind w:firstLine="560"/>
              <w:jc w:val="both"/>
            </w:pPr>
            <w:r>
              <w:rPr>
                <w:rFonts w:ascii="仿宋_GB2312" w:hAnsi="仿宋_GB2312" w:cs="仿宋_GB2312" w:eastAsia="仿宋_GB2312"/>
                <w:sz w:val="28"/>
              </w:rPr>
              <w:t>根据案件事实和法律规定，进行法律分析，制定诉讼策略，包括确定诉讼请求、答辩思路等</w:t>
            </w:r>
            <w:r>
              <w:rPr>
                <w:rFonts w:ascii="仿宋_GB2312" w:hAnsi="仿宋_GB2312" w:cs="仿宋_GB2312" w:eastAsia="仿宋_GB2312"/>
                <w:sz w:val="28"/>
              </w:rPr>
              <w:t>。撰写起诉状、答辩状、代理词等法律文书，确保文书内容合法、逻辑清晰。</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560"/>
              <w:jc w:val="both"/>
            </w:pPr>
            <w:r>
              <w:rPr>
                <w:rFonts w:ascii="仿宋_GB2312" w:hAnsi="仿宋_GB2312" w:cs="仿宋_GB2312" w:eastAsia="仿宋_GB2312"/>
                <w:sz w:val="28"/>
              </w:rPr>
              <w:t>立案与程序审查</w:t>
            </w:r>
          </w:p>
          <w:p>
            <w:pPr>
              <w:pStyle w:val="null3"/>
              <w:ind w:firstLine="560"/>
              <w:jc w:val="both"/>
            </w:pPr>
            <w:r>
              <w:rPr>
                <w:rFonts w:ascii="仿宋_GB2312" w:hAnsi="仿宋_GB2312" w:cs="仿宋_GB2312" w:eastAsia="仿宋_GB2312"/>
                <w:sz w:val="28"/>
              </w:rPr>
              <w:t>协助当事人完成立案手续，确保案件顺利进入诉讼程序</w:t>
            </w:r>
            <w:r>
              <w:rPr>
                <w:rFonts w:ascii="仿宋_GB2312" w:hAnsi="仿宋_GB2312" w:cs="仿宋_GB2312" w:eastAsia="仿宋_GB2312"/>
                <w:sz w:val="28"/>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firstLine="560"/>
              <w:jc w:val="both"/>
            </w:pPr>
            <w:r>
              <w:rPr>
                <w:rFonts w:ascii="仿宋_GB2312" w:hAnsi="仿宋_GB2312" w:cs="仿宋_GB2312" w:eastAsia="仿宋_GB2312"/>
                <w:sz w:val="28"/>
              </w:rPr>
              <w:t>出庭代理与辩论</w:t>
            </w:r>
          </w:p>
          <w:p>
            <w:pPr>
              <w:pStyle w:val="null3"/>
              <w:ind w:firstLine="560"/>
              <w:jc w:val="both"/>
            </w:pPr>
            <w:r>
              <w:rPr>
                <w:rFonts w:ascii="仿宋_GB2312" w:hAnsi="仿宋_GB2312" w:cs="仿宋_GB2312" w:eastAsia="仿宋_GB2312"/>
                <w:sz w:val="28"/>
              </w:rPr>
              <w:t>代表当事人出庭应诉，进行举证、质证、辩论等诉讼活动，维护当事人的合法权益</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在法庭辩论阶段，全面发表代理意见，争取有利的判决结果</w:t>
            </w:r>
            <w:r>
              <w:rPr>
                <w:rFonts w:ascii="仿宋_GB2312" w:hAnsi="仿宋_GB2312" w:cs="仿宋_GB2312" w:eastAsia="仿宋_GB2312"/>
                <w:sz w:val="28"/>
              </w:rPr>
              <w:t>。</w:t>
            </w:r>
          </w:p>
          <w:p>
            <w:pPr>
              <w:pStyle w:val="null3"/>
              <w:ind w:firstLine="560"/>
              <w:jc w:val="both"/>
            </w:pP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ind w:firstLine="560"/>
              <w:jc w:val="both"/>
            </w:pPr>
            <w:r>
              <w:rPr>
                <w:rFonts w:ascii="仿宋_GB2312" w:hAnsi="仿宋_GB2312" w:cs="仿宋_GB2312" w:eastAsia="仿宋_GB2312"/>
                <w:sz w:val="28"/>
              </w:rPr>
              <w:t>与法官、对方当事人沟通</w:t>
            </w:r>
          </w:p>
          <w:p>
            <w:pPr>
              <w:pStyle w:val="null3"/>
            </w:pPr>
            <w:r>
              <w:rPr>
                <w:rFonts w:ascii="仿宋_GB2312" w:hAnsi="仿宋_GB2312" w:cs="仿宋_GB2312" w:eastAsia="仿宋_GB2312"/>
                <w:sz w:val="28"/>
              </w:rPr>
              <w:t xml:space="preserve">    与法官就案件事实、证据和法律适用等问题进行沟通，争取法官对己方观点的认可</w:t>
            </w:r>
            <w:r>
              <w:rPr>
                <w:rFonts w:ascii="仿宋_GB2312" w:hAnsi="仿宋_GB2312" w:cs="仿宋_GB2312" w:eastAsia="仿宋_GB2312"/>
                <w:sz w:val="28"/>
              </w:rPr>
              <w:t>。</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ind w:firstLine="560"/>
              <w:jc w:val="both"/>
            </w:pPr>
            <w:r>
              <w:rPr>
                <w:rFonts w:ascii="仿宋_GB2312" w:hAnsi="仿宋_GB2312" w:cs="仿宋_GB2312" w:eastAsia="仿宋_GB2312"/>
                <w:sz w:val="28"/>
              </w:rPr>
              <w:t>判决分析与执行</w:t>
            </w:r>
          </w:p>
          <w:p>
            <w:pPr>
              <w:pStyle w:val="null3"/>
              <w:ind w:firstLine="560"/>
              <w:jc w:val="both"/>
            </w:pPr>
            <w:r>
              <w:rPr>
                <w:rFonts w:ascii="仿宋_GB2312" w:hAnsi="仿宋_GB2312" w:cs="仿宋_GB2312" w:eastAsia="仿宋_GB2312"/>
                <w:sz w:val="28"/>
              </w:rPr>
              <w:t>在法院作出判决后，为当事人提供专业意见，</w:t>
            </w:r>
            <w:r>
              <w:rPr>
                <w:rFonts w:ascii="仿宋_GB2312" w:hAnsi="仿宋_GB2312" w:cs="仿宋_GB2312" w:eastAsia="仿宋_GB2312"/>
                <w:sz w:val="28"/>
              </w:rPr>
              <w:t>协助当事人执行判决，包括申请强制执行、协调执行事宜等，确保判决内容得到落实。</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ind w:firstLine="560"/>
              <w:jc w:val="both"/>
            </w:pPr>
            <w:r>
              <w:rPr>
                <w:rFonts w:ascii="仿宋_GB2312" w:hAnsi="仿宋_GB2312" w:cs="仿宋_GB2312" w:eastAsia="仿宋_GB2312"/>
                <w:sz w:val="28"/>
              </w:rPr>
              <w:t>案件总结与反馈</w:t>
            </w:r>
          </w:p>
          <w:p>
            <w:pPr>
              <w:pStyle w:val="null3"/>
              <w:ind w:firstLine="560"/>
              <w:jc w:val="both"/>
            </w:pPr>
            <w:r>
              <w:rPr>
                <w:rFonts w:ascii="仿宋_GB2312" w:hAnsi="仿宋_GB2312" w:cs="仿宋_GB2312" w:eastAsia="仿宋_GB2312"/>
                <w:sz w:val="28"/>
              </w:rPr>
              <w:t>对案件进行总结，为当事人提供法律风险防范建议</w:t>
            </w:r>
            <w:r>
              <w:rPr>
                <w:rFonts w:ascii="仿宋_GB2312" w:hAnsi="仿宋_GB2312" w:cs="仿宋_GB2312" w:eastAsia="仿宋_GB2312"/>
                <w:sz w:val="28"/>
              </w:rPr>
              <w:t>。与当事人保持沟通，反馈案件进展及后续法律服务的安排。</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ind w:firstLine="640"/>
              <w:jc w:val="both"/>
            </w:pPr>
            <w:r>
              <w:rPr>
                <w:rFonts w:ascii="仿宋_GB2312" w:hAnsi="仿宋_GB2312" w:cs="仿宋_GB2312" w:eastAsia="仿宋_GB2312"/>
                <w:sz w:val="32"/>
              </w:rPr>
              <w:t>（项目概况）为全面落实法治政府建设各项要求，规范行政机关合同管理与争议处置流程，切实维护采购人合法权益、防范法律风险，保障公共资金使用合规与行政工作有序推进，结合当前项目实际，特启动本次项目合同纠纷行政应诉法律服务采购工作。</w:t>
            </w:r>
          </w:p>
          <w:p>
            <w:pPr>
              <w:pStyle w:val="null3"/>
              <w:ind w:firstLine="640"/>
              <w:jc w:val="both"/>
            </w:pPr>
            <w:r>
              <w:rPr>
                <w:rFonts w:ascii="仿宋_GB2312" w:hAnsi="仿宋_GB2312" w:cs="仿宋_GB2312" w:eastAsia="仿宋_GB2312"/>
                <w:sz w:val="32"/>
              </w:rPr>
              <w:t>采购人与承建方因渭南市南湖公园项目合同履约争议、款项结算分歧、合同条款履行偏差等，引发项目合同纠纷，且已进入行政应诉相关法律程序。当前，该合同纠纷涉及金额较大、法律关系复杂，兼具行政合规性审查与民事合同争议双重属性，对应诉团队的专业能力、行政法律实务经验、政府采购及项目合同相关政策把控度要求极高。为确保应诉工作依法依规、高效推进，最大程度降低我方法律风险与经济损失，保障行政行为的合法性与权威性，亟需委托具备专业资质、丰富行政应诉及合同纠纷处理经验的法律服务机构，提供全流程专项行政应诉法律服务，妥善化解本次合同纠纷，维护采购人合法权益与公共利益。</w:t>
            </w:r>
          </w:p>
          <w:p>
            <w:pPr>
              <w:pStyle w:val="null3"/>
              <w:ind w:firstLine="640"/>
              <w:jc w:val="both"/>
            </w:pPr>
            <w:r>
              <w:rPr>
                <w:rFonts w:ascii="仿宋_GB2312" w:hAnsi="仿宋_GB2312" w:cs="仿宋_GB2312" w:eastAsia="仿宋_GB2312"/>
                <w:sz w:val="32"/>
              </w:rPr>
              <w:t>本次项目合同纠纷行政应诉采购服务，核心是围绕涉诉项目合同纠纷，为采购方提供全流程、专业化、合规化的行政应诉法律服务，全程遵循行政诉讼相关法律法规、政府采购政策及项目合同约定，精准把控案件核心争议点，全方位保障采购方权益，具体服务内容：为案件提供诉讼代理、法律咨询、案件答辩、法律文书起草、证据收集整理、庭审应诉、案件论证、争议协调等全流程法律服务。</w:t>
            </w:r>
          </w:p>
          <w:p>
            <w:pPr>
              <w:pStyle w:val="null3"/>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1、供应商应及时向采购人汇报项目实施情况。 2、人员配备合理，有针对本项目的专项服务小组，项目负责人、工作人员分工明确。 3、在服务期间,若供应商所拟派的工作人员发生任何伤害，采购人概不负责，由供应商自行处理。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自本合同签订生效之日起至本项目诉讼代理事项结束为止；诉讼代理事项结束包括一审的结束，以及采购人书面确认的其他相关法律事务的完成。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根据国家有关规定以及采购文件的服务内容及要求、成交供应商的响应文件及承诺与本合同约定标准进行验收。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20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在双方确认的诉讼代理事项结束后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政府采购法》及实施条例、《中华人民共和国民法典》的相关条款和合同约定，供应商未全面履行合同义务或者发生违约，采购人有权终止合同，依法向成交供应商进行经济索赔，并报请政府采购监督管理机关进行相应的行政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服务范围：满足采购人项目需求； 服务标准：满足国家相关法律法规及行业规定。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供应商需在项目电子化交易系统中按要求上传相应证明文件并进行电子签章。此项审查内容与特殊资格条件中的“财务状况报告”为同一审查内容。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供应商需在项目电子化交易系统中按要求填写《投标函》完成承诺并进行电子签章。此项审查内容与特殊资格条件中的“控股关系查询”为同一审查内容。</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3322"/>
          </w:tcPr>
          <w:p>
            <w:pPr>
              <w:pStyle w:val="null3"/>
            </w:pPr>
            <w:r>
              <w:rPr>
                <w:rFonts w:ascii="仿宋_GB2312" w:hAnsi="仿宋_GB2312" w:cs="仿宋_GB2312" w:eastAsia="仿宋_GB2312"/>
              </w:rPr>
              <w:t>提供供应商合法注册的法人或其他组织的营业执照/事业单位法人证书/非企业专业服务机构执业许可证/民办非企业单位登记证书；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合法有效的2024年度或2025年度财务报告（成立时间至开标时间不足一年的可提供成立后任意时段的资产负债表）或开标前六个月内其基本开户银行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提供截止至开标时间前一年内任意一个月的缴纳凭据（增值税、企业所得税至少提供一种，依法免税的供应商应提供相关文件证明）；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提供截止至开标时间前一年内任意一个月的社保缴纳凭据或社保机构开具的社会保险参保缴纳情况证明（依法不需要缴纳社会保障资金的供应商应提供相关证明）；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提供参加政府采购活动前三年内在经营活动中没有重大违法记录的书面声明（提供书面声明，加盖供应商公章）；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法定代表人直接参加磋商提供法定代表人资格证明书（附法定代表人身份证复印件）；采购文件凡是法定代表人之处，非法人单位的负责人均参照执行（式样见响应文件格式）；</w:t>
            </w:r>
          </w:p>
        </w:tc>
        <w:tc>
          <w:tcPr>
            <w:tcW w:type="dxa" w:w="1661"/>
          </w:tcPr>
          <w:p>
            <w:pPr>
              <w:pStyle w:val="null3"/>
            </w:pPr>
            <w:r>
              <w:rPr>
                <w:rFonts w:ascii="仿宋_GB2312" w:hAnsi="仿宋_GB2312" w:cs="仿宋_GB2312" w:eastAsia="仿宋_GB2312"/>
              </w:rPr>
              <w:t>法定代表人授权委托书（格式）.docx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供应商及项目负责人资质要求</w:t>
            </w:r>
          </w:p>
        </w:tc>
        <w:tc>
          <w:tcPr>
            <w:tcW w:type="dxa" w:w="3322"/>
          </w:tcPr>
          <w:p>
            <w:pPr>
              <w:pStyle w:val="null3"/>
            </w:pPr>
            <w:r>
              <w:rPr>
                <w:rFonts w:ascii="仿宋_GB2312" w:hAnsi="仿宋_GB2312" w:cs="仿宋_GB2312" w:eastAsia="仿宋_GB2312"/>
              </w:rPr>
              <w:t>供应商具有司法行政管理部门核发并经年审合格的《律师事务所执业许可证》、拟派项目负责人持有司法部门颁发的律师执业证；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供应商；不得为中国政府采购网(http://www.ccgp.gov.cn)“政府采购严重违法失信行为记录名单”中的供应商。（根据财库〔2019〕38号文规定，此项在磋商截止日当天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根据财库〔2019〕38号文规定，此项在磋商截止日当天在“国家企业信用信息公示系统”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供应商名称应与获取竞争性磋商文件的单位名称一致。</w:t>
            </w:r>
          </w:p>
        </w:tc>
        <w:tc>
          <w:tcPr>
            <w:tcW w:type="dxa" w:w="1661"/>
          </w:tcPr>
          <w:p>
            <w:pPr>
              <w:pStyle w:val="null3"/>
            </w:pPr>
            <w:r>
              <w:rPr>
                <w:rFonts w:ascii="仿宋_GB2312" w:hAnsi="仿宋_GB2312" w:cs="仿宋_GB2312" w:eastAsia="仿宋_GB2312"/>
              </w:rPr>
              <w:t>业绩.docx 中小企业声明函 服务条款响应偏离表（格式）.docx 承诺书.docx 报价表 商务条款响应偏离表（格式）.docx 资格证明文件.docx 响应文件封面 供应商认为有必要说明的事宜（若有）.docx 残疾人福利性单位声明函 拒绝政府采购领域商业贿赂承诺书.docx 供应商参与政府采购活动的承诺函.docx 标的清单 法定代表人授权委托书（格式）.docx 响应函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除明确允许供应商可以自行编写的外，竞争性磋商响应文件应按照竞争性磋商文件给定的格式编制</w:t>
            </w:r>
          </w:p>
        </w:tc>
        <w:tc>
          <w:tcPr>
            <w:tcW w:type="dxa" w:w="1661"/>
          </w:tcPr>
          <w:p>
            <w:pPr>
              <w:pStyle w:val="null3"/>
            </w:pPr>
            <w:r>
              <w:rPr>
                <w:rFonts w:ascii="仿宋_GB2312" w:hAnsi="仿宋_GB2312" w:cs="仿宋_GB2312" w:eastAsia="仿宋_GB2312"/>
              </w:rPr>
              <w:t>业绩.docx 中小企业声明函 服务条款响应偏离表（格式）.docx 承诺书.docx 报价表 商务条款响应偏离表（格式）.docx 资格证明文件.docx 响应文件封面 供应商认为有必要说明的事宜（若有）.docx 残疾人福利性单位声明函 拒绝政府采购领域商业贿赂承诺书.docx 供应商参与政府采购活动的承诺函.docx 标的清单 法定代表人授权委托书（格式）.docx 响应函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竞争性磋商响应文件应按照竞争性磋商文件的要求盖章签字</w:t>
            </w:r>
          </w:p>
        </w:tc>
        <w:tc>
          <w:tcPr>
            <w:tcW w:type="dxa" w:w="1661"/>
          </w:tcPr>
          <w:p>
            <w:pPr>
              <w:pStyle w:val="null3"/>
            </w:pPr>
            <w:r>
              <w:rPr>
                <w:rFonts w:ascii="仿宋_GB2312" w:hAnsi="仿宋_GB2312" w:cs="仿宋_GB2312" w:eastAsia="仿宋_GB2312"/>
              </w:rPr>
              <w:t>业绩.docx 中小企业声明函 服务条款响应偏离表（格式）.docx 承诺书.docx 报价表 商务条款响应偏离表（格式）.docx 资格证明文件.docx 响应文件封面 供应商认为有必要说明的事宜（若有）.docx 残疾人福利性单位声明函 拒绝政府采购领域商业贿赂承诺书.docx 供应商参与政府采购活动的承诺函.docx 标的清单 法定代表人授权委托书（格式）.docx 响应函 服务方案.docx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磋商报价未超过最高限价。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磋商有效期应符合竞争性磋商文件的要求。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对竞争性磋商文件商务要求是否作出明确且实质性响应。</w:t>
            </w:r>
          </w:p>
        </w:tc>
        <w:tc>
          <w:tcPr>
            <w:tcW w:type="dxa" w:w="1661"/>
          </w:tcPr>
          <w:p>
            <w:pPr>
              <w:pStyle w:val="null3"/>
            </w:pPr>
            <w:r>
              <w:rPr>
                <w:rFonts w:ascii="仿宋_GB2312" w:hAnsi="仿宋_GB2312" w:cs="仿宋_GB2312" w:eastAsia="仿宋_GB2312"/>
              </w:rPr>
              <w:t>商务条款响应偏离表（格式）.docx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服务内容和要求响应</w:t>
            </w:r>
          </w:p>
        </w:tc>
        <w:tc>
          <w:tcPr>
            <w:tcW w:type="dxa" w:w="3322"/>
          </w:tcPr>
          <w:p>
            <w:pPr>
              <w:pStyle w:val="null3"/>
            </w:pPr>
            <w:r>
              <w:rPr>
                <w:rFonts w:ascii="仿宋_GB2312" w:hAnsi="仿宋_GB2312" w:cs="仿宋_GB2312" w:eastAsia="仿宋_GB2312"/>
              </w:rPr>
              <w:t>对竞争性磋商文件服务内容和要求是否作出明确响应。</w:t>
            </w:r>
          </w:p>
        </w:tc>
        <w:tc>
          <w:tcPr>
            <w:tcW w:type="dxa" w:w="1661"/>
          </w:tcPr>
          <w:p>
            <w:pPr>
              <w:pStyle w:val="null3"/>
            </w:pPr>
            <w:r>
              <w:rPr>
                <w:rFonts w:ascii="仿宋_GB2312" w:hAnsi="仿宋_GB2312" w:cs="仿宋_GB2312" w:eastAsia="仿宋_GB2312"/>
              </w:rPr>
              <w:t>服务条款响应偏离表（格式）.docx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竞争性磋商响应文件未含有采购人不能接受的附加条件。</w:t>
            </w:r>
          </w:p>
        </w:tc>
        <w:tc>
          <w:tcPr>
            <w:tcW w:type="dxa" w:w="1661"/>
          </w:tcPr>
          <w:p>
            <w:pPr>
              <w:pStyle w:val="null3"/>
            </w:pPr>
            <w:r>
              <w:rPr>
                <w:rFonts w:ascii="仿宋_GB2312" w:hAnsi="仿宋_GB2312" w:cs="仿宋_GB2312" w:eastAsia="仿宋_GB2312"/>
              </w:rPr>
              <w:t>供应商认为有必要说明的事宜（若有）.docx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其他无效响应情形</w:t>
            </w:r>
          </w:p>
        </w:tc>
        <w:tc>
          <w:tcPr>
            <w:tcW w:type="dxa" w:w="3322"/>
          </w:tcPr>
          <w:p>
            <w:pPr>
              <w:pStyle w:val="null3"/>
            </w:pPr>
            <w:r>
              <w:rPr>
                <w:rFonts w:ascii="仿宋_GB2312" w:hAnsi="仿宋_GB2312" w:cs="仿宋_GB2312" w:eastAsia="仿宋_GB2312"/>
              </w:rPr>
              <w:t>无法律、法规和磋商文件规定的其他无效响应情形。</w:t>
            </w:r>
          </w:p>
        </w:tc>
        <w:tc>
          <w:tcPr>
            <w:tcW w:type="dxa" w:w="1661"/>
          </w:tcPr>
          <w:p>
            <w:pPr>
              <w:pStyle w:val="null3"/>
            </w:pPr>
            <w:r>
              <w:rPr>
                <w:rFonts w:ascii="仿宋_GB2312" w:hAnsi="仿宋_GB2312" w:cs="仿宋_GB2312" w:eastAsia="仿宋_GB2312"/>
              </w:rPr>
              <w:t>服务条款响应偏离表（格式）.docx 商务条款响应偏离表（格式）.docx 服务方案.docx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评审得分相同的，按照最后报价由低到高的顺序推荐。评审得分且最后报价相同的，按照技术部分得分从高到低顺序推荐，若该项得分还相同，由磋商小组无记名投票确定排名顺序。</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一、评审内容：①项目背景分析；②项目服务内容的理解。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1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沟通协调机制</w:t>
            </w:r>
          </w:p>
        </w:tc>
        <w:tc>
          <w:tcPr>
            <w:tcW w:type="dxa" w:w="2492"/>
          </w:tcPr>
          <w:p>
            <w:pPr>
              <w:pStyle w:val="null3"/>
            </w:pPr>
            <w:r>
              <w:rPr>
                <w:rFonts w:ascii="仿宋_GB2312" w:hAnsi="仿宋_GB2312" w:cs="仿宋_GB2312" w:eastAsia="仿宋_GB2312"/>
              </w:rPr>
              <w:t>一、评审内容：①沟通管理体系；②程序和建议。 二、评审标准： 提供详细、合理、科学可行的方案，方案符合本项目采购需求有针对性，以上2项，以序号①、②为项数，内容无缺项、无漏项且无缺陷的得8分，其中每有一项内容存在缺项或漏项的扣4分，每项内容中每有一处存在缺陷的扣1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服务体系和工作流程</w:t>
            </w:r>
          </w:p>
        </w:tc>
        <w:tc>
          <w:tcPr>
            <w:tcW w:type="dxa" w:w="2492"/>
          </w:tcPr>
          <w:p>
            <w:pPr>
              <w:pStyle w:val="null3"/>
            </w:pPr>
            <w:r>
              <w:rPr>
                <w:rFonts w:ascii="仿宋_GB2312" w:hAnsi="仿宋_GB2312" w:cs="仿宋_GB2312" w:eastAsia="仿宋_GB2312"/>
              </w:rPr>
              <w:t>一、评审内容：①基础代理方案；②案件风险分析方案；③案件流程管理服务方案。 二、评审标准：提供详细、合理、科学可行的方案，方案符合本项目采购需求有针对性，以上3项，以序号①、②、③为项数，内容无缺项、无漏项且无缺陷的得12分，其中每有一项内容存在缺项或漏项的扣4分，每项内容中每有一处存在缺陷的扣1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一、评审内容：①质量保障措施；②廉洁、职业道德；③档案管理制度；④保密措施。 二、评审标准：提供详细、合理、科学可行的方案，方案符合本项目采购需求有针对性，以上4项，以序号①、②、③、④为项数，内容无缺项、无漏项且无缺陷的得16分，其中每有一项内容存在缺项或漏项的扣4分，每项内容中每有一处存在缺陷的扣1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项目主要人员</w:t>
            </w:r>
          </w:p>
        </w:tc>
        <w:tc>
          <w:tcPr>
            <w:tcW w:type="dxa" w:w="2492"/>
          </w:tcPr>
          <w:p>
            <w:pPr>
              <w:pStyle w:val="null3"/>
            </w:pPr>
            <w:r>
              <w:rPr>
                <w:rFonts w:ascii="仿宋_GB2312" w:hAnsi="仿宋_GB2312" w:cs="仿宋_GB2312" w:eastAsia="仿宋_GB2312"/>
              </w:rPr>
              <w:t>(1)项目负责人执业满8年以上(含8年)计4分,执业满5年以上(含5年)计2分，其他不得分； (2)为项目配备的其他执业律师工作人员，提供项目团队人员的律师执业资格证书复印件、简历，每提供1人得1分，满分4分。 注:（1）以加盖供应商公章的执业证书复印件或扫描件载明执业证号第6至9位年限为准。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一、评审内容：①合理的人员数量配置；②人员分工责任明确；③人员经验资历丰富。 二、评审标准：提供详细、合理、科学可行的方案，方案符合本项目采购需求有针对性，以上3项，以序号①、②、③为项数，内容无缺项、无漏项且无缺陷的得12分，其中每有一项内容存在缺项或漏项的扣4分，每项内容中每有一处存在缺陷的扣1分，该项分值扣完为止，未提供不得分。 三、赋分说明：“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重点问题解决方案</w:t>
            </w:r>
          </w:p>
        </w:tc>
        <w:tc>
          <w:tcPr>
            <w:tcW w:type="dxa" w:w="2492"/>
          </w:tcPr>
          <w:p>
            <w:pPr>
              <w:pStyle w:val="null3"/>
            </w:pPr>
            <w:r>
              <w:rPr>
                <w:rFonts w:ascii="仿宋_GB2312" w:hAnsi="仿宋_GB2312" w:cs="仿宋_GB2312" w:eastAsia="仿宋_GB2312"/>
              </w:rPr>
              <w:t>一、评审内容：①工作重点、难点分析；②重点、难点解决方案。 二、评审标准：提供详细、合理、科学可行的方案，方案符合本项目采购需求有针对性，以上2项，以序号①、②为项数，内容无缺项、无漏项且无缺陷的得8分，其中每有一项内容存在缺项或漏项的扣4分，每项内容中每有一处存在缺陷的扣1分，该项分值扣完为止，未提供不得分。 三、赋分说明： “缺陷”是指套用其他项目方案内容；存在不适用项目实际情况的情形，可实施性不强；引用科学原理错误以及无法实现的情形；引用的法律法规、标准(方法)或其他规范性文件错误；语言错误或存在歧义；前后内容不一；逻辑错误；未能体现出本项目的特点或与本项目实际需求不完全相符，针对性不强;涉及内容无重点或内容不够详细以及其他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提供2023年5月至磋商之日（以合同签订时间为准）同类项目业绩，每提供一份业绩计2分，最高计8分。（以合同复印件加盖公章为准）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（1）满足磋商文件实质性要求且最终报价最低的供应商的价格为磋商基准价，其价格分为满分20分。（2）磋商报价得分=（磋商基准价/最终磋商报价）×20。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详见附件：法定代表人授权委托书（格式）.docx</w:t>
      </w:r>
    </w:p>
    <w:p>
      <w:pPr>
        <w:pStyle w:val="null3"/>
        <w:ind w:firstLine="960"/>
      </w:pPr>
      <w:r>
        <w:rPr>
          <w:rFonts w:ascii="仿宋_GB2312" w:hAnsi="仿宋_GB2312" w:cs="仿宋_GB2312" w:eastAsia="仿宋_GB2312"/>
        </w:rPr>
        <w:t>详见附件：服务条款响应偏离表（格式）.docx</w:t>
      </w:r>
    </w:p>
    <w:p>
      <w:pPr>
        <w:pStyle w:val="null3"/>
        <w:ind w:firstLine="960"/>
      </w:pPr>
      <w:r>
        <w:rPr>
          <w:rFonts w:ascii="仿宋_GB2312" w:hAnsi="仿宋_GB2312" w:cs="仿宋_GB2312" w:eastAsia="仿宋_GB2312"/>
        </w:rPr>
        <w:t>详见附件：商务条款响应偏离表（格式）.docx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详见附件：供应商参与政府采购活动的承诺函.docx</w:t>
      </w:r>
    </w:p>
    <w:p>
      <w:pPr>
        <w:pStyle w:val="null3"/>
        <w:ind w:firstLine="960"/>
      </w:pPr>
      <w:r>
        <w:rPr>
          <w:rFonts w:ascii="仿宋_GB2312" w:hAnsi="仿宋_GB2312" w:cs="仿宋_GB2312" w:eastAsia="仿宋_GB2312"/>
        </w:rPr>
        <w:t>详见附件：供应商认为有必要说明的事宜（若有）.docx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详见附件：服务方案.docx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