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版本号：SXHC2026-21520260814001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第十五届中国创新创业大赛创新挑战赛(西安)赛事服务项目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SXHC2026-215</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第十五届中国创新创业大赛创新挑战赛(西安)赛事服务项目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第十五届中国创新创业大赛创新挑战赛(西安)赛事服务项目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强化企业创新主体地位，深入贯彻落实创新驱动发展战略，推动四链融合，将西安的优质资源优势变成企业高速发展的内生动力，根据年度工作安排，举办第十五届中国创新创业大赛创新挑战赛（西安）赛事活动。本届赛事聚焦秦创原产业创新聚集区和产业创新中心牵头单位和重点企业，围绕新兴前沿领域、未来产业领域，通过“企业出题、产学研协同解题、政府支持”机制，挖掘梳理企业创新资源、产业需求，加强场景应用牵引、加速优质科研成果向本地产业精准转移、高效落地转化，推动科技创新与产业创新深度融合发展，做好成果转化服务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采购包1（第十五届中国创新创业大赛创新挑战赛（西安）会务及宣传服务）：属于专门面向中小企业采购。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陕西省西安市未央区凤城八路109号2号楼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代理服务费收费标准：1、招标代理服务费的计算方法：以各采购包成交金额为基数，参考《国家计委关于印发&lt;招标代理服务收费管理暂行办法&gt;的通知》（计价格〔2002〕1980号）及《国家发改委关于降低 部分建设项目收费标准规范收费行为等有关问题的通知》（发改价格〔2011〕534号）规定按标准收取。 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满足磋商文件及合同文本要求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满足磋商文件及合同文本要求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地址：陕西省西安高新区锦业路1号绿地领海大厦B座10楼1006室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强化企业创新主体地位，深入贯彻落实创新驱动发展战略，推动四链融合，将西安的优质资源优势变成企业高速发展的内生动力，根据年度工作安排，举办第十五届中国创新创业大赛创新挑战赛（西安）赛事活动。本届赛事聚焦秦创原产业创新聚集区和产业创新中心牵头单位和重点企业，围绕新兴前沿领域、未来产业领域，通过“企业出题、产学研协同解题、政府支持”机制，挖掘梳理企业创新资源、产业需求，加强场景应用牵引、加速优质科研成果向本地产业精准转移、高效落地转化，推动科技创新与产业创新深度融合发展，做好成果转化服务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第十五届中国创新创业大赛创新挑战赛（西安）会务及宣传服务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第十五届中国创新创业大赛创新挑战赛（西安）技术需求及解决方案征集、梳理、分析服务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标的名称：第十五届中国创新创业大赛创新挑战赛（西安）会务及宣传服务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采购内容</w:t>
            </w:r>
          </w:p>
          <w:p>
            <w:pPr>
              <w:pStyle w:val="null3"/>
              <w:ind w:firstLine="400"/>
              <w:jc w:val="both"/>
            </w:pPr>
            <w:r>
              <w:rPr>
                <w:rFonts w:ascii="仿宋_GB2312" w:hAnsi="仿宋_GB2312" w:cs="仿宋_GB2312" w:eastAsia="仿宋_GB2312"/>
              </w:rPr>
              <w:t>供应商负责第十五届中国创新创业大赛创新挑战赛（西安）现场赛及需求对接会的会务服务，赛事活动的宣传报道服务，现场赛专家评审工作，主要包括场地选址、布置搭建、会场设备、物料制作、主持人、资料包制作、用餐、摄影、摄像、赛事全程影像资料采集剪辑、宣传文稿撰写、媒体发布、专题片制作等。</w:t>
            </w:r>
          </w:p>
          <w:p>
            <w:pPr>
              <w:pStyle w:val="null3"/>
              <w:ind w:firstLine="400"/>
              <w:jc w:val="both"/>
            </w:pPr>
            <w:r>
              <w:rPr>
                <w:rFonts w:ascii="仿宋_GB2312" w:hAnsi="仿宋_GB2312" w:cs="仿宋_GB2312" w:eastAsia="仿宋_GB2312"/>
              </w:rPr>
              <w:t>具体内容包括：</w:t>
            </w:r>
          </w:p>
          <w:p>
            <w:pPr>
              <w:pStyle w:val="null3"/>
              <w:ind w:firstLine="400"/>
              <w:jc w:val="both"/>
            </w:pPr>
            <w:r>
              <w:rPr>
                <w:rFonts w:ascii="仿宋_GB2312" w:hAnsi="仿宋_GB2312" w:cs="仿宋_GB2312" w:eastAsia="仿宋_GB2312"/>
              </w:rPr>
              <w:t>（一）宣传推广</w:t>
            </w:r>
          </w:p>
          <w:p>
            <w:pPr>
              <w:pStyle w:val="null3"/>
              <w:ind w:firstLine="400"/>
              <w:jc w:val="both"/>
            </w:pPr>
            <w:r>
              <w:rPr>
                <w:rFonts w:ascii="仿宋_GB2312" w:hAnsi="仿宋_GB2312" w:cs="仿宋_GB2312" w:eastAsia="仿宋_GB2312"/>
              </w:rPr>
              <w:t>1.在国家级媒体发布原创性稿件1篇以上；</w:t>
            </w:r>
          </w:p>
          <w:p>
            <w:pPr>
              <w:pStyle w:val="null3"/>
              <w:ind w:firstLine="400"/>
              <w:jc w:val="both"/>
            </w:pPr>
            <w:r>
              <w:rPr>
                <w:rFonts w:ascii="仿宋_GB2312" w:hAnsi="仿宋_GB2312" w:cs="仿宋_GB2312" w:eastAsia="仿宋_GB2312"/>
              </w:rPr>
              <w:t>2.省级以上媒体刊发5篇以上；</w:t>
            </w:r>
          </w:p>
          <w:p>
            <w:pPr>
              <w:pStyle w:val="null3"/>
              <w:ind w:firstLine="400"/>
              <w:jc w:val="both"/>
            </w:pPr>
            <w:r>
              <w:rPr>
                <w:rFonts w:ascii="仿宋_GB2312" w:hAnsi="仿宋_GB2312" w:cs="仿宋_GB2312" w:eastAsia="仿宋_GB2312"/>
              </w:rPr>
              <w:t>3.大赛期间全面报道大赛，主流媒体数量不低于100家，颁奖仪式邀请10家媒体到场；</w:t>
            </w:r>
          </w:p>
          <w:p>
            <w:pPr>
              <w:pStyle w:val="null3"/>
              <w:ind w:firstLine="400"/>
              <w:jc w:val="both"/>
            </w:pPr>
            <w:r>
              <w:rPr>
                <w:rFonts w:ascii="仿宋_GB2312" w:hAnsi="仿宋_GB2312" w:cs="仿宋_GB2312" w:eastAsia="仿宋_GB2312"/>
              </w:rPr>
              <w:t>4.大赛原创稿件不少于10篇；</w:t>
            </w:r>
          </w:p>
          <w:p>
            <w:pPr>
              <w:pStyle w:val="null3"/>
              <w:ind w:firstLine="400"/>
              <w:jc w:val="both"/>
            </w:pPr>
            <w:r>
              <w:rPr>
                <w:rFonts w:ascii="仿宋_GB2312" w:hAnsi="仿宋_GB2312" w:cs="仿宋_GB2312" w:eastAsia="仿宋_GB2312"/>
              </w:rPr>
              <w:t>5.微信朋友圈广告定点推送宣传不少于120万次曝光；</w:t>
            </w:r>
          </w:p>
          <w:p>
            <w:pPr>
              <w:pStyle w:val="null3"/>
              <w:ind w:firstLine="400"/>
              <w:jc w:val="both"/>
            </w:pPr>
            <w:r>
              <w:rPr>
                <w:rFonts w:ascii="仿宋_GB2312" w:hAnsi="仿宋_GB2312" w:cs="仿宋_GB2312" w:eastAsia="仿宋_GB2312"/>
              </w:rPr>
              <w:t>6.赛事需求通过各类媒体平台和宣传渠道推广；</w:t>
            </w:r>
          </w:p>
          <w:p>
            <w:pPr>
              <w:pStyle w:val="null3"/>
              <w:ind w:firstLine="400"/>
              <w:jc w:val="both"/>
            </w:pPr>
            <w:r>
              <w:rPr>
                <w:rFonts w:ascii="仿宋_GB2312" w:hAnsi="仿宋_GB2312" w:cs="仿宋_GB2312" w:eastAsia="仿宋_GB2312"/>
              </w:rPr>
              <w:t>7.</w:t>
            </w:r>
            <w:r>
              <w:rPr>
                <w:rFonts w:ascii="仿宋_GB2312" w:hAnsi="仿宋_GB2312" w:cs="仿宋_GB2312" w:eastAsia="仿宋_GB2312"/>
                <w:color w:val="000000"/>
              </w:rPr>
              <w:t>将所有公开发布的需求通过各类媒体平台和宣传渠道面向全社会公开发布</w:t>
            </w:r>
            <w:r>
              <w:rPr>
                <w:rFonts w:ascii="仿宋_GB2312" w:hAnsi="仿宋_GB2312" w:cs="仿宋_GB2312" w:eastAsia="仿宋_GB2312"/>
                <w:color w:val="000000"/>
              </w:rPr>
              <w:t>；</w:t>
            </w:r>
          </w:p>
          <w:p>
            <w:pPr>
              <w:pStyle w:val="null3"/>
              <w:ind w:firstLine="400"/>
              <w:jc w:val="both"/>
            </w:pPr>
            <w:r>
              <w:rPr>
                <w:rFonts w:ascii="仿宋_GB2312" w:hAnsi="仿宋_GB2312" w:cs="仿宋_GB2312" w:eastAsia="仿宋_GB2312"/>
              </w:rPr>
              <w:t>8.制作大赛专题片，时长3分钟。</w:t>
            </w:r>
          </w:p>
          <w:p>
            <w:pPr>
              <w:pStyle w:val="null3"/>
              <w:ind w:firstLine="400"/>
              <w:jc w:val="both"/>
            </w:pPr>
            <w:r>
              <w:rPr>
                <w:rFonts w:ascii="仿宋_GB2312" w:hAnsi="仿宋_GB2312" w:cs="仿宋_GB2312" w:eastAsia="仿宋_GB2312"/>
              </w:rPr>
              <w:t>（二）会务组织</w:t>
            </w:r>
          </w:p>
          <w:p>
            <w:pPr>
              <w:pStyle w:val="null3"/>
              <w:ind w:firstLine="400"/>
              <w:jc w:val="both"/>
            </w:pPr>
            <w:r>
              <w:rPr>
                <w:rFonts w:ascii="仿宋_GB2312" w:hAnsi="仿宋_GB2312" w:cs="仿宋_GB2312" w:eastAsia="仿宋_GB2312"/>
              </w:rPr>
              <w:t>提供8场次现场赛（含启动仪式和颁奖仪式）及2场次需求对接会的会务服务保障工作。主要包括场地租赁、搭建、设备、物料、人员及其他相关事项。</w:t>
            </w:r>
          </w:p>
          <w:p>
            <w:pPr>
              <w:pStyle w:val="null3"/>
              <w:ind w:firstLine="400"/>
              <w:jc w:val="both"/>
            </w:pPr>
            <w:r>
              <w:rPr>
                <w:rFonts w:ascii="仿宋_GB2312" w:hAnsi="仿宋_GB2312" w:cs="仿宋_GB2312" w:eastAsia="仿宋_GB2312"/>
              </w:rPr>
              <w:t>1.场地租赁</w:t>
            </w:r>
          </w:p>
          <w:p>
            <w:pPr>
              <w:pStyle w:val="null3"/>
              <w:ind w:firstLine="400"/>
              <w:jc w:val="both"/>
            </w:pPr>
            <w:r>
              <w:rPr>
                <w:rFonts w:ascii="仿宋_GB2312" w:hAnsi="仿宋_GB2312" w:cs="仿宋_GB2312" w:eastAsia="仿宋_GB2312"/>
              </w:rPr>
              <w:t>现场赛及需求对接会比赛场地的选址、布场。</w:t>
            </w:r>
          </w:p>
          <w:p>
            <w:pPr>
              <w:pStyle w:val="null3"/>
              <w:ind w:firstLine="400"/>
              <w:jc w:val="both"/>
            </w:pPr>
            <w:r>
              <w:rPr>
                <w:rFonts w:ascii="仿宋_GB2312" w:hAnsi="仿宋_GB2312" w:cs="仿宋_GB2312" w:eastAsia="仿宋_GB2312"/>
              </w:rPr>
              <w:t>2.会务服务</w:t>
            </w:r>
          </w:p>
          <w:p>
            <w:pPr>
              <w:pStyle w:val="null3"/>
              <w:ind w:firstLine="400"/>
              <w:jc w:val="both"/>
            </w:pPr>
            <w:r>
              <w:rPr>
                <w:rFonts w:ascii="仿宋_GB2312" w:hAnsi="仿宋_GB2312" w:cs="仿宋_GB2312" w:eastAsia="仿宋_GB2312"/>
              </w:rPr>
              <w:t>①采用专业的摄影、摄像、照片直播等方式全程记录比赛，由专业人员专人专岗负责。</w:t>
            </w:r>
          </w:p>
          <w:p>
            <w:pPr>
              <w:pStyle w:val="null3"/>
              <w:ind w:firstLine="400"/>
              <w:jc w:val="both"/>
            </w:pPr>
            <w:r>
              <w:rPr>
                <w:rFonts w:ascii="仿宋_GB2312" w:hAnsi="仿宋_GB2312" w:cs="仿宋_GB2312" w:eastAsia="仿宋_GB2312"/>
              </w:rPr>
              <w:t>②根据比赛现场情况，配备市场主流的高清全彩LED屏、控制台等设备及人员，满足比赛现场氛围需求。</w:t>
            </w:r>
          </w:p>
          <w:p>
            <w:pPr>
              <w:pStyle w:val="null3"/>
              <w:ind w:firstLine="400"/>
              <w:jc w:val="both"/>
            </w:pPr>
            <w:r>
              <w:rPr>
                <w:rFonts w:ascii="仿宋_GB2312" w:hAnsi="仿宋_GB2312" w:cs="仿宋_GB2312" w:eastAsia="仿宋_GB2312"/>
              </w:rPr>
              <w:t>③根据比赛现场情况，配备音响、话筒、控制台等设备及人员，以满足比赛现场氛围需求。</w:t>
            </w:r>
          </w:p>
          <w:p>
            <w:pPr>
              <w:pStyle w:val="null3"/>
              <w:ind w:firstLine="400"/>
              <w:jc w:val="both"/>
            </w:pPr>
            <w:r>
              <w:rPr>
                <w:rFonts w:ascii="仿宋_GB2312" w:hAnsi="仿宋_GB2312" w:cs="仿宋_GB2312" w:eastAsia="仿宋_GB2312"/>
              </w:rPr>
              <w:t>④根据比赛现场情况，配备灯光系统、控制台等设备及人员，以满足比赛现场氛围需求，同时呈现出具有科技感、创新性的舞台舞美效果。</w:t>
            </w:r>
          </w:p>
          <w:p>
            <w:pPr>
              <w:pStyle w:val="null3"/>
              <w:ind w:firstLine="400"/>
              <w:jc w:val="both"/>
            </w:pPr>
            <w:r>
              <w:rPr>
                <w:rFonts w:ascii="仿宋_GB2312" w:hAnsi="仿宋_GB2312" w:cs="仿宋_GB2312" w:eastAsia="仿宋_GB2312"/>
              </w:rPr>
              <w:t>⑤配备专业打分软件，满足比赛现场打分及统计需求。</w:t>
            </w:r>
          </w:p>
          <w:p>
            <w:pPr>
              <w:pStyle w:val="null3"/>
              <w:ind w:firstLine="400"/>
              <w:jc w:val="both"/>
            </w:pPr>
            <w:r>
              <w:rPr>
                <w:rFonts w:ascii="仿宋_GB2312" w:hAnsi="仿宋_GB2312" w:cs="仿宋_GB2312" w:eastAsia="仿宋_GB2312"/>
              </w:rPr>
              <w:t>⑥配备启动设备，启动仪式舞台效果支持。</w:t>
            </w:r>
          </w:p>
          <w:p>
            <w:pPr>
              <w:pStyle w:val="null3"/>
              <w:ind w:firstLine="400"/>
              <w:jc w:val="both"/>
            </w:pPr>
            <w:r>
              <w:rPr>
                <w:rFonts w:ascii="仿宋_GB2312" w:hAnsi="仿宋_GB2312" w:cs="仿宋_GB2312" w:eastAsia="仿宋_GB2312"/>
              </w:rPr>
              <w:t>⑦配备电子签约设备，签约现场舞台效果支持。</w:t>
            </w:r>
          </w:p>
          <w:p>
            <w:pPr>
              <w:pStyle w:val="null3"/>
              <w:ind w:firstLine="400"/>
              <w:jc w:val="both"/>
            </w:pPr>
            <w:r>
              <w:rPr>
                <w:rFonts w:ascii="仿宋_GB2312" w:hAnsi="仿宋_GB2312" w:cs="仿宋_GB2312" w:eastAsia="仿宋_GB2312"/>
              </w:rPr>
              <w:t>3.物料制作</w:t>
            </w:r>
          </w:p>
          <w:p>
            <w:pPr>
              <w:pStyle w:val="null3"/>
              <w:ind w:firstLine="400"/>
              <w:jc w:val="both"/>
            </w:pPr>
            <w:r>
              <w:rPr>
                <w:rFonts w:ascii="仿宋_GB2312" w:hAnsi="仿宋_GB2312" w:cs="仿宋_GB2312" w:eastAsia="仿宋_GB2312"/>
              </w:rPr>
              <w:t>按要求制作摆放相应的赛事物料，主要包括指引、签到处、主背景等；制作大赛资料包，包含赛事手册、需求手册等；赛事证件、桌牌等相关资料的制作。</w:t>
            </w:r>
          </w:p>
          <w:p>
            <w:pPr>
              <w:pStyle w:val="null3"/>
              <w:ind w:firstLine="400"/>
              <w:jc w:val="both"/>
            </w:pPr>
            <w:r>
              <w:rPr>
                <w:rFonts w:ascii="仿宋_GB2312" w:hAnsi="仿宋_GB2312" w:cs="仿宋_GB2312" w:eastAsia="仿宋_GB2312"/>
              </w:rPr>
              <w:t>4.人员要求</w:t>
            </w:r>
          </w:p>
          <w:p>
            <w:pPr>
              <w:pStyle w:val="null3"/>
              <w:ind w:firstLine="400"/>
              <w:jc w:val="both"/>
            </w:pPr>
            <w:r>
              <w:rPr>
                <w:rFonts w:ascii="仿宋_GB2312" w:hAnsi="仿宋_GB2312" w:cs="仿宋_GB2312" w:eastAsia="仿宋_GB2312"/>
              </w:rPr>
              <w:t>按要求配备设计人员、执行人员，项目经理应具有大型活动经验；现场配备专业的主持人，要求具有大型创新创业赛事活动主持经验；</w:t>
            </w:r>
          </w:p>
          <w:p>
            <w:pPr>
              <w:pStyle w:val="null3"/>
              <w:ind w:firstLine="400"/>
              <w:jc w:val="both"/>
            </w:pPr>
            <w:r>
              <w:rPr>
                <w:rFonts w:ascii="仿宋_GB2312" w:hAnsi="仿宋_GB2312" w:cs="仿宋_GB2312" w:eastAsia="仿宋_GB2312"/>
              </w:rPr>
              <w:t>5.其他相关事项</w:t>
            </w:r>
          </w:p>
          <w:p>
            <w:pPr>
              <w:pStyle w:val="null3"/>
              <w:ind w:firstLine="400"/>
              <w:jc w:val="both"/>
            </w:pPr>
            <w:r>
              <w:rPr>
                <w:rFonts w:ascii="仿宋_GB2312" w:hAnsi="仿宋_GB2312" w:cs="仿宋_GB2312" w:eastAsia="仿宋_GB2312"/>
              </w:rPr>
              <w:t>负责大赛期间专家、参会人员、工作人员用餐。</w:t>
            </w:r>
          </w:p>
          <w:p>
            <w:pPr>
              <w:pStyle w:val="null3"/>
              <w:ind w:firstLine="400"/>
              <w:jc w:val="both"/>
            </w:pPr>
            <w:r>
              <w:rPr>
                <w:rFonts w:ascii="仿宋_GB2312" w:hAnsi="仿宋_GB2312" w:cs="仿宋_GB2312" w:eastAsia="仿宋_GB2312"/>
              </w:rPr>
              <w:t>（三）现场赛专家评审</w:t>
            </w:r>
          </w:p>
          <w:p>
            <w:pPr>
              <w:pStyle w:val="null3"/>
            </w:pPr>
            <w:r>
              <w:rPr>
                <w:rFonts w:ascii="仿宋_GB2312" w:hAnsi="仿宋_GB2312" w:cs="仿宋_GB2312" w:eastAsia="仿宋_GB2312"/>
              </w:rPr>
              <w:t>组织相关领域专家参与现场赛评审工作，根据解决方案和现场答疑情况现场打分并排名。组织评审10次，每次4位专家。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jc w:val="both"/>
            </w:pP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（1）服务期限</w:t>
            </w:r>
          </w:p>
          <w:p>
            <w:pPr>
              <w:pStyle w:val="null3"/>
              <w:ind w:firstLine="400"/>
              <w:jc w:val="both"/>
            </w:pPr>
            <w:r>
              <w:rPr>
                <w:rFonts w:ascii="仿宋_GB2312" w:hAnsi="仿宋_GB2312" w:cs="仿宋_GB2312" w:eastAsia="仿宋_GB2312"/>
              </w:rPr>
              <w:t>自合同签订之日起至2026年12月。</w:t>
            </w:r>
          </w:p>
          <w:p>
            <w:pPr>
              <w:pStyle w:val="null3"/>
              <w:ind w:firstLine="400"/>
              <w:jc w:val="both"/>
            </w:pPr>
            <w:r>
              <w:rPr>
                <w:rFonts w:ascii="仿宋_GB2312" w:hAnsi="仿宋_GB2312" w:cs="仿宋_GB2312" w:eastAsia="仿宋_GB2312"/>
              </w:rPr>
              <w:t>（2）款项结算</w:t>
            </w:r>
          </w:p>
          <w:p>
            <w:pPr>
              <w:pStyle w:val="null3"/>
            </w:pPr>
            <w:r>
              <w:rPr>
                <w:rFonts w:ascii="仿宋_GB2312" w:hAnsi="仿宋_GB2312" w:cs="仿宋_GB2312" w:eastAsia="仿宋_GB2312"/>
              </w:rPr>
              <w:t>合同正式生效后，支付合同价款的70％；活动结束后，由采购人组织验收，验收合格后支付合同价款的30％。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2"/>
              <w:jc w:val="both"/>
            </w:pPr>
            <w:r>
              <w:rPr>
                <w:rFonts w:ascii="仿宋_GB2312" w:hAnsi="仿宋_GB2312" w:cs="仿宋_GB2312" w:eastAsia="仿宋_GB2312"/>
                <w:b/>
              </w:rPr>
              <w:t>保密要求</w:t>
            </w:r>
          </w:p>
          <w:p>
            <w:pPr>
              <w:pStyle w:val="null3"/>
            </w:pPr>
            <w:r>
              <w:rPr>
                <w:rFonts w:ascii="仿宋_GB2312" w:hAnsi="仿宋_GB2312" w:cs="仿宋_GB2312" w:eastAsia="仿宋_GB2312"/>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6"/>
              <w:jc w:val="both"/>
            </w:pPr>
            <w:r>
              <w:rPr>
                <w:rFonts w:ascii="仿宋_GB2312" w:hAnsi="仿宋_GB2312" w:cs="仿宋_GB2312" w:eastAsia="仿宋_GB2312"/>
                <w:b/>
              </w:rPr>
              <w:t>成果要求</w:t>
            </w:r>
          </w:p>
          <w:p>
            <w:pPr>
              <w:pStyle w:val="null3"/>
              <w:ind w:firstLine="404"/>
              <w:jc w:val="both"/>
            </w:pPr>
            <w:r>
              <w:rPr>
                <w:rFonts w:ascii="仿宋_GB2312" w:hAnsi="仿宋_GB2312" w:cs="仿宋_GB2312" w:eastAsia="仿宋_GB2312"/>
              </w:rPr>
              <w:t>（1）成果提交地点为采购人办公地；</w:t>
            </w:r>
          </w:p>
          <w:p>
            <w:pPr>
              <w:pStyle w:val="null3"/>
            </w:pPr>
            <w:r>
              <w:rPr>
                <w:rFonts w:ascii="仿宋_GB2312" w:hAnsi="仿宋_GB2312" w:cs="仿宋_GB2312" w:eastAsia="仿宋_GB2312"/>
              </w:rPr>
              <w:t>（2）根据项目计划及采购人的明确要求，按时完成赛事活动各项工作。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6"/>
              <w:jc w:val="both"/>
            </w:pPr>
            <w:r>
              <w:rPr>
                <w:rFonts w:ascii="仿宋_GB2312" w:hAnsi="仿宋_GB2312" w:cs="仿宋_GB2312" w:eastAsia="仿宋_GB2312"/>
                <w:b/>
              </w:rPr>
              <w:t>验收要求</w:t>
            </w:r>
          </w:p>
          <w:p>
            <w:pPr>
              <w:pStyle w:val="null3"/>
              <w:ind w:firstLine="404"/>
              <w:jc w:val="both"/>
            </w:pPr>
            <w:r>
              <w:rPr>
                <w:rFonts w:ascii="仿宋_GB2312" w:hAnsi="仿宋_GB2312" w:cs="仿宋_GB2312" w:eastAsia="仿宋_GB2312"/>
              </w:rPr>
              <w:t>（1）服务期满，采购人对所有服务成果通过审核后，向成交供应商出具服务验收单作为对成交供应商合同履约情况的最终认可。</w:t>
            </w:r>
          </w:p>
          <w:p>
            <w:pPr>
              <w:pStyle w:val="null3"/>
            </w:pPr>
            <w:r>
              <w:rPr>
                <w:rFonts w:ascii="仿宋_GB2312" w:hAnsi="仿宋_GB2312" w:cs="仿宋_GB2312" w:eastAsia="仿宋_GB2312"/>
              </w:rPr>
              <w:t>（2）验收依据：合同文本、磋商文件、响应文件。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标的名称：第十五届中国创新创业大赛创新挑战赛（西安）技术需求及解决方案征集、梳理、分析服务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6"/>
              <w:jc w:val="both"/>
            </w:pPr>
            <w:r>
              <w:rPr>
                <w:rFonts w:ascii="仿宋_GB2312" w:hAnsi="仿宋_GB2312" w:cs="仿宋_GB2312" w:eastAsia="仿宋_GB2312"/>
                <w:b/>
              </w:rPr>
              <w:t>采购内容</w:t>
            </w:r>
          </w:p>
          <w:p>
            <w:pPr>
              <w:pStyle w:val="null3"/>
              <w:ind w:firstLine="404"/>
              <w:jc w:val="both"/>
            </w:pPr>
            <w:r>
              <w:rPr>
                <w:rFonts w:ascii="仿宋_GB2312" w:hAnsi="仿宋_GB2312" w:cs="仿宋_GB2312" w:eastAsia="仿宋_GB2312"/>
              </w:rPr>
              <w:t>供应商须负责第十五届中国创新创业大赛创新挑战赛（西安）企业技术需求及解决方案的征集、梳理、分析工作，主要包括企业技术需求的挖掘、筛选、甄别、考察了解、分析和评价，解决方案的征集、分析、筛选、评价和对接。</w:t>
            </w:r>
          </w:p>
          <w:p>
            <w:pPr>
              <w:pStyle w:val="null3"/>
              <w:ind w:firstLine="404"/>
              <w:jc w:val="both"/>
            </w:pPr>
            <w:r>
              <w:rPr>
                <w:rFonts w:ascii="仿宋_GB2312" w:hAnsi="仿宋_GB2312" w:cs="仿宋_GB2312" w:eastAsia="仿宋_GB2312"/>
              </w:rPr>
              <w:t>（一）企业技术需求征集、梳理、分析</w:t>
            </w:r>
          </w:p>
          <w:p>
            <w:pPr>
              <w:pStyle w:val="null3"/>
              <w:ind w:firstLine="404"/>
              <w:jc w:val="both"/>
            </w:pPr>
            <w:r>
              <w:rPr>
                <w:rFonts w:ascii="仿宋_GB2312" w:hAnsi="仿宋_GB2312" w:cs="仿宋_GB2312" w:eastAsia="仿宋_GB2312"/>
              </w:rPr>
              <w:t>面向全市重点行业领域企业，开展技术需求挖掘工作。针对征集的企业技术需求开展筛选、甄别、考察了解、分析和评价工作。征集企业技术需求不少于300项，其中100万元以上的技术开发等类型的技术需求不少于100项。</w:t>
            </w:r>
          </w:p>
          <w:p>
            <w:pPr>
              <w:pStyle w:val="null3"/>
              <w:ind w:firstLine="404"/>
              <w:jc w:val="both"/>
            </w:pPr>
            <w:r>
              <w:rPr>
                <w:rFonts w:ascii="仿宋_GB2312" w:hAnsi="仿宋_GB2312" w:cs="仿宋_GB2312" w:eastAsia="仿宋_GB2312"/>
              </w:rPr>
              <w:t>（二）解决方案征集、梳理、分析</w:t>
            </w:r>
          </w:p>
          <w:p>
            <w:pPr>
              <w:pStyle w:val="null3"/>
            </w:pPr>
            <w:r>
              <w:rPr>
                <w:rFonts w:ascii="仿宋_GB2312" w:hAnsi="仿宋_GB2312" w:cs="仿宋_GB2312" w:eastAsia="仿宋_GB2312"/>
              </w:rPr>
              <w:t>针对企业技术需求面向全社会征集解决方案，并对征集的解决方案进行分析、筛选、评估，开展形式多样的对接服务。征集解决方案不少于500项，其中100万元以上的技术开发等类型的技术需求对应的解决方案不少于100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6"/>
              <w:jc w:val="both"/>
            </w:pPr>
            <w:r>
              <w:rPr>
                <w:rFonts w:ascii="仿宋_GB2312" w:hAnsi="仿宋_GB2312" w:cs="仿宋_GB2312" w:eastAsia="仿宋_GB2312"/>
                <w:b/>
              </w:rPr>
              <w:t>商务要求</w:t>
            </w:r>
          </w:p>
          <w:p>
            <w:pPr>
              <w:pStyle w:val="null3"/>
              <w:ind w:firstLine="404"/>
              <w:jc w:val="both"/>
            </w:pPr>
            <w:r>
              <w:rPr>
                <w:rFonts w:ascii="仿宋_GB2312" w:hAnsi="仿宋_GB2312" w:cs="仿宋_GB2312" w:eastAsia="仿宋_GB2312"/>
              </w:rPr>
              <w:t>（1）服务期限</w:t>
            </w:r>
          </w:p>
          <w:p>
            <w:pPr>
              <w:pStyle w:val="null3"/>
              <w:ind w:firstLine="404"/>
              <w:jc w:val="both"/>
            </w:pPr>
            <w:r>
              <w:rPr>
                <w:rFonts w:ascii="仿宋_GB2312" w:hAnsi="仿宋_GB2312" w:cs="仿宋_GB2312" w:eastAsia="仿宋_GB2312"/>
              </w:rPr>
              <w:t>自合同签订之日起至2026年12月。</w:t>
            </w:r>
          </w:p>
          <w:p>
            <w:pPr>
              <w:pStyle w:val="null3"/>
              <w:ind w:firstLine="404"/>
              <w:jc w:val="both"/>
            </w:pPr>
            <w:r>
              <w:rPr>
                <w:rFonts w:ascii="仿宋_GB2312" w:hAnsi="仿宋_GB2312" w:cs="仿宋_GB2312" w:eastAsia="仿宋_GB2312"/>
              </w:rPr>
              <w:t>（2）款项结算</w:t>
            </w:r>
          </w:p>
          <w:p>
            <w:pPr>
              <w:pStyle w:val="null3"/>
            </w:pPr>
            <w:r>
              <w:rPr>
                <w:rFonts w:ascii="仿宋_GB2312" w:hAnsi="仿宋_GB2312" w:cs="仿宋_GB2312" w:eastAsia="仿宋_GB2312"/>
              </w:rPr>
              <w:t>合同正式生效后，支付合同价款的70％；活动结束后，由采购人组织验收，验收合格后支付合同价款的30％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6"/>
              <w:jc w:val="both"/>
            </w:pPr>
            <w:r>
              <w:rPr>
                <w:rFonts w:ascii="仿宋_GB2312" w:hAnsi="仿宋_GB2312" w:cs="仿宋_GB2312" w:eastAsia="仿宋_GB2312"/>
                <w:b/>
              </w:rPr>
              <w:t>保密要求</w:t>
            </w:r>
          </w:p>
          <w:p>
            <w:pPr>
              <w:pStyle w:val="null3"/>
            </w:pPr>
            <w:r>
              <w:rPr>
                <w:rFonts w:ascii="仿宋_GB2312" w:hAnsi="仿宋_GB2312" w:cs="仿宋_GB2312" w:eastAsia="仿宋_GB2312"/>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6"/>
              <w:jc w:val="both"/>
            </w:pPr>
            <w:r>
              <w:rPr>
                <w:rFonts w:ascii="仿宋_GB2312" w:hAnsi="仿宋_GB2312" w:cs="仿宋_GB2312" w:eastAsia="仿宋_GB2312"/>
                <w:b/>
              </w:rPr>
              <w:t>成果要求</w:t>
            </w:r>
          </w:p>
          <w:p>
            <w:pPr>
              <w:pStyle w:val="null3"/>
              <w:ind w:firstLine="404"/>
              <w:jc w:val="both"/>
            </w:pPr>
            <w:r>
              <w:rPr>
                <w:rFonts w:ascii="仿宋_GB2312" w:hAnsi="仿宋_GB2312" w:cs="仿宋_GB2312" w:eastAsia="仿宋_GB2312"/>
              </w:rPr>
              <w:t>（1）成果提交地点为采购人办公地；</w:t>
            </w:r>
          </w:p>
          <w:p>
            <w:pPr>
              <w:pStyle w:val="null3"/>
            </w:pPr>
            <w:r>
              <w:rPr>
                <w:rFonts w:ascii="仿宋_GB2312" w:hAnsi="仿宋_GB2312" w:cs="仿宋_GB2312" w:eastAsia="仿宋_GB2312"/>
              </w:rPr>
              <w:t>（2）根据项目计划及采购人的明确要求，按时保质完成赛事活动各项工作。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6"/>
              <w:jc w:val="both"/>
            </w:pPr>
            <w:r>
              <w:rPr>
                <w:rFonts w:ascii="仿宋_GB2312" w:hAnsi="仿宋_GB2312" w:cs="仿宋_GB2312" w:eastAsia="仿宋_GB2312"/>
                <w:b/>
              </w:rPr>
              <w:t>验收要求</w:t>
            </w:r>
          </w:p>
          <w:p>
            <w:pPr>
              <w:pStyle w:val="null3"/>
              <w:ind w:firstLine="404"/>
              <w:jc w:val="both"/>
            </w:pPr>
            <w:r>
              <w:rPr>
                <w:rFonts w:ascii="仿宋_GB2312" w:hAnsi="仿宋_GB2312" w:cs="仿宋_GB2312" w:eastAsia="仿宋_GB2312"/>
              </w:rPr>
              <w:t>（1）服务期满，采购人对所有服务成果通过审核后，向成交供应商出具服务验收单作为对成交供应商合同履约情况的最终认可。</w:t>
            </w:r>
          </w:p>
          <w:p>
            <w:pPr>
              <w:pStyle w:val="null3"/>
            </w:pPr>
            <w:r>
              <w:rPr>
                <w:rFonts w:ascii="仿宋_GB2312" w:hAnsi="仿宋_GB2312" w:cs="仿宋_GB2312" w:eastAsia="仿宋_GB2312"/>
              </w:rPr>
              <w:t>（2）验收依据：合同文本、磋商文件、响应文件。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陕西省西安市，具体地点以采购人指定地点为准。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陕西省西安市，具体地点以采购人指定地点为准。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①服务期满，甲方对所有服务成果通过审核后，向乙方出具服务验收单作为对乙方合同履约情况的最终认可。②验收依据：合同文本、磋商文件、响应文件。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①服务期满，甲方对所有服务成果通过审核后，向乙方出具服务验收单作为对乙方合同履约情况的最终认可。②验收依据：合同文本、磋商文件、响应文件。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预付款，合同正式生效后，达到付款条件起5个工作日内，支付合同总金额的70.0%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进度款，活动结束后，由采购人组织验收，达到付款条件起5个工作日内，支付合同总金额的30.0%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预付款，合同正式生效后，达到付款条件起5个工作日内，支付合同总金额的70.0%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进度款，活动结束后，由采购人组织验收，达到付款条件起5个工作日内，支付合同总金额的30.0%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①本合同执行过程中，如发现相关事项约定不明确，或者履行监管程序受到限制需要增加、调整约定事项的，甲乙双方可对合同书相关条款进行变更，并签订补充协议或者重新签订合同书。 ②因不可抗力导致双方或某一方无法履行本合同书的，根据不可抗力的影响，可部分或者全部免除无法履约方的责任，法律另有规定的除外。 ③甲乙双方如因一方违反本合同书，应根据《中华人民共和国民法典》的有关规定，向对方支付违约金。 ④因本合同书或执行本合同书产生的任何争议，应当由甲乙双方协商解决，如果协商不成，应将争议提交采购人所在地法院管辖。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①本合同执行过程中，如发现相关事项约定不明确，或者履行监管程序受到限制需要增加、调整约定事项的，甲乙双方可对合同书相关条款进行变更，并签订补充协议或者重新签订合同书。 ②因不可抗力导致双方或某一方无法履行本合同书的，根据不可抗力的影响，可部分或者全部免除无法履约方的责任，法律另有规定的除外。 ③甲乙双方如因一方违反本合同书，应根据《中华人民共和国民法典》的有关规定，向对方支付违约金。 ④因本合同书或执行本合同书产生的任何争议，应当由甲乙双方协商解决，如果协商不成，应将争议提交采购人所在地法院管辖。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顺利实施，本项目供应商兼投不兼中，本项目共分为2个采购包，供应商可报名参与多个采购包，但只能中1个采购包。评审时按照标段顺序进行评审，若供应商在评审时已在采购包1被推荐为排序第一的成交候选人，则该供应商在后续采购包中不再参与成交候选人的推荐。 2、本项目所属行业为：采购包1：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 10人以下或资产总额100万元以下的为微型企业”）采购包2：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 3、因系统格式设置无法调整，合同付款支付要求以第八章“拟签订采购合同文本”中体现的内容为准。 4、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 5、如磋商文件中融资相关内容与新政策要求有出入，按照最新要求执行。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内容至少包括：①活动方案制定②活动时间安排计划③拍摄、剪辑、制作方案④媒体宣传策略和推广方案⑤活动全流程组织实施⑥活动舞台搭建、物料筹备⑦专家邀请等。 评审标准：服务方案各部分内容全面详细、阐述条理清晰详尽、符合本项目采购需求得14分，每缺一项内容扣2分，评审内容有瑕疵的根据情况扣分，扣完为止。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内容至少包括：①重点、难点分析②应对措施③合理化建议等。 评审标准：重点、难点分析及合理化建议各部分内容全面详细、阐述条理清晰详尽、符合本项目采购需求得9分，每缺一项内容扣3分，评审内容有瑕疵的根据情况扣分，扣完为止。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内容至少包括：①质量保障方案②质量目标③成果保证措施等。 评审标准：质量保证措施各部分内容全面详细、阐述条理清晰详尽、符合本项目采购需求得6分，每缺一项内容扣2分，评审内容有瑕疵的根据情况扣分，扣完为止。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内容至少包括：①项目的总体计划安排②各项任务的衔接③保证工作进度计划措施等。 评审标准：进度保证措施各部分内容全面详细、阐述条理清晰详尽、符合本项目采购需求得6分，每缺一项内容扣2分，评审内容有瑕疵的根据情况扣分，扣完为止。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内容至少包括：①突发和临时事件的预判；②应急小组设置及应对措施等。 评审标准：应急预案各部分内容全面详细、阐述条理清晰详尽、符合本项目采购需求得5分，每缺一项内容扣2.5分，评审内容有瑕疵的根据情况扣分，扣完为止。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为更好的服务于本项目及采购人，供应商对项目提出相应的服务承诺（包含针对本项目的①人员到位情况及稳定性承诺、②服务响应时效性承诺、③大赛组织规范性承诺、④参赛人员安保承诺。 每提供一项得2.5分，最高得10分，未提供不得分。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项目经理及团队成员</w:t>
            </w:r>
          </w:p>
        </w:tc>
        <w:tc>
          <w:tcPr>
            <w:tcW w:type="dxa" w:w="2492"/>
          </w:tcPr>
          <w:p>
            <w:pPr>
              <w:pStyle w:val="null3"/>
            </w:pPr>
            <w:r>
              <w:rPr>
                <w:rFonts w:ascii="仿宋_GB2312" w:hAnsi="仿宋_GB2312" w:cs="仿宋_GB2312" w:eastAsia="仿宋_GB2312"/>
              </w:rPr>
              <w:t>1.项目经理 项目经理具有类似项目经验的得3分。（证明材料：类似项目业绩或者成果文件证明） 2.项目团队成员 针对本项目提供完整的人员配置清单（清单内容至少包含：姓名、年龄、岗位工作职责及管理制度、专业资格（若有）、团队人员考核制度等），至少包含：设计人员、执行人员、主持人、摄影人员、摄像人员、剪辑人员、撰稿人员、专题片制作人员、场务人员等角色，完全满足得27分，每少1类人员扣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供应商提供2023年08月01日至今（以合同签订时间为准）的类似项目业绩，每提供1份得2分，满分10分。注：响应文件中提供合同复印件加盖供应商公章。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1.采用低价优先法计算，即满足磋商件要求且报价最低的投标报价为评标基准价，其价格分为满分。2.报价得分＝（评标基准价/投标报价）×价格权值（10分）×100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内容至少包括：①技术需求征集②技术需求梳理及分析③解决方案征集④解决方案梳理及分析⑤各阶段的组织协调工作等其他采购人需要的事务性工作。 评审标准：服务方案各部分内容全面详细、阐述条理清晰详尽、符合本项目采购需求得15分，每缺一项内容扣3分，评审内容有瑕疵的根据情况扣分，扣完为止。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内容至少包括：①重点、难点分析②应对措施③合理化建议等。 评审标准：重点、难点分析及合理化建议各部分内容全面详细、阐述条理清晰详尽、符合本项目采购需求得9分，每缺一项内容扣3分，评审内容有瑕疵的根据情况扣分，扣完为止。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内容至少包括：①质量保障方案②质量目标③进度质量保证等。 评审标准：质量保证措施各部分内容全面详细、阐述条理清晰详尽、符合本项目采购需求得6分，每缺一项内容扣2分，评审内容有瑕疵的根据情况扣分，扣完为止。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内容至少包括：①项目的总体计划安排②各项任务的衔接③保证工作进度计划措施等。 评审标准：进度保证措施各部分内容全面详细、阐述条理清晰详尽、符合本项目采购需求得6分，每缺一项内容扣2分，评审内容有瑕疵的根据情况扣分，扣完为止。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内容至少包括：①突发和临时事件的预判；②应急小组设置及应对措施等。 评审标准：应急预案各部分内容全面详细、阐述条理清晰详尽、符合本项目采购需求得4分，每缺一项内容扣2分，评审内容有瑕疵的根据情况扣分，扣完为止。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包含针对本项目的①人员到位情况及稳定性承诺、②服务响应时效性承诺、③需求及解决方案征集、梳理、分析规范性承诺、④项目保密承诺。 每提供一项得2.5分，最高得10分，未提供不得分。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1.项目负责人</w:t>
            </w:r>
          </w:p>
        </w:tc>
        <w:tc>
          <w:tcPr>
            <w:tcW w:type="dxa" w:w="2492"/>
          </w:tcPr>
          <w:p>
            <w:pPr>
              <w:pStyle w:val="null3"/>
            </w:pPr>
            <w:r>
              <w:rPr>
                <w:rFonts w:ascii="仿宋_GB2312" w:hAnsi="仿宋_GB2312" w:cs="仿宋_GB2312" w:eastAsia="仿宋_GB2312"/>
              </w:rPr>
              <w:t>项目负责人及团队成员 ①项目负责人具有本科及以上学历得1分，（证明材料：学历证书加盖供应商公章）； ②项目负责人具有类似项目经验，每提供一个得3分，本项最高得9分。（证明材料：类似项目业绩或者成果文件证明，与供应商业绩不重复计分） 2.项目团队成员 针对本项目提供完整的人员配置清单（清单内容至少包含：姓名、年龄、岗位工作职责及管理制度、专业资格（若有）、团队人员考核制度等），至少包含：征集人员、梳理人员、分析人员、辅助人员等角色，完全满足得20分，每少1类人员扣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供应商提供2023年08月01日至今（以合同签订时间为准）的类似项目业绩，每提供1份得2分，满分10分。注：响应文件中提供合同复印件加盖供应商公章。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1.采用低价优先法计算，即满足磋商件要求且报价最低的投标报价为评标基准价，其价格分为满分。2.报价得分＝（评标基准价/投标报价）×价格权值（10分）×100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