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9ADB9">
      <w:pPr>
        <w:spacing w:line="520" w:lineRule="exact"/>
        <w:ind w:firstLine="400" w:firstLineChars="200"/>
        <w:jc w:val="center"/>
        <w:textAlignment w:val="baseline"/>
        <w:rPr>
          <w:rFonts w:hint="eastAsia" w:ascii="仿宋_GB2312" w:hAnsi="仿宋_GB2312" w:eastAsia="仿宋_GB2312" w:cs="仿宋_GB2312"/>
          <w:sz w:val="20"/>
          <w:szCs w:val="20"/>
          <w:lang w:val="zh-CN"/>
        </w:rPr>
      </w:pPr>
      <w:r>
        <w:rPr>
          <w:rFonts w:hint="eastAsia" w:ascii="仿宋_GB2312" w:hAnsi="仿宋_GB2312" w:eastAsia="仿宋_GB2312" w:cs="仿宋_GB2312"/>
          <w:sz w:val="20"/>
          <w:szCs w:val="20"/>
          <w:lang w:val="zh-CN"/>
        </w:rPr>
        <w:t>（说明 ：本合同模板仅供参考，合同具体条款由采购人与成交供应商自行协商，</w:t>
      </w:r>
    </w:p>
    <w:p w14:paraId="1B3F0A03">
      <w:pPr>
        <w:spacing w:line="520" w:lineRule="exact"/>
        <w:ind w:firstLine="400" w:firstLineChars="200"/>
        <w:jc w:val="center"/>
        <w:textAlignment w:val="baseline"/>
        <w:rPr>
          <w:rFonts w:hint="eastAsia" w:ascii="仿宋_GB2312" w:hAnsi="仿宋_GB2312" w:eastAsia="仿宋_GB2312" w:cs="仿宋_GB2312"/>
          <w:sz w:val="20"/>
          <w:szCs w:val="20"/>
          <w:lang w:val="zh-CN"/>
        </w:rPr>
      </w:pPr>
      <w:r>
        <w:rPr>
          <w:rFonts w:hint="eastAsia" w:ascii="仿宋_GB2312" w:hAnsi="仿宋_GB2312" w:eastAsia="仿宋_GB2312" w:cs="仿宋_GB2312"/>
          <w:sz w:val="20"/>
          <w:szCs w:val="20"/>
          <w:lang w:val="zh-CN"/>
        </w:rPr>
        <w:t>最终合同以采购人给出的合同定稿为准。）</w:t>
      </w:r>
    </w:p>
    <w:p w14:paraId="6213989E">
      <w:pPr>
        <w:spacing w:line="360" w:lineRule="auto"/>
        <w:rPr>
          <w:rFonts w:hint="eastAsia" w:ascii="仿宋_GB2312" w:hAnsi="仿宋_GB2312" w:eastAsia="仿宋_GB2312" w:cs="仿宋_GB2312"/>
          <w:sz w:val="20"/>
          <w:szCs w:val="20"/>
          <w:u w:val="single"/>
        </w:rPr>
      </w:pPr>
      <w:r>
        <w:rPr>
          <w:rFonts w:hint="eastAsia" w:ascii="仿宋_GB2312" w:hAnsi="仿宋_GB2312" w:eastAsia="仿宋_GB2312" w:cs="仿宋_GB2312"/>
          <w:sz w:val="20"/>
          <w:szCs w:val="20"/>
        </w:rPr>
        <w:t xml:space="preserve">甲方（采购人）：  </w:t>
      </w:r>
      <w:r>
        <w:rPr>
          <w:rFonts w:hint="eastAsia" w:ascii="仿宋_GB2312" w:hAnsi="仿宋_GB2312" w:eastAsia="仿宋_GB2312" w:cs="仿宋_GB2312"/>
          <w:sz w:val="20"/>
          <w:szCs w:val="20"/>
          <w:u w:val="single"/>
        </w:rPr>
        <w:t xml:space="preserve">                                  </w:t>
      </w:r>
    </w:p>
    <w:p w14:paraId="1905C282">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乙方（成交供应商）：</w:t>
      </w:r>
      <w:r>
        <w:rPr>
          <w:rFonts w:hint="eastAsia" w:ascii="仿宋_GB2312" w:hAnsi="仿宋_GB2312" w:eastAsia="仿宋_GB2312" w:cs="仿宋_GB2312"/>
          <w:sz w:val="20"/>
          <w:szCs w:val="20"/>
          <w:u w:val="single"/>
        </w:rPr>
        <w:t xml:space="preserve">                                 </w:t>
      </w:r>
    </w:p>
    <w:p w14:paraId="31F1148A">
      <w:pPr>
        <w:keepNext w:val="0"/>
        <w:keepLines w:val="0"/>
        <w:pageBreakBefore w:val="0"/>
        <w:widowControl w:val="0"/>
        <w:kinsoku/>
        <w:wordWrap w:val="0"/>
        <w:overflowPunct/>
        <w:topLinePunct w:val="0"/>
        <w:autoSpaceDE w:val="0"/>
        <w:autoSpaceDN w:val="0"/>
        <w:bidi w:val="0"/>
        <w:adjustRightInd w:val="0"/>
        <w:snapToGrid/>
        <w:spacing w:line="360" w:lineRule="auto"/>
        <w:ind w:firstLine="400" w:firstLineChars="200"/>
        <w:jc w:val="left"/>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u w:val="single"/>
          <w:lang w:val="en-US" w:eastAsia="zh-CN"/>
        </w:rPr>
        <w:t>第十五届中国创新创业大赛创新挑战赛（西安）赛事服务项目 合同包（）</w:t>
      </w:r>
      <w:r>
        <w:rPr>
          <w:rFonts w:hint="eastAsia" w:ascii="仿宋_GB2312" w:hAnsi="仿宋_GB2312" w:eastAsia="仿宋_GB2312" w:cs="仿宋_GB2312"/>
          <w:bCs/>
          <w:color w:val="000000" w:themeColor="text1"/>
          <w:sz w:val="20"/>
          <w:szCs w:val="20"/>
          <w:highlight w:val="none"/>
          <w:u w:val="single"/>
          <w14:textFill>
            <w14:solidFill>
              <w14:schemeClr w14:val="tx1"/>
            </w14:solidFill>
          </w14:textFill>
        </w:rPr>
        <w:t>(项目</w:t>
      </w:r>
      <w:r>
        <w:rPr>
          <w:rFonts w:hint="eastAsia" w:ascii="仿宋_GB2312" w:hAnsi="仿宋_GB2312" w:eastAsia="仿宋_GB2312" w:cs="仿宋_GB2312"/>
          <w:bCs/>
          <w:sz w:val="20"/>
          <w:szCs w:val="20"/>
          <w:highlight w:val="none"/>
          <w:u w:val="single"/>
        </w:rPr>
        <w:t>编号：</w:t>
      </w:r>
      <w:r>
        <w:rPr>
          <w:rFonts w:hint="eastAsia" w:ascii="仿宋_GB2312" w:hAnsi="仿宋_GB2312" w:eastAsia="仿宋_GB2312" w:cs="仿宋_GB2312"/>
          <w:bCs/>
          <w:sz w:val="20"/>
          <w:szCs w:val="20"/>
          <w:highlight w:val="none"/>
          <w:u w:val="single"/>
          <w:lang w:eastAsia="zh-CN"/>
        </w:rPr>
        <w:t>SXHC2026-215</w:t>
      </w:r>
      <w:r>
        <w:rPr>
          <w:rFonts w:hint="eastAsia" w:ascii="仿宋_GB2312" w:hAnsi="仿宋_GB2312" w:eastAsia="仿宋_GB2312" w:cs="仿宋_GB2312"/>
          <w:bCs/>
          <w:sz w:val="20"/>
          <w:szCs w:val="20"/>
          <w:highlight w:val="none"/>
          <w:u w:val="single"/>
        </w:rPr>
        <w:t>)</w:t>
      </w:r>
      <w:r>
        <w:rPr>
          <w:rFonts w:hint="eastAsia" w:ascii="仿宋_GB2312" w:hAnsi="仿宋_GB2312" w:eastAsia="仿宋_GB2312" w:cs="仿宋_GB2312"/>
          <w:bCs/>
          <w:sz w:val="20"/>
          <w:szCs w:val="20"/>
          <w:highlight w:val="none"/>
        </w:rPr>
        <w:t>由</w:t>
      </w:r>
      <w:r>
        <w:rPr>
          <w:rFonts w:hint="eastAsia" w:ascii="仿宋_GB2312" w:hAnsi="仿宋_GB2312" w:eastAsia="仿宋_GB2312" w:cs="仿宋_GB2312"/>
          <w:bCs/>
          <w:sz w:val="20"/>
          <w:szCs w:val="20"/>
          <w:highlight w:val="none"/>
          <w:lang w:eastAsia="zh-CN"/>
        </w:rPr>
        <w:t>陕西华采招标有限公司</w:t>
      </w:r>
      <w:r>
        <w:rPr>
          <w:rFonts w:hint="eastAsia" w:ascii="仿宋_GB2312" w:hAnsi="仿宋_GB2312" w:eastAsia="仿宋_GB2312" w:cs="仿宋_GB2312"/>
          <w:bCs/>
          <w:sz w:val="20"/>
          <w:szCs w:val="20"/>
          <w:highlight w:val="none"/>
        </w:rPr>
        <w:t>组织</w:t>
      </w:r>
      <w:r>
        <w:rPr>
          <w:rFonts w:hint="eastAsia" w:ascii="仿宋_GB2312" w:hAnsi="仿宋_GB2312" w:eastAsia="仿宋_GB2312" w:cs="仿宋_GB2312"/>
          <w:bCs/>
          <w:sz w:val="20"/>
          <w:szCs w:val="20"/>
          <w:highlight w:val="none"/>
          <w:lang w:val="en-US" w:eastAsia="zh-CN"/>
        </w:rPr>
        <w:t>竞争性磋商</w:t>
      </w:r>
      <w:r>
        <w:rPr>
          <w:rFonts w:hint="eastAsia" w:ascii="仿宋_GB2312" w:hAnsi="仿宋_GB2312" w:eastAsia="仿宋_GB2312" w:cs="仿宋_GB2312"/>
          <w:bCs/>
          <w:sz w:val="20"/>
          <w:szCs w:val="20"/>
          <w:highlight w:val="none"/>
          <w:lang w:eastAsia="zh-CN"/>
        </w:rPr>
        <w:t>，</w:t>
      </w:r>
      <w:r>
        <w:rPr>
          <w:rFonts w:hint="eastAsia" w:ascii="仿宋_GB2312" w:hAnsi="仿宋_GB2312" w:eastAsia="仿宋_GB2312" w:cs="仿宋_GB2312"/>
          <w:bCs/>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u w:val="single"/>
          <w:lang w:eastAsia="zh-CN"/>
        </w:rPr>
        <w:t>西安市科学技术局</w:t>
      </w:r>
      <w:r>
        <w:rPr>
          <w:rFonts w:hint="eastAsia" w:ascii="仿宋_GB2312" w:hAnsi="仿宋_GB2312" w:eastAsia="仿宋_GB2312" w:cs="仿宋_GB2312"/>
          <w:bCs/>
          <w:sz w:val="20"/>
          <w:szCs w:val="20"/>
          <w:highlight w:val="none"/>
          <w:u w:val="single"/>
          <w:lang w:val="en-US" w:eastAsia="zh-CN"/>
        </w:rPr>
        <w:t xml:space="preserve"> </w:t>
      </w:r>
      <w:r>
        <w:rPr>
          <w:rFonts w:hint="eastAsia" w:ascii="仿宋_GB2312" w:hAnsi="仿宋_GB2312" w:eastAsia="仿宋_GB2312" w:cs="仿宋_GB2312"/>
          <w:bCs/>
          <w:sz w:val="20"/>
          <w:szCs w:val="20"/>
          <w:highlight w:val="none"/>
        </w:rPr>
        <w:t>(以下简称“甲方”)确定</w:t>
      </w:r>
      <w:r>
        <w:rPr>
          <w:rFonts w:hint="eastAsia" w:ascii="仿宋_GB2312" w:hAnsi="仿宋_GB2312" w:eastAsia="仿宋_GB2312" w:cs="仿宋_GB2312"/>
          <w:bCs/>
          <w:sz w:val="20"/>
          <w:szCs w:val="20"/>
          <w:highlight w:val="none"/>
          <w:u w:val="single"/>
          <w:lang w:val="en-US" w:eastAsia="zh-CN"/>
        </w:rPr>
        <w:t xml:space="preserve">           </w:t>
      </w:r>
      <w:r>
        <w:rPr>
          <w:rFonts w:hint="eastAsia" w:ascii="仿宋_GB2312" w:hAnsi="仿宋_GB2312" w:eastAsia="仿宋_GB2312" w:cs="仿宋_GB2312"/>
          <w:bCs/>
          <w:sz w:val="20"/>
          <w:szCs w:val="20"/>
          <w:highlight w:val="none"/>
        </w:rPr>
        <w:t>（以下简称“乙方”）为</w:t>
      </w:r>
      <w:r>
        <w:rPr>
          <w:rFonts w:hint="eastAsia" w:ascii="仿宋_GB2312" w:hAnsi="仿宋_GB2312" w:eastAsia="仿宋_GB2312" w:cs="仿宋_GB2312"/>
          <w:bCs/>
          <w:sz w:val="20"/>
          <w:szCs w:val="20"/>
          <w:highlight w:val="none"/>
          <w:lang w:val="en-US" w:eastAsia="zh-CN"/>
        </w:rPr>
        <w:t>该项目的</w:t>
      </w:r>
      <w:r>
        <w:rPr>
          <w:rFonts w:hint="eastAsia" w:ascii="仿宋_GB2312" w:hAnsi="仿宋_GB2312" w:eastAsia="仿宋_GB2312" w:cs="仿宋_GB2312"/>
          <w:bCs/>
          <w:sz w:val="20"/>
          <w:szCs w:val="20"/>
          <w:highlight w:val="none"/>
        </w:rPr>
        <w:t>成交供应商。</w:t>
      </w:r>
    </w:p>
    <w:p w14:paraId="325A972A">
      <w:pPr>
        <w:spacing w:line="360" w:lineRule="auto"/>
        <w:ind w:firstLine="400" w:firstLineChars="20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依据《中华人民共和国</w:t>
      </w:r>
      <w:r>
        <w:rPr>
          <w:rFonts w:hint="eastAsia" w:ascii="仿宋_GB2312" w:hAnsi="仿宋_GB2312" w:eastAsia="仿宋_GB2312" w:cs="仿宋_GB2312"/>
          <w:sz w:val="20"/>
          <w:szCs w:val="20"/>
          <w:lang w:val="en-US" w:eastAsia="zh-CN"/>
        </w:rPr>
        <w:t>民法典</w:t>
      </w:r>
      <w:r>
        <w:rPr>
          <w:rFonts w:hint="eastAsia" w:ascii="仿宋_GB2312" w:hAnsi="仿宋_GB2312" w:eastAsia="仿宋_GB2312" w:cs="仿宋_GB2312"/>
          <w:sz w:val="20"/>
          <w:szCs w:val="20"/>
        </w:rPr>
        <w:t>》和《中华人民共和国政府采购法》之规定，经双方在平等、自愿、互利的基础上，签订本合同，共同信守。</w:t>
      </w:r>
    </w:p>
    <w:p w14:paraId="70D0AFF6">
      <w:pPr>
        <w:spacing w:line="360" w:lineRule="auto"/>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一、合同价款</w:t>
      </w:r>
    </w:p>
    <w:p w14:paraId="35F52C70">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（一）合同价款为人民币</w:t>
      </w:r>
      <w:r>
        <w:rPr>
          <w:rFonts w:hint="eastAsia" w:ascii="仿宋_GB2312" w:hAnsi="仿宋_GB2312" w:eastAsia="仿宋_GB2312" w:cs="仿宋_GB2312"/>
          <w:sz w:val="20"/>
          <w:szCs w:val="20"/>
          <w:u w:val="single"/>
        </w:rPr>
        <w:t>（大写）        （</w:t>
      </w:r>
      <w:r>
        <w:rPr>
          <w:rFonts w:hint="eastAsia" w:ascii="仿宋_GB2312" w:hAnsi="仿宋_GB2312" w:eastAsia="仿宋_GB2312" w:cs="仿宋_GB2312"/>
          <w:sz w:val="20"/>
          <w:szCs w:val="20"/>
          <w:u w:val="single"/>
          <w:lang w:eastAsia="zh-CN"/>
        </w:rPr>
        <w:t>¥</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w:t>
      </w:r>
    </w:p>
    <w:p w14:paraId="17C1CC6C">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（二）合同价款是指本次</w:t>
      </w:r>
      <w:r>
        <w:rPr>
          <w:rFonts w:hint="eastAsia" w:ascii="仿宋_GB2312" w:hAnsi="仿宋_GB2312" w:eastAsia="仿宋_GB2312" w:cs="仿宋_GB2312"/>
          <w:sz w:val="20"/>
          <w:szCs w:val="20"/>
          <w:lang w:val="zh-CN"/>
        </w:rPr>
        <w:t>服务内容所需的全部费用,</w:t>
      </w:r>
      <w:r>
        <w:rPr>
          <w:rFonts w:hint="eastAsia" w:ascii="仿宋_GB2312" w:hAnsi="仿宋_GB2312" w:eastAsia="仿宋_GB2312" w:cs="仿宋_GB2312"/>
          <w:sz w:val="20"/>
          <w:szCs w:val="20"/>
        </w:rPr>
        <w:t>包括但不限于</w:t>
      </w:r>
      <w:r>
        <w:rPr>
          <w:rFonts w:hint="eastAsia" w:ascii="仿宋_GB2312" w:hAnsi="仿宋_GB2312" w:eastAsia="仿宋_GB2312" w:cs="仿宋_GB2312"/>
          <w:sz w:val="20"/>
          <w:szCs w:val="20"/>
          <w:lang w:eastAsia="zh-CN"/>
        </w:rPr>
        <w:t>人工费、材料费、交通费、住宿费、管理费、组织费、税金等所有成本</w:t>
      </w:r>
      <w:r>
        <w:rPr>
          <w:rFonts w:hint="eastAsia" w:ascii="仿宋_GB2312" w:hAnsi="仿宋_GB2312" w:eastAsia="仿宋_GB2312" w:cs="仿宋_GB2312"/>
          <w:sz w:val="20"/>
          <w:szCs w:val="20"/>
        </w:rPr>
        <w:t>。</w:t>
      </w:r>
    </w:p>
    <w:p w14:paraId="18CA454D">
      <w:pPr>
        <w:spacing w:line="360" w:lineRule="auto"/>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（三）合同总价一次性包死，不受市场价格变化因素的影响。</w:t>
      </w:r>
    </w:p>
    <w:p w14:paraId="54530AEB">
      <w:pPr>
        <w:spacing w:line="360" w:lineRule="auto"/>
        <w:rPr>
          <w:rFonts w:hint="eastAsia" w:ascii="仿宋_GB2312" w:hAnsi="仿宋_GB2312" w:eastAsia="仿宋_GB2312" w:cs="仿宋_GB2312"/>
          <w:sz w:val="20"/>
          <w:szCs w:val="20"/>
          <w:u w:val="single"/>
          <w:lang w:val="en-US" w:eastAsia="zh-CN"/>
        </w:rPr>
      </w:pPr>
      <w:r>
        <w:rPr>
          <w:rFonts w:hint="eastAsia" w:ascii="仿宋_GB2312" w:hAnsi="仿宋_GB2312" w:eastAsia="仿宋_GB2312" w:cs="仿宋_GB2312"/>
          <w:b/>
          <w:bCs/>
          <w:sz w:val="20"/>
          <w:szCs w:val="20"/>
        </w:rPr>
        <w:t>二、</w:t>
      </w:r>
      <w:r>
        <w:rPr>
          <w:rFonts w:hint="eastAsia" w:ascii="仿宋_GB2312" w:hAnsi="仿宋_GB2312" w:eastAsia="仿宋_GB2312" w:cs="仿宋_GB2312"/>
          <w:b/>
          <w:bCs/>
          <w:sz w:val="20"/>
          <w:szCs w:val="20"/>
          <w:lang w:val="en-US" w:eastAsia="zh-CN"/>
        </w:rPr>
        <w:t>委托工作内容</w:t>
      </w:r>
      <w:r>
        <w:rPr>
          <w:rFonts w:hint="eastAsia" w:ascii="仿宋_GB2312" w:hAnsi="仿宋_GB2312" w:eastAsia="仿宋_GB2312" w:cs="仿宋_GB2312"/>
          <w:sz w:val="20"/>
          <w:szCs w:val="20"/>
          <w:lang w:val="en-US" w:eastAsia="zh-CN"/>
        </w:rPr>
        <w:t>：</w:t>
      </w:r>
      <w:r>
        <w:rPr>
          <w:rFonts w:hint="eastAsia" w:ascii="仿宋_GB2312" w:hAnsi="仿宋_GB2312" w:eastAsia="仿宋_GB2312" w:cs="仿宋_GB2312"/>
          <w:sz w:val="20"/>
          <w:szCs w:val="20"/>
          <w:u w:val="single"/>
          <w:lang w:val="en-US" w:eastAsia="zh-CN"/>
        </w:rPr>
        <w:t xml:space="preserve">             </w:t>
      </w:r>
    </w:p>
    <w:p w14:paraId="114D3F7E">
      <w:pPr>
        <w:spacing w:line="360" w:lineRule="auto"/>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lang w:val="en-US" w:eastAsia="zh-CN"/>
        </w:rPr>
        <w:t>三、</w:t>
      </w:r>
      <w:r>
        <w:rPr>
          <w:rFonts w:hint="eastAsia" w:ascii="仿宋_GB2312" w:hAnsi="仿宋_GB2312" w:eastAsia="仿宋_GB2312" w:cs="仿宋_GB2312"/>
          <w:b/>
          <w:bCs/>
          <w:sz w:val="20"/>
          <w:szCs w:val="20"/>
        </w:rPr>
        <w:t>款项结算</w:t>
      </w:r>
    </w:p>
    <w:p w14:paraId="69A79783">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（一）</w:t>
      </w:r>
      <w:r>
        <w:rPr>
          <w:rFonts w:hint="eastAsia" w:ascii="仿宋_GB2312" w:hAnsi="仿宋_GB2312" w:eastAsia="仿宋_GB2312" w:cs="仿宋_GB2312"/>
          <w:sz w:val="20"/>
          <w:szCs w:val="20"/>
          <w:lang w:val="en-US" w:eastAsia="zh-CN"/>
        </w:rPr>
        <w:t>付款方式</w:t>
      </w:r>
      <w:r>
        <w:rPr>
          <w:rFonts w:hint="eastAsia" w:ascii="仿宋_GB2312" w:hAnsi="仿宋_GB2312" w:eastAsia="仿宋_GB2312" w:cs="仿宋_GB2312"/>
          <w:sz w:val="20"/>
          <w:szCs w:val="20"/>
        </w:rPr>
        <w:t>：合同正式生效后，支付合同价款的70％；活动结束后，由甲方组织验收，验收合格后支付合同价款的30％。</w:t>
      </w:r>
    </w:p>
    <w:p w14:paraId="3DD9EB66">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 xml:space="preserve"> </w:t>
      </w:r>
      <w:r>
        <w:rPr>
          <w:rFonts w:hint="eastAsia" w:ascii="仿宋_GB2312" w:hAnsi="仿宋_GB2312" w:eastAsia="仿宋_GB2312" w:cs="仿宋_GB2312"/>
          <w:sz w:val="20"/>
          <w:szCs w:val="20"/>
        </w:rPr>
        <w:t>（二）结算方式：银行转账。</w:t>
      </w:r>
    </w:p>
    <w:p w14:paraId="7A248E81">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（三）</w:t>
      </w:r>
      <w:r>
        <w:rPr>
          <w:rFonts w:hint="eastAsia" w:ascii="仿宋_GB2312" w:hAnsi="仿宋_GB2312" w:eastAsia="仿宋_GB2312" w:cs="仿宋_GB2312"/>
          <w:sz w:val="20"/>
          <w:szCs w:val="20"/>
          <w:lang w:val="en-US" w:eastAsia="zh-CN"/>
        </w:rPr>
        <w:t>结算单位</w:t>
      </w:r>
      <w:r>
        <w:rPr>
          <w:rFonts w:hint="eastAsia" w:ascii="仿宋_GB2312" w:hAnsi="仿宋_GB2312" w:eastAsia="仿宋_GB2312" w:cs="仿宋_GB2312"/>
          <w:sz w:val="20"/>
          <w:szCs w:val="20"/>
        </w:rPr>
        <w:t>：</w:t>
      </w:r>
      <w:r>
        <w:rPr>
          <w:rFonts w:hint="eastAsia" w:ascii="仿宋_GB2312" w:hAnsi="仿宋_GB2312" w:eastAsia="仿宋_GB2312" w:cs="仿宋_GB2312"/>
          <w:sz w:val="20"/>
          <w:szCs w:val="20"/>
          <w:lang w:val="zh-CN"/>
        </w:rPr>
        <w:t>由</w:t>
      </w:r>
      <w:r>
        <w:rPr>
          <w:rFonts w:hint="eastAsia" w:ascii="仿宋_GB2312" w:hAnsi="仿宋_GB2312" w:eastAsia="仿宋_GB2312" w:cs="仿宋_GB2312"/>
          <w:sz w:val="20"/>
          <w:szCs w:val="20"/>
        </w:rPr>
        <w:t>甲方</w:t>
      </w:r>
      <w:r>
        <w:rPr>
          <w:rFonts w:hint="eastAsia" w:ascii="仿宋_GB2312" w:hAnsi="仿宋_GB2312" w:eastAsia="仿宋_GB2312" w:cs="仿宋_GB2312"/>
          <w:sz w:val="20"/>
          <w:szCs w:val="20"/>
          <w:lang w:val="zh-CN"/>
        </w:rPr>
        <w:t>负责结算，</w:t>
      </w:r>
      <w:r>
        <w:rPr>
          <w:rFonts w:hint="eastAsia" w:ascii="仿宋_GB2312" w:hAnsi="仿宋_GB2312" w:eastAsia="仿宋_GB2312" w:cs="仿宋_GB2312"/>
          <w:sz w:val="20"/>
          <w:szCs w:val="20"/>
        </w:rPr>
        <w:t>乙方开具合同价款的全额发票给甲方。</w:t>
      </w:r>
    </w:p>
    <w:p w14:paraId="02ECB224">
      <w:pPr>
        <w:spacing w:line="360" w:lineRule="auto"/>
        <w:rPr>
          <w:rFonts w:hint="eastAsia" w:ascii="仿宋_GB2312" w:hAnsi="仿宋_GB2312" w:eastAsia="仿宋_GB2312" w:cs="仿宋_GB2312"/>
          <w:b/>
          <w:bCs/>
          <w:sz w:val="20"/>
          <w:szCs w:val="20"/>
          <w:lang w:val="en-US" w:eastAsia="zh-CN"/>
        </w:rPr>
      </w:pPr>
      <w:r>
        <w:rPr>
          <w:rFonts w:hint="eastAsia" w:ascii="仿宋_GB2312" w:hAnsi="仿宋_GB2312" w:eastAsia="仿宋_GB2312" w:cs="仿宋_GB2312"/>
          <w:b/>
          <w:bCs/>
          <w:sz w:val="20"/>
          <w:szCs w:val="20"/>
          <w:lang w:val="en-US" w:eastAsia="zh-CN"/>
        </w:rPr>
        <w:t>四</w:t>
      </w:r>
      <w:r>
        <w:rPr>
          <w:rFonts w:hint="eastAsia" w:ascii="仿宋_GB2312" w:hAnsi="仿宋_GB2312" w:eastAsia="仿宋_GB2312" w:cs="仿宋_GB2312"/>
          <w:b/>
          <w:bCs/>
          <w:sz w:val="20"/>
          <w:szCs w:val="20"/>
        </w:rPr>
        <w:t>、服务地点及</w:t>
      </w:r>
      <w:r>
        <w:rPr>
          <w:rFonts w:hint="eastAsia" w:ascii="仿宋_GB2312" w:hAnsi="仿宋_GB2312" w:eastAsia="仿宋_GB2312" w:cs="仿宋_GB2312"/>
          <w:b/>
          <w:bCs/>
          <w:sz w:val="20"/>
          <w:szCs w:val="20"/>
          <w:lang w:eastAsia="zh-CN"/>
        </w:rPr>
        <w:t>服务期限</w:t>
      </w:r>
    </w:p>
    <w:p w14:paraId="21338407">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（一）服务地点：</w:t>
      </w:r>
      <w:r>
        <w:rPr>
          <w:rFonts w:hint="eastAsia" w:ascii="仿宋_GB2312" w:hAnsi="仿宋_GB2312" w:eastAsia="仿宋_GB2312" w:cs="仿宋_GB2312"/>
          <w:sz w:val="20"/>
          <w:szCs w:val="20"/>
          <w:lang w:val="en-US" w:eastAsia="zh-CN"/>
        </w:rPr>
        <w:t>陕西省西安市，具体地点以甲方指定地点为准。</w:t>
      </w:r>
      <w:bookmarkStart w:id="0" w:name="_GoBack"/>
      <w:bookmarkEnd w:id="0"/>
    </w:p>
    <w:p w14:paraId="4C7D5758">
      <w:pPr>
        <w:spacing w:line="360" w:lineRule="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w:t>
      </w:r>
      <w:r>
        <w:rPr>
          <w:rFonts w:hint="eastAsia" w:ascii="仿宋_GB2312" w:hAnsi="仿宋_GB2312" w:eastAsia="仿宋_GB2312" w:cs="仿宋_GB2312"/>
          <w:color w:val="000000"/>
          <w:sz w:val="20"/>
          <w:szCs w:val="20"/>
          <w:lang w:val="en-US" w:eastAsia="zh-CN"/>
        </w:rPr>
        <w:t>二</w:t>
      </w:r>
      <w:r>
        <w:rPr>
          <w:rFonts w:hint="eastAsia" w:ascii="仿宋_GB2312" w:hAnsi="仿宋_GB2312" w:eastAsia="仿宋_GB2312" w:cs="仿宋_GB2312"/>
          <w:color w:val="000000"/>
          <w:sz w:val="20"/>
          <w:szCs w:val="20"/>
        </w:rPr>
        <w:t>）</w:t>
      </w:r>
      <w:r>
        <w:rPr>
          <w:rFonts w:hint="eastAsia" w:ascii="仿宋_GB2312" w:hAnsi="仿宋_GB2312" w:eastAsia="仿宋_GB2312" w:cs="仿宋_GB2312"/>
          <w:color w:val="000000"/>
          <w:sz w:val="20"/>
          <w:szCs w:val="20"/>
          <w:lang w:eastAsia="zh-CN"/>
        </w:rPr>
        <w:t>服务期限</w:t>
      </w:r>
      <w:r>
        <w:rPr>
          <w:rFonts w:hint="eastAsia" w:ascii="仿宋_GB2312" w:hAnsi="仿宋_GB2312" w:eastAsia="仿宋_GB2312" w:cs="仿宋_GB2312"/>
          <w:color w:val="000000"/>
          <w:sz w:val="20"/>
          <w:szCs w:val="20"/>
        </w:rPr>
        <w:t>：</w:t>
      </w:r>
      <w:r>
        <w:rPr>
          <w:rFonts w:hint="eastAsia" w:ascii="仿宋_GB2312" w:hAnsi="仿宋_GB2312" w:eastAsia="仿宋_GB2312" w:cs="仿宋_GB2312"/>
          <w:color w:val="000000"/>
          <w:sz w:val="20"/>
          <w:szCs w:val="20"/>
          <w:lang w:val="en-US" w:eastAsia="zh-CN"/>
        </w:rPr>
        <w:t xml:space="preserve"> </w:t>
      </w:r>
      <w:r>
        <w:rPr>
          <w:rFonts w:hint="eastAsia" w:ascii="仿宋_GB2312" w:hAnsi="仿宋_GB2312" w:eastAsia="仿宋_GB2312" w:cs="仿宋_GB2312"/>
          <w:sz w:val="20"/>
          <w:szCs w:val="20"/>
        </w:rPr>
        <w:t>自合同签订之日起至2026年12月</w:t>
      </w:r>
      <w:r>
        <w:rPr>
          <w:rFonts w:hint="eastAsia" w:ascii="仿宋_GB2312" w:hAnsi="仿宋_GB2312" w:eastAsia="仿宋_GB2312" w:cs="仿宋_GB2312"/>
          <w:color w:val="000000" w:themeColor="text1"/>
          <w:sz w:val="20"/>
          <w:szCs w:val="20"/>
          <w14:textFill>
            <w14:solidFill>
              <w14:schemeClr w14:val="tx1"/>
            </w14:solidFill>
          </w14:textFill>
        </w:rPr>
        <w:t>。</w:t>
      </w:r>
    </w:p>
    <w:p w14:paraId="246B5C4F">
      <w:pPr>
        <w:spacing w:line="360" w:lineRule="auto"/>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lang w:val="en-US" w:eastAsia="zh-CN"/>
        </w:rPr>
        <w:t>五</w:t>
      </w:r>
      <w:r>
        <w:rPr>
          <w:rFonts w:hint="eastAsia" w:ascii="仿宋_GB2312" w:hAnsi="仿宋_GB2312" w:eastAsia="仿宋_GB2312" w:cs="仿宋_GB2312"/>
          <w:b/>
          <w:bCs/>
          <w:sz w:val="20"/>
          <w:szCs w:val="20"/>
        </w:rPr>
        <w:t>、双方的权利和义务</w:t>
      </w:r>
    </w:p>
    <w:p w14:paraId="4900E928">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（一）甲方的权利</w:t>
      </w:r>
    </w:p>
    <w:p w14:paraId="315352E7">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1．甲方有权向乙方询问工作进展情况及相关的内容。</w:t>
      </w:r>
    </w:p>
    <w:p w14:paraId="013C8B30">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2．甲方有权阐述对具体问题的意见和建议。</w:t>
      </w:r>
    </w:p>
    <w:p w14:paraId="1960D016">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 甲方有权根据项目的具体情况，要求乙方按期到项目现场勘探解决争议。</w:t>
      </w:r>
    </w:p>
    <w:p w14:paraId="7A9B9559">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4．当甲方认定</w:t>
      </w:r>
      <w:r>
        <w:rPr>
          <w:rFonts w:hint="eastAsia" w:ascii="仿宋_GB2312" w:hAnsi="仿宋_GB2312" w:eastAsia="仿宋_GB2312" w:cs="仿宋_GB2312"/>
          <w:sz w:val="20"/>
          <w:szCs w:val="20"/>
          <w:lang w:val="en-US" w:eastAsia="zh-CN"/>
        </w:rPr>
        <w:t>服务</w:t>
      </w:r>
      <w:r>
        <w:rPr>
          <w:rFonts w:hint="eastAsia" w:ascii="仿宋_GB2312" w:hAnsi="仿宋_GB2312" w:eastAsia="仿宋_GB2312" w:cs="仿宋_GB2312"/>
          <w:sz w:val="20"/>
          <w:szCs w:val="20"/>
        </w:rPr>
        <w:t>人员不按合同履行其职责，或与第三人串通给甲方造成经济损失的，甲方有权要求更换</w:t>
      </w:r>
      <w:r>
        <w:rPr>
          <w:rFonts w:hint="eastAsia" w:ascii="仿宋_GB2312" w:hAnsi="仿宋_GB2312" w:eastAsia="仿宋_GB2312" w:cs="仿宋_GB2312"/>
          <w:sz w:val="20"/>
          <w:szCs w:val="20"/>
          <w:lang w:val="en-US" w:eastAsia="zh-CN"/>
        </w:rPr>
        <w:t>服务</w:t>
      </w:r>
      <w:r>
        <w:rPr>
          <w:rFonts w:hint="eastAsia" w:ascii="仿宋_GB2312" w:hAnsi="仿宋_GB2312" w:eastAsia="仿宋_GB2312" w:cs="仿宋_GB2312"/>
          <w:sz w:val="20"/>
          <w:szCs w:val="20"/>
        </w:rPr>
        <w:t>人员，直至终止合同并要求乙方承担相应的赔偿责任。</w:t>
      </w:r>
    </w:p>
    <w:p w14:paraId="4CFFE48D">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（二）甲方的义务</w:t>
      </w:r>
    </w:p>
    <w:p w14:paraId="377A65A6">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1．甲方应负责与本项目有关的第三人的协调，为乙方工作提供外部条件。</w:t>
      </w:r>
    </w:p>
    <w:p w14:paraId="27E2A9A8">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2．甲方应当在约定的时间内，向乙方提供与本项目有关的资料。</w:t>
      </w:r>
    </w:p>
    <w:p w14:paraId="52C5F48D">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3．甲方应当在约定的时间内就乙方书面提交并要求做出答复的事宜做出书面答复。乙方要求第三人提供有关资料时，甲方应负责转达及收集整理相关资料。</w:t>
      </w:r>
    </w:p>
    <w:p w14:paraId="3C1AFD93">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4．甲方应当授权胜任本项目的代表，负责与乙方联系。</w:t>
      </w:r>
    </w:p>
    <w:p w14:paraId="0CD4CBE3">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w:t>
      </w:r>
      <w:r>
        <w:rPr>
          <w:rFonts w:hint="eastAsia" w:ascii="仿宋_GB2312" w:hAnsi="仿宋_GB2312" w:eastAsia="仿宋_GB2312" w:cs="仿宋_GB2312"/>
          <w:sz w:val="20"/>
          <w:szCs w:val="20"/>
          <w:lang w:val="en-US" w:eastAsia="zh-CN"/>
        </w:rPr>
        <w:t>三</w:t>
      </w:r>
      <w:r>
        <w:rPr>
          <w:rFonts w:hint="eastAsia" w:ascii="仿宋_GB2312" w:hAnsi="仿宋_GB2312" w:eastAsia="仿宋_GB2312" w:cs="仿宋_GB2312"/>
          <w:sz w:val="20"/>
          <w:szCs w:val="20"/>
        </w:rPr>
        <w:t>）乙方的权利</w:t>
      </w:r>
    </w:p>
    <w:p w14:paraId="39526249">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1.乙方在</w:t>
      </w:r>
      <w:r>
        <w:rPr>
          <w:rFonts w:hint="eastAsia" w:ascii="仿宋_GB2312" w:hAnsi="仿宋_GB2312" w:eastAsia="仿宋_GB2312" w:cs="仿宋_GB2312"/>
          <w:sz w:val="20"/>
          <w:szCs w:val="20"/>
          <w:lang w:val="en-US" w:eastAsia="zh-CN"/>
        </w:rPr>
        <w:t>服务过程</w:t>
      </w:r>
      <w:r>
        <w:rPr>
          <w:rFonts w:hint="eastAsia" w:ascii="仿宋_GB2312" w:hAnsi="仿宋_GB2312" w:eastAsia="仿宋_GB2312" w:cs="仿宋_GB2312"/>
          <w:sz w:val="20"/>
          <w:szCs w:val="20"/>
        </w:rPr>
        <w:t>中，如甲方提供的资料不明确时可向甲方提出书面报告。</w:t>
      </w:r>
    </w:p>
    <w:p w14:paraId="39CE5CBD">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2．乙方在</w:t>
      </w:r>
      <w:r>
        <w:rPr>
          <w:rFonts w:hint="eastAsia" w:ascii="仿宋_GB2312" w:hAnsi="仿宋_GB2312" w:eastAsia="仿宋_GB2312" w:cs="仿宋_GB2312"/>
          <w:sz w:val="20"/>
          <w:szCs w:val="20"/>
          <w:lang w:val="en-US" w:eastAsia="zh-CN"/>
        </w:rPr>
        <w:t>服务过程</w:t>
      </w:r>
      <w:r>
        <w:rPr>
          <w:rFonts w:hint="eastAsia" w:ascii="仿宋_GB2312" w:hAnsi="仿宋_GB2312" w:eastAsia="仿宋_GB2312" w:cs="仿宋_GB2312"/>
          <w:sz w:val="20"/>
          <w:szCs w:val="20"/>
        </w:rPr>
        <w:t>中，有权对本业务有关的问题进行核对或查问。</w:t>
      </w:r>
    </w:p>
    <w:p w14:paraId="3ECBE3ED">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3．乙方在</w:t>
      </w:r>
      <w:r>
        <w:rPr>
          <w:rFonts w:hint="eastAsia" w:ascii="仿宋_GB2312" w:hAnsi="仿宋_GB2312" w:eastAsia="仿宋_GB2312" w:cs="仿宋_GB2312"/>
          <w:sz w:val="20"/>
          <w:szCs w:val="20"/>
          <w:lang w:val="en-US" w:eastAsia="zh-CN"/>
        </w:rPr>
        <w:t>服务过程</w:t>
      </w:r>
      <w:r>
        <w:rPr>
          <w:rFonts w:hint="eastAsia" w:ascii="仿宋_GB2312" w:hAnsi="仿宋_GB2312" w:eastAsia="仿宋_GB2312" w:cs="仿宋_GB2312"/>
          <w:sz w:val="20"/>
          <w:szCs w:val="20"/>
        </w:rPr>
        <w:t>中，有到项目现场勘察的权利。</w:t>
      </w:r>
    </w:p>
    <w:p w14:paraId="3CB9D3E1">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w:t>
      </w:r>
      <w:r>
        <w:rPr>
          <w:rFonts w:hint="eastAsia" w:ascii="仿宋_GB2312" w:hAnsi="仿宋_GB2312" w:eastAsia="仿宋_GB2312" w:cs="仿宋_GB2312"/>
          <w:sz w:val="20"/>
          <w:szCs w:val="20"/>
          <w:lang w:val="en-US" w:eastAsia="zh-CN"/>
        </w:rPr>
        <w:t>四</w:t>
      </w:r>
      <w:r>
        <w:rPr>
          <w:rFonts w:hint="eastAsia" w:ascii="仿宋_GB2312" w:hAnsi="仿宋_GB2312" w:eastAsia="仿宋_GB2312" w:cs="仿宋_GB2312"/>
          <w:sz w:val="20"/>
          <w:szCs w:val="20"/>
        </w:rPr>
        <w:t>）乙方的义务</w:t>
      </w:r>
    </w:p>
    <w:p w14:paraId="26AD3DE6">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1．向甲方提供与本项目有关的资料，包括项目人员的资质证书及承担本业务的专业人员名单、工作计划等，并按合同专用条件中约定的范围实施业务。</w:t>
      </w:r>
    </w:p>
    <w:p w14:paraId="67B6C665">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2．乙方在履行本合同期间，向甲方提供报告等服务。</w:t>
      </w:r>
    </w:p>
    <w:p w14:paraId="7F1ACD50">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3．在履行合同期间或合同规定期限内，不得泄露与本合同规定业务活动有关的保密资料。</w:t>
      </w:r>
    </w:p>
    <w:p w14:paraId="0C466B6D">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4．在项目评审期间，乙方应按照甲方的要求保证及时到项目现场实施勘验。同时，针对项目出现较大争议的情况，乙方能有效提出解决争议的方案，获得相关相助主管部门批复通过。</w:t>
      </w:r>
    </w:p>
    <w:p w14:paraId="2CF3DDFA">
      <w:pPr>
        <w:spacing w:line="360" w:lineRule="auto"/>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六、服务质量保证</w:t>
      </w:r>
    </w:p>
    <w:p w14:paraId="06E7BF06">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（一）乙方需派一名项目经理，直接与甲方沟通，项目经理接收甲方提出的问题与要求，并及时反馈给工作组，解决在项目实施过程中遇到的问题。</w:t>
      </w:r>
    </w:p>
    <w:p w14:paraId="34ABF69A">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（二）项目在实施过程中会出现不可预料的需求变更，乙方需积极配合甲方的需求变更，并按照变更后的需求继续进行方案实施。</w:t>
      </w:r>
    </w:p>
    <w:p w14:paraId="37209627">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（三）乙方需提交所有实施方案流程及说明文档。</w:t>
      </w:r>
    </w:p>
    <w:p w14:paraId="71E0859B">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（四）乙方需建立高效的管理团队，项目团队组成合理。</w:t>
      </w:r>
    </w:p>
    <w:p w14:paraId="5D976CE8">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（五）乙方需设有详细的技术资料档案和服务档案，将保存项目的详细资料以便于更好地提供服务。</w:t>
      </w:r>
    </w:p>
    <w:p w14:paraId="167C05A6">
      <w:pPr>
        <w:spacing w:line="360" w:lineRule="auto"/>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lang w:val="en-US" w:eastAsia="zh-CN"/>
        </w:rPr>
        <w:t>七</w:t>
      </w:r>
      <w:r>
        <w:rPr>
          <w:rFonts w:hint="eastAsia" w:ascii="仿宋_GB2312" w:hAnsi="仿宋_GB2312" w:eastAsia="仿宋_GB2312" w:cs="仿宋_GB2312"/>
          <w:b/>
          <w:bCs/>
          <w:sz w:val="20"/>
          <w:szCs w:val="20"/>
        </w:rPr>
        <w:t>、服务保证</w:t>
      </w:r>
    </w:p>
    <w:p w14:paraId="603D0656">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（一）所供</w:t>
      </w:r>
      <w:r>
        <w:rPr>
          <w:rFonts w:hint="eastAsia" w:ascii="仿宋_GB2312" w:hAnsi="仿宋_GB2312" w:eastAsia="仿宋_GB2312" w:cs="仿宋_GB2312"/>
          <w:sz w:val="20"/>
          <w:szCs w:val="20"/>
          <w:lang w:val="en-US" w:eastAsia="zh-CN"/>
        </w:rPr>
        <w:t>服务</w:t>
      </w:r>
      <w:r>
        <w:rPr>
          <w:rFonts w:hint="eastAsia" w:ascii="仿宋_GB2312" w:hAnsi="仿宋_GB2312" w:eastAsia="仿宋_GB2312" w:cs="仿宋_GB2312"/>
          <w:sz w:val="20"/>
          <w:szCs w:val="20"/>
        </w:rPr>
        <w:t>符合现行的国家规范及省市有关规定的要求，并满足采购需求。</w:t>
      </w:r>
    </w:p>
    <w:p w14:paraId="7AF299CE">
      <w:pPr>
        <w:spacing w:line="360" w:lineRule="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（二）按照甲方要求的内容完成工作；</w:t>
      </w:r>
    </w:p>
    <w:p w14:paraId="5B414163">
      <w:pPr>
        <w:spacing w:line="360" w:lineRule="auto"/>
        <w:rPr>
          <w:rFonts w:hint="eastAsia" w:ascii="仿宋_GB2312" w:hAnsi="仿宋_GB2312" w:eastAsia="仿宋_GB2312" w:cs="仿宋_GB2312"/>
          <w:b/>
          <w:bCs/>
          <w:sz w:val="20"/>
          <w:szCs w:val="20"/>
        </w:rPr>
      </w:pPr>
      <w:r>
        <w:rPr>
          <w:rFonts w:hint="eastAsia" w:ascii="仿宋_GB2312" w:hAnsi="仿宋_GB2312" w:eastAsia="仿宋_GB2312" w:cs="仿宋_GB2312"/>
          <w:sz w:val="20"/>
          <w:szCs w:val="20"/>
          <w:lang w:val="en-US" w:eastAsia="zh-CN"/>
        </w:rPr>
        <w:t xml:space="preserve"> </w:t>
      </w:r>
      <w:r>
        <w:rPr>
          <w:rFonts w:hint="eastAsia" w:ascii="仿宋_GB2312" w:hAnsi="仿宋_GB2312" w:eastAsia="仿宋_GB2312" w:cs="仿宋_GB2312"/>
          <w:b/>
          <w:bCs/>
          <w:sz w:val="20"/>
          <w:szCs w:val="20"/>
          <w:lang w:val="en-US" w:eastAsia="zh-CN"/>
        </w:rPr>
        <w:t>八</w:t>
      </w:r>
      <w:r>
        <w:rPr>
          <w:rFonts w:hint="eastAsia" w:ascii="仿宋_GB2312" w:hAnsi="仿宋_GB2312" w:eastAsia="仿宋_GB2312" w:cs="仿宋_GB2312"/>
          <w:b/>
          <w:bCs/>
          <w:sz w:val="20"/>
          <w:szCs w:val="20"/>
        </w:rPr>
        <w:t>、知识产权</w:t>
      </w:r>
    </w:p>
    <w:p w14:paraId="3CC4022E">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（一）本项目知识产权归甲方所有。</w:t>
      </w:r>
    </w:p>
    <w:p w14:paraId="0BE0CC58">
      <w:pPr>
        <w:spacing w:line="360" w:lineRule="auto"/>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lang w:val="en-US" w:eastAsia="zh-CN"/>
        </w:rPr>
        <w:t>九</w:t>
      </w:r>
      <w:r>
        <w:rPr>
          <w:rFonts w:hint="eastAsia" w:ascii="仿宋_GB2312" w:hAnsi="仿宋_GB2312" w:eastAsia="仿宋_GB2312" w:cs="仿宋_GB2312"/>
          <w:b/>
          <w:bCs/>
          <w:sz w:val="20"/>
          <w:szCs w:val="20"/>
        </w:rPr>
        <w:t>、保密规定</w:t>
      </w:r>
    </w:p>
    <w:p w14:paraId="12CCFA7C">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36D2B3FC">
      <w:pPr>
        <w:spacing w:line="360" w:lineRule="auto"/>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lang w:val="en-US" w:eastAsia="zh-CN"/>
        </w:rPr>
        <w:t>十</w:t>
      </w:r>
      <w:r>
        <w:rPr>
          <w:rFonts w:hint="eastAsia" w:ascii="仿宋_GB2312" w:hAnsi="仿宋_GB2312" w:eastAsia="仿宋_GB2312" w:cs="仿宋_GB2312"/>
          <w:b/>
          <w:bCs/>
          <w:sz w:val="20"/>
          <w:szCs w:val="20"/>
        </w:rPr>
        <w:t>、其他事项</w:t>
      </w:r>
    </w:p>
    <w:p w14:paraId="6E022E34">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（一）乙方不得</w:t>
      </w:r>
      <w:r>
        <w:rPr>
          <w:rFonts w:hint="eastAsia" w:ascii="仿宋_GB2312" w:hAnsi="仿宋_GB2312" w:eastAsia="仿宋_GB2312" w:cs="仿宋_GB2312"/>
          <w:sz w:val="20"/>
          <w:szCs w:val="20"/>
          <w:lang w:eastAsia="zh-CN"/>
        </w:rPr>
        <w:t>自行</w:t>
      </w:r>
      <w:r>
        <w:rPr>
          <w:rFonts w:hint="eastAsia" w:ascii="仿宋_GB2312" w:hAnsi="仿宋_GB2312" w:eastAsia="仿宋_GB2312" w:cs="仿宋_GB2312"/>
          <w:sz w:val="20"/>
          <w:szCs w:val="20"/>
        </w:rPr>
        <w:t>转让给其它单位或个人。</w:t>
      </w:r>
    </w:p>
    <w:p w14:paraId="5064B047">
      <w:pPr>
        <w:spacing w:line="360" w:lineRule="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eastAsia="zh-CN"/>
        </w:rPr>
        <w:t>（</w:t>
      </w:r>
      <w:r>
        <w:rPr>
          <w:rFonts w:hint="eastAsia" w:ascii="仿宋_GB2312" w:hAnsi="仿宋_GB2312" w:eastAsia="仿宋_GB2312" w:cs="仿宋_GB2312"/>
          <w:sz w:val="20"/>
          <w:szCs w:val="20"/>
          <w:lang w:val="en-US" w:eastAsia="zh-CN"/>
        </w:rPr>
        <w:t>二</w:t>
      </w:r>
      <w:r>
        <w:rPr>
          <w:rFonts w:hint="eastAsia" w:ascii="仿宋_GB2312" w:hAnsi="仿宋_GB2312" w:eastAsia="仿宋_GB2312" w:cs="仿宋_GB2312"/>
          <w:sz w:val="20"/>
          <w:szCs w:val="20"/>
          <w:lang w:eastAsia="zh-CN"/>
        </w:rPr>
        <w:t>）</w:t>
      </w:r>
      <w:r>
        <w:rPr>
          <w:rFonts w:hint="eastAsia" w:ascii="仿宋_GB2312" w:hAnsi="仿宋_GB2312" w:eastAsia="仿宋_GB2312" w:cs="仿宋_GB2312"/>
          <w:sz w:val="20"/>
          <w:szCs w:val="20"/>
        </w:rPr>
        <w:t>乙方</w:t>
      </w:r>
      <w:r>
        <w:rPr>
          <w:rFonts w:hint="eastAsia" w:ascii="仿宋_GB2312" w:hAnsi="仿宋_GB2312" w:eastAsia="仿宋_GB2312" w:cs="仿宋_GB2312"/>
          <w:sz w:val="20"/>
          <w:szCs w:val="20"/>
          <w:lang w:val="en-US" w:eastAsia="zh-CN"/>
        </w:rPr>
        <w:t>经过甲方同意后可以分包个</w:t>
      </w:r>
      <w:r>
        <w:rPr>
          <w:rFonts w:hint="eastAsia" w:ascii="仿宋_GB2312" w:hAnsi="仿宋_GB2312" w:eastAsia="仿宋_GB2312" w:cs="仿宋_GB2312"/>
          <w:sz w:val="20"/>
          <w:szCs w:val="20"/>
        </w:rPr>
        <w:t>其它单位或个人。</w:t>
      </w:r>
    </w:p>
    <w:p w14:paraId="5D2EF136">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w:t>
      </w:r>
      <w:r>
        <w:rPr>
          <w:rFonts w:hint="eastAsia" w:ascii="仿宋_GB2312" w:hAnsi="仿宋_GB2312" w:eastAsia="仿宋_GB2312" w:cs="仿宋_GB2312"/>
          <w:sz w:val="20"/>
          <w:szCs w:val="20"/>
          <w:lang w:val="en-US" w:eastAsia="zh-CN"/>
        </w:rPr>
        <w:t>三</w:t>
      </w:r>
      <w:r>
        <w:rPr>
          <w:rFonts w:hint="eastAsia" w:ascii="仿宋_GB2312" w:hAnsi="仿宋_GB2312" w:eastAsia="仿宋_GB2312" w:cs="仿宋_GB2312"/>
          <w:sz w:val="20"/>
          <w:szCs w:val="20"/>
        </w:rPr>
        <w:t>）乙方的</w:t>
      </w:r>
      <w:r>
        <w:rPr>
          <w:rFonts w:hint="eastAsia" w:ascii="仿宋_GB2312" w:hAnsi="仿宋_GB2312" w:eastAsia="仿宋_GB2312" w:cs="仿宋_GB2312"/>
          <w:sz w:val="20"/>
          <w:szCs w:val="20"/>
          <w:lang w:eastAsia="zh-CN"/>
        </w:rPr>
        <w:t>响应文件</w:t>
      </w:r>
      <w:r>
        <w:rPr>
          <w:rFonts w:hint="eastAsia" w:ascii="仿宋_GB2312" w:hAnsi="仿宋_GB2312" w:eastAsia="仿宋_GB2312" w:cs="仿宋_GB2312"/>
          <w:sz w:val="20"/>
          <w:szCs w:val="20"/>
        </w:rPr>
        <w:t>和承诺等内容将列入合同。</w:t>
      </w:r>
    </w:p>
    <w:p w14:paraId="4A63EB82">
      <w:pPr>
        <w:spacing w:line="360" w:lineRule="auto"/>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十</w:t>
      </w:r>
      <w:r>
        <w:rPr>
          <w:rFonts w:hint="eastAsia" w:ascii="仿宋_GB2312" w:hAnsi="仿宋_GB2312" w:eastAsia="仿宋_GB2312" w:cs="仿宋_GB2312"/>
          <w:b/>
          <w:bCs/>
          <w:sz w:val="20"/>
          <w:szCs w:val="20"/>
          <w:lang w:val="en-US" w:eastAsia="zh-CN"/>
        </w:rPr>
        <w:t>一</w:t>
      </w:r>
      <w:r>
        <w:rPr>
          <w:rFonts w:hint="eastAsia" w:ascii="仿宋_GB2312" w:hAnsi="仿宋_GB2312" w:eastAsia="仿宋_GB2312" w:cs="仿宋_GB2312"/>
          <w:b/>
          <w:bCs/>
          <w:sz w:val="20"/>
          <w:szCs w:val="20"/>
        </w:rPr>
        <w:t>、验收</w:t>
      </w:r>
    </w:p>
    <w:p w14:paraId="6AF502E6">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（一）本项目验收费用，由乙方自行承担。</w:t>
      </w:r>
    </w:p>
    <w:p w14:paraId="3409EB0C">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（二）服务期满后，由乙方向甲方递交验收通知书，经甲方确认后，组织乙方进行验收</w:t>
      </w:r>
      <w:r>
        <w:rPr>
          <w:rFonts w:hint="eastAsia" w:ascii="仿宋_GB2312" w:hAnsi="仿宋_GB2312" w:eastAsia="仿宋_GB2312" w:cs="仿宋_GB2312"/>
          <w:sz w:val="20"/>
          <w:szCs w:val="20"/>
          <w:lang w:eastAsia="zh-CN"/>
        </w:rPr>
        <w:t>。</w:t>
      </w:r>
      <w:r>
        <w:rPr>
          <w:rFonts w:hint="eastAsia" w:ascii="仿宋_GB2312" w:hAnsi="仿宋_GB2312" w:eastAsia="仿宋_GB2312" w:cs="仿宋_GB2312"/>
          <w:sz w:val="20"/>
          <w:szCs w:val="20"/>
        </w:rPr>
        <w:t>验收合格后，填写政府采购项目验收单作为对本次服务的最终认可。</w:t>
      </w:r>
    </w:p>
    <w:p w14:paraId="4C33EAEE">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（三）验收依据：</w:t>
      </w:r>
    </w:p>
    <w:p w14:paraId="050844F6">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1、本合同及附加文本；</w:t>
      </w:r>
    </w:p>
    <w:p w14:paraId="5B2BFB4C">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w:t>
      </w:r>
      <w:r>
        <w:rPr>
          <w:rFonts w:hint="eastAsia" w:ascii="仿宋_GB2312" w:hAnsi="仿宋_GB2312" w:eastAsia="仿宋_GB2312" w:cs="仿宋_GB2312"/>
          <w:sz w:val="20"/>
          <w:szCs w:val="20"/>
          <w:lang w:val="en-US" w:eastAsia="zh-CN"/>
        </w:rPr>
        <w:t>磋商</w:t>
      </w:r>
      <w:r>
        <w:rPr>
          <w:rFonts w:hint="eastAsia" w:ascii="仿宋_GB2312" w:hAnsi="仿宋_GB2312" w:eastAsia="仿宋_GB2312" w:cs="仿宋_GB2312"/>
          <w:sz w:val="20"/>
          <w:szCs w:val="20"/>
        </w:rPr>
        <w:t>文件、</w:t>
      </w:r>
      <w:r>
        <w:rPr>
          <w:rFonts w:hint="eastAsia" w:ascii="仿宋_GB2312" w:hAnsi="仿宋_GB2312" w:eastAsia="仿宋_GB2312" w:cs="仿宋_GB2312"/>
          <w:sz w:val="20"/>
          <w:szCs w:val="20"/>
          <w:lang w:val="en-US" w:eastAsia="zh-CN"/>
        </w:rPr>
        <w:t>成交供应商</w:t>
      </w:r>
      <w:r>
        <w:rPr>
          <w:rFonts w:hint="eastAsia" w:ascii="仿宋_GB2312" w:hAnsi="仿宋_GB2312" w:eastAsia="仿宋_GB2312" w:cs="仿宋_GB2312"/>
          <w:sz w:val="20"/>
          <w:szCs w:val="20"/>
        </w:rPr>
        <w:t>的</w:t>
      </w:r>
      <w:r>
        <w:rPr>
          <w:rFonts w:hint="eastAsia" w:ascii="仿宋_GB2312" w:hAnsi="仿宋_GB2312" w:eastAsia="仿宋_GB2312" w:cs="仿宋_GB2312"/>
          <w:sz w:val="20"/>
          <w:szCs w:val="20"/>
          <w:lang w:val="en-US" w:eastAsia="zh-CN"/>
        </w:rPr>
        <w:t>响应</w:t>
      </w:r>
      <w:r>
        <w:rPr>
          <w:rFonts w:hint="eastAsia" w:ascii="仿宋_GB2312" w:hAnsi="仿宋_GB2312" w:eastAsia="仿宋_GB2312" w:cs="仿宋_GB2312"/>
          <w:sz w:val="20"/>
          <w:szCs w:val="20"/>
        </w:rPr>
        <w:t>文件及澄清（承诺）函；</w:t>
      </w:r>
    </w:p>
    <w:p w14:paraId="1AF5E49E">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3、国家相应的标准、规范。</w:t>
      </w:r>
    </w:p>
    <w:p w14:paraId="607E09D7">
      <w:pPr>
        <w:spacing w:line="360" w:lineRule="auto"/>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lang w:val="en-US" w:eastAsia="zh-CN"/>
        </w:rPr>
        <w:t>十二</w:t>
      </w:r>
      <w:r>
        <w:rPr>
          <w:rFonts w:hint="eastAsia" w:ascii="仿宋_GB2312" w:hAnsi="仿宋_GB2312" w:eastAsia="仿宋_GB2312" w:cs="仿宋_GB2312"/>
          <w:b/>
          <w:bCs/>
          <w:sz w:val="20"/>
          <w:szCs w:val="20"/>
        </w:rPr>
        <w:t>、违约责任</w:t>
      </w:r>
    </w:p>
    <w:p w14:paraId="506EB18F">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（一）按《中华人民共和国</w:t>
      </w:r>
      <w:r>
        <w:rPr>
          <w:rFonts w:hint="eastAsia" w:ascii="仿宋_GB2312" w:hAnsi="仿宋_GB2312" w:eastAsia="仿宋_GB2312" w:cs="仿宋_GB2312"/>
          <w:sz w:val="20"/>
          <w:szCs w:val="20"/>
          <w:lang w:eastAsia="zh-CN"/>
        </w:rPr>
        <w:t>民法典</w:t>
      </w:r>
      <w:r>
        <w:rPr>
          <w:rFonts w:hint="eastAsia" w:ascii="仿宋_GB2312" w:hAnsi="仿宋_GB2312" w:eastAsia="仿宋_GB2312" w:cs="仿宋_GB2312"/>
          <w:sz w:val="20"/>
          <w:szCs w:val="20"/>
        </w:rPr>
        <w:t>》中的相关条款执行。</w:t>
      </w:r>
    </w:p>
    <w:p w14:paraId="45FFB584">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（二）未按合同要求提供服务或服务质量不能满足本次采购要求，采购人会同监督机构、采购代理机构有权终止合同和对</w:t>
      </w:r>
      <w:r>
        <w:rPr>
          <w:rFonts w:hint="eastAsia" w:ascii="仿宋_GB2312" w:hAnsi="仿宋_GB2312" w:eastAsia="仿宋_GB2312" w:cs="仿宋_GB2312"/>
          <w:sz w:val="20"/>
          <w:szCs w:val="20"/>
          <w:lang w:eastAsia="zh-CN"/>
        </w:rPr>
        <w:t>成交供应商</w:t>
      </w:r>
      <w:r>
        <w:rPr>
          <w:rFonts w:hint="eastAsia" w:ascii="仿宋_GB2312" w:hAnsi="仿宋_GB2312" w:eastAsia="仿宋_GB2312" w:cs="仿宋_GB2312"/>
          <w:sz w:val="20"/>
          <w:szCs w:val="20"/>
        </w:rPr>
        <w:t>违约行为进行追究，同时按政府采购法的有关规定进行相应的处罚。</w:t>
      </w:r>
    </w:p>
    <w:p w14:paraId="61893124">
      <w:pPr>
        <w:spacing w:line="360" w:lineRule="auto"/>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lang w:val="en-US" w:eastAsia="zh-CN"/>
        </w:rPr>
        <w:t>十三</w:t>
      </w:r>
      <w:r>
        <w:rPr>
          <w:rFonts w:hint="eastAsia" w:ascii="仿宋_GB2312" w:hAnsi="仿宋_GB2312" w:eastAsia="仿宋_GB2312" w:cs="仿宋_GB2312"/>
          <w:b/>
          <w:bCs/>
          <w:sz w:val="20"/>
          <w:szCs w:val="20"/>
        </w:rPr>
        <w:t>、合同生效</w:t>
      </w:r>
    </w:p>
    <w:p w14:paraId="5F00CFFD">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（一）本合同须经甲、乙双方的法定代表人（授权代</w:t>
      </w:r>
      <w:r>
        <w:rPr>
          <w:rFonts w:hint="eastAsia" w:ascii="仿宋_GB2312" w:hAnsi="仿宋_GB2312" w:eastAsia="仿宋_GB2312" w:cs="仿宋_GB2312"/>
          <w:sz w:val="20"/>
          <w:szCs w:val="20"/>
          <w:lang w:val="en-US" w:eastAsia="zh-CN"/>
        </w:rPr>
        <w:t>表</w:t>
      </w:r>
      <w:r>
        <w:rPr>
          <w:rFonts w:hint="eastAsia" w:ascii="仿宋_GB2312" w:hAnsi="仿宋_GB2312" w:eastAsia="仿宋_GB2312" w:cs="仿宋_GB2312"/>
          <w:sz w:val="20"/>
          <w:szCs w:val="20"/>
        </w:rPr>
        <w:t>）在合同书上签字并加盖本单位公章后正式生效。</w:t>
      </w:r>
    </w:p>
    <w:p w14:paraId="339460CB">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（二）合同生效后，甲、乙双方须严格执行本合同条款的规定，全面履行合同，违者按《中华人民共和国</w:t>
      </w:r>
      <w:r>
        <w:rPr>
          <w:rFonts w:hint="eastAsia" w:ascii="仿宋_GB2312" w:hAnsi="仿宋_GB2312" w:eastAsia="仿宋_GB2312" w:cs="仿宋_GB2312"/>
          <w:sz w:val="20"/>
          <w:szCs w:val="20"/>
          <w:lang w:eastAsia="zh-CN"/>
        </w:rPr>
        <w:t>民法典</w:t>
      </w:r>
      <w:r>
        <w:rPr>
          <w:rFonts w:hint="eastAsia" w:ascii="仿宋_GB2312" w:hAnsi="仿宋_GB2312" w:eastAsia="仿宋_GB2312" w:cs="仿宋_GB2312"/>
          <w:sz w:val="20"/>
          <w:szCs w:val="20"/>
        </w:rPr>
        <w:t>》的有关规定承担相应责任。</w:t>
      </w:r>
    </w:p>
    <w:p w14:paraId="1C484D0B">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（三）本合同一式   份，甲乙双方各执    份。</w:t>
      </w:r>
    </w:p>
    <w:p w14:paraId="1D0A7B02">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（四）本合同如有未尽事宜，甲、乙双方协商解决。</w:t>
      </w:r>
    </w:p>
    <w:p w14:paraId="6867A003">
      <w:pPr>
        <w:spacing w:line="360" w:lineRule="auto"/>
        <w:rPr>
          <w:rFonts w:hint="eastAsia" w:ascii="仿宋_GB2312" w:hAnsi="仿宋_GB2312" w:eastAsia="仿宋_GB2312" w:cs="仿宋_GB2312"/>
          <w:sz w:val="20"/>
          <w:szCs w:val="20"/>
        </w:rPr>
      </w:pPr>
    </w:p>
    <w:p w14:paraId="2B75BD9D">
      <w:pPr>
        <w:spacing w:line="360" w:lineRule="auto"/>
        <w:rPr>
          <w:rFonts w:hint="eastAsia" w:ascii="仿宋_GB2312" w:hAnsi="仿宋_GB2312" w:eastAsia="仿宋_GB2312" w:cs="仿宋_GB2312"/>
          <w:sz w:val="20"/>
          <w:szCs w:val="20"/>
        </w:rPr>
      </w:pPr>
    </w:p>
    <w:p w14:paraId="0BD5B9E7">
      <w:pPr>
        <w:spacing w:line="360" w:lineRule="auto"/>
        <w:rPr>
          <w:rFonts w:hint="eastAsia" w:ascii="仿宋_GB2312" w:hAnsi="仿宋_GB2312" w:eastAsia="仿宋_GB2312" w:cs="仿宋_GB2312"/>
          <w:sz w:val="20"/>
          <w:szCs w:val="20"/>
          <w:lang w:val="en-US" w:eastAsia="zh-CN"/>
        </w:rPr>
      </w:pPr>
    </w:p>
    <w:tbl>
      <w:tblPr>
        <w:tblStyle w:val="8"/>
        <w:tblW w:w="0" w:type="auto"/>
        <w:jc w:val="center"/>
        <w:tblLayout w:type="fixed"/>
        <w:tblCellMar>
          <w:top w:w="0" w:type="dxa"/>
          <w:left w:w="108" w:type="dxa"/>
          <w:bottom w:w="0" w:type="dxa"/>
          <w:right w:w="108" w:type="dxa"/>
        </w:tblCellMar>
      </w:tblPr>
      <w:tblGrid>
        <w:gridCol w:w="4201"/>
        <w:gridCol w:w="4202"/>
      </w:tblGrid>
      <w:tr w14:paraId="32A441EE">
        <w:tblPrEx>
          <w:tblCellMar>
            <w:top w:w="0" w:type="dxa"/>
            <w:left w:w="108" w:type="dxa"/>
            <w:bottom w:w="0" w:type="dxa"/>
            <w:right w:w="108" w:type="dxa"/>
          </w:tblCellMar>
        </w:tblPrEx>
        <w:trPr>
          <w:trHeight w:val="625" w:hRule="exact"/>
          <w:jc w:val="center"/>
        </w:trPr>
        <w:tc>
          <w:tcPr>
            <w:tcW w:w="4201" w:type="dxa"/>
            <w:noWrap w:val="0"/>
            <w:vAlign w:val="center"/>
          </w:tcPr>
          <w:p w14:paraId="0C9B3355">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甲  方</w:t>
            </w:r>
          </w:p>
        </w:tc>
        <w:tc>
          <w:tcPr>
            <w:tcW w:w="4202" w:type="dxa"/>
            <w:noWrap w:val="0"/>
            <w:vAlign w:val="center"/>
          </w:tcPr>
          <w:p w14:paraId="4A2C7B95">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乙  方</w:t>
            </w:r>
          </w:p>
        </w:tc>
      </w:tr>
      <w:tr w14:paraId="7A880691">
        <w:tblPrEx>
          <w:tblCellMar>
            <w:top w:w="0" w:type="dxa"/>
            <w:left w:w="108" w:type="dxa"/>
            <w:bottom w:w="0" w:type="dxa"/>
            <w:right w:w="108" w:type="dxa"/>
          </w:tblCellMar>
        </w:tblPrEx>
        <w:trPr>
          <w:trHeight w:val="571" w:hRule="exact"/>
          <w:jc w:val="center"/>
        </w:trPr>
        <w:tc>
          <w:tcPr>
            <w:tcW w:w="4201" w:type="dxa"/>
            <w:noWrap w:val="0"/>
            <w:vAlign w:val="center"/>
          </w:tcPr>
          <w:p w14:paraId="69800FC9">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（盖章）</w:t>
            </w:r>
          </w:p>
        </w:tc>
        <w:tc>
          <w:tcPr>
            <w:tcW w:w="4202" w:type="dxa"/>
            <w:noWrap w:val="0"/>
            <w:vAlign w:val="center"/>
          </w:tcPr>
          <w:p w14:paraId="1A83C37B">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（盖章）</w:t>
            </w:r>
          </w:p>
        </w:tc>
      </w:tr>
      <w:tr w14:paraId="7CFC0A43">
        <w:tblPrEx>
          <w:tblCellMar>
            <w:top w:w="0" w:type="dxa"/>
            <w:left w:w="108" w:type="dxa"/>
            <w:bottom w:w="0" w:type="dxa"/>
            <w:right w:w="108" w:type="dxa"/>
          </w:tblCellMar>
        </w:tblPrEx>
        <w:trPr>
          <w:trHeight w:val="606" w:hRule="exact"/>
          <w:jc w:val="center"/>
        </w:trPr>
        <w:tc>
          <w:tcPr>
            <w:tcW w:w="4201" w:type="dxa"/>
            <w:noWrap w:val="0"/>
            <w:vAlign w:val="center"/>
          </w:tcPr>
          <w:p w14:paraId="47931CC5">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地址： </w:t>
            </w:r>
          </w:p>
        </w:tc>
        <w:tc>
          <w:tcPr>
            <w:tcW w:w="4202" w:type="dxa"/>
            <w:noWrap w:val="0"/>
            <w:vAlign w:val="center"/>
          </w:tcPr>
          <w:p w14:paraId="5404EE16">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地址：</w:t>
            </w:r>
          </w:p>
        </w:tc>
      </w:tr>
      <w:tr w14:paraId="07DBA7DB">
        <w:tblPrEx>
          <w:tblCellMar>
            <w:top w:w="0" w:type="dxa"/>
            <w:left w:w="108" w:type="dxa"/>
            <w:bottom w:w="0" w:type="dxa"/>
            <w:right w:w="108" w:type="dxa"/>
          </w:tblCellMar>
        </w:tblPrEx>
        <w:trPr>
          <w:trHeight w:val="588" w:hRule="exact"/>
          <w:jc w:val="center"/>
        </w:trPr>
        <w:tc>
          <w:tcPr>
            <w:tcW w:w="4201" w:type="dxa"/>
            <w:noWrap w:val="0"/>
            <w:vAlign w:val="center"/>
          </w:tcPr>
          <w:p w14:paraId="2CEF05A0">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邮编：</w:t>
            </w:r>
          </w:p>
        </w:tc>
        <w:tc>
          <w:tcPr>
            <w:tcW w:w="4202" w:type="dxa"/>
            <w:noWrap w:val="0"/>
            <w:vAlign w:val="center"/>
          </w:tcPr>
          <w:p w14:paraId="7B6D4702">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邮编：</w:t>
            </w:r>
          </w:p>
        </w:tc>
      </w:tr>
      <w:tr w14:paraId="0E2473CC">
        <w:tblPrEx>
          <w:tblCellMar>
            <w:top w:w="0" w:type="dxa"/>
            <w:left w:w="108" w:type="dxa"/>
            <w:bottom w:w="0" w:type="dxa"/>
            <w:right w:w="108" w:type="dxa"/>
          </w:tblCellMar>
        </w:tblPrEx>
        <w:trPr>
          <w:trHeight w:val="680" w:hRule="exact"/>
          <w:jc w:val="center"/>
        </w:trPr>
        <w:tc>
          <w:tcPr>
            <w:tcW w:w="4201" w:type="dxa"/>
            <w:noWrap w:val="0"/>
            <w:vAlign w:val="center"/>
          </w:tcPr>
          <w:p w14:paraId="6B86E3FA">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法定代表人： </w:t>
            </w:r>
          </w:p>
        </w:tc>
        <w:tc>
          <w:tcPr>
            <w:tcW w:w="4202" w:type="dxa"/>
            <w:noWrap w:val="0"/>
            <w:vAlign w:val="center"/>
          </w:tcPr>
          <w:p w14:paraId="6E29EA24">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法定代表人：</w:t>
            </w:r>
          </w:p>
        </w:tc>
      </w:tr>
      <w:tr w14:paraId="4C064614">
        <w:tblPrEx>
          <w:tblCellMar>
            <w:top w:w="0" w:type="dxa"/>
            <w:left w:w="108" w:type="dxa"/>
            <w:bottom w:w="0" w:type="dxa"/>
            <w:right w:w="108" w:type="dxa"/>
          </w:tblCellMar>
        </w:tblPrEx>
        <w:trPr>
          <w:trHeight w:val="680" w:hRule="exact"/>
          <w:jc w:val="center"/>
        </w:trPr>
        <w:tc>
          <w:tcPr>
            <w:tcW w:w="4201" w:type="dxa"/>
            <w:noWrap w:val="0"/>
            <w:vAlign w:val="center"/>
          </w:tcPr>
          <w:p w14:paraId="5243A307">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被授权代表：</w:t>
            </w:r>
          </w:p>
        </w:tc>
        <w:tc>
          <w:tcPr>
            <w:tcW w:w="4202" w:type="dxa"/>
            <w:noWrap w:val="0"/>
            <w:vAlign w:val="center"/>
          </w:tcPr>
          <w:p w14:paraId="3FAEC931">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被授权代表：</w:t>
            </w:r>
          </w:p>
        </w:tc>
      </w:tr>
      <w:tr w14:paraId="0B389728">
        <w:tblPrEx>
          <w:tblCellMar>
            <w:top w:w="0" w:type="dxa"/>
            <w:left w:w="108" w:type="dxa"/>
            <w:bottom w:w="0" w:type="dxa"/>
            <w:right w:w="108" w:type="dxa"/>
          </w:tblCellMar>
        </w:tblPrEx>
        <w:trPr>
          <w:trHeight w:val="680" w:hRule="exact"/>
          <w:jc w:val="center"/>
        </w:trPr>
        <w:tc>
          <w:tcPr>
            <w:tcW w:w="4201" w:type="dxa"/>
            <w:noWrap w:val="0"/>
            <w:vAlign w:val="center"/>
          </w:tcPr>
          <w:p w14:paraId="66C4F2A6">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电话：</w:t>
            </w:r>
          </w:p>
        </w:tc>
        <w:tc>
          <w:tcPr>
            <w:tcW w:w="4202" w:type="dxa"/>
            <w:noWrap w:val="0"/>
            <w:vAlign w:val="center"/>
          </w:tcPr>
          <w:p w14:paraId="47E5DC7A">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电话：</w:t>
            </w:r>
          </w:p>
        </w:tc>
      </w:tr>
      <w:tr w14:paraId="730B9E8E">
        <w:tblPrEx>
          <w:tblCellMar>
            <w:top w:w="0" w:type="dxa"/>
            <w:left w:w="108" w:type="dxa"/>
            <w:bottom w:w="0" w:type="dxa"/>
            <w:right w:w="108" w:type="dxa"/>
          </w:tblCellMar>
        </w:tblPrEx>
        <w:trPr>
          <w:trHeight w:val="680" w:hRule="exact"/>
          <w:jc w:val="center"/>
        </w:trPr>
        <w:tc>
          <w:tcPr>
            <w:tcW w:w="4201" w:type="dxa"/>
            <w:noWrap w:val="0"/>
            <w:vAlign w:val="center"/>
          </w:tcPr>
          <w:p w14:paraId="7552F8F6">
            <w:pPr>
              <w:spacing w:line="360" w:lineRule="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开户银行：</w:t>
            </w:r>
          </w:p>
        </w:tc>
        <w:tc>
          <w:tcPr>
            <w:tcW w:w="4202" w:type="dxa"/>
            <w:noWrap w:val="0"/>
            <w:vAlign w:val="center"/>
          </w:tcPr>
          <w:p w14:paraId="3274710D">
            <w:pPr>
              <w:spacing w:line="360" w:lineRule="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开户银行：</w:t>
            </w:r>
          </w:p>
        </w:tc>
      </w:tr>
      <w:tr w14:paraId="2C0CE112">
        <w:tblPrEx>
          <w:tblCellMar>
            <w:top w:w="0" w:type="dxa"/>
            <w:left w:w="108" w:type="dxa"/>
            <w:bottom w:w="0" w:type="dxa"/>
            <w:right w:w="108" w:type="dxa"/>
          </w:tblCellMar>
        </w:tblPrEx>
        <w:trPr>
          <w:trHeight w:val="680" w:hRule="exact"/>
          <w:jc w:val="center"/>
        </w:trPr>
        <w:tc>
          <w:tcPr>
            <w:tcW w:w="4201" w:type="dxa"/>
            <w:noWrap w:val="0"/>
            <w:vAlign w:val="center"/>
          </w:tcPr>
          <w:p w14:paraId="1030869D">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eastAsia="zh-CN"/>
              </w:rPr>
              <w:t>账号</w:t>
            </w:r>
            <w:r>
              <w:rPr>
                <w:rFonts w:hint="eastAsia" w:ascii="仿宋_GB2312" w:hAnsi="仿宋_GB2312" w:eastAsia="仿宋_GB2312" w:cs="仿宋_GB2312"/>
                <w:sz w:val="20"/>
                <w:szCs w:val="20"/>
              </w:rPr>
              <w:t>：</w:t>
            </w:r>
          </w:p>
        </w:tc>
        <w:tc>
          <w:tcPr>
            <w:tcW w:w="4202" w:type="dxa"/>
            <w:noWrap w:val="0"/>
            <w:vAlign w:val="center"/>
          </w:tcPr>
          <w:p w14:paraId="1C386480">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eastAsia="zh-CN"/>
              </w:rPr>
              <w:t>账号</w:t>
            </w:r>
            <w:r>
              <w:rPr>
                <w:rFonts w:hint="eastAsia" w:ascii="仿宋_GB2312" w:hAnsi="仿宋_GB2312" w:eastAsia="仿宋_GB2312" w:cs="仿宋_GB2312"/>
                <w:sz w:val="20"/>
                <w:szCs w:val="20"/>
              </w:rPr>
              <w:t>：</w:t>
            </w:r>
          </w:p>
        </w:tc>
      </w:tr>
      <w:tr w14:paraId="61E4B54F">
        <w:tblPrEx>
          <w:tblCellMar>
            <w:top w:w="0" w:type="dxa"/>
            <w:left w:w="108" w:type="dxa"/>
            <w:bottom w:w="0" w:type="dxa"/>
            <w:right w:w="108" w:type="dxa"/>
          </w:tblCellMar>
        </w:tblPrEx>
        <w:trPr>
          <w:trHeight w:val="680" w:hRule="exact"/>
          <w:jc w:val="center"/>
        </w:trPr>
        <w:tc>
          <w:tcPr>
            <w:tcW w:w="4201" w:type="dxa"/>
            <w:noWrap w:val="0"/>
            <w:vAlign w:val="center"/>
          </w:tcPr>
          <w:p w14:paraId="1C00DDFE">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日期：</w:t>
            </w:r>
          </w:p>
        </w:tc>
        <w:tc>
          <w:tcPr>
            <w:tcW w:w="4202" w:type="dxa"/>
            <w:noWrap w:val="0"/>
            <w:vAlign w:val="center"/>
          </w:tcPr>
          <w:p w14:paraId="323F6833">
            <w:pPr>
              <w:spacing w:line="360" w:lineRule="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日期：</w:t>
            </w:r>
          </w:p>
        </w:tc>
      </w:tr>
    </w:tbl>
    <w:p w14:paraId="1F58FEC8">
      <w:pPr>
        <w:rPr>
          <w:rFonts w:hint="eastAsia" w:ascii="仿宋_GB2312" w:hAnsi="仿宋_GB2312" w:eastAsia="仿宋_GB2312" w:cs="仿宋_GB2312"/>
          <w:sz w:val="20"/>
          <w:szCs w:val="20"/>
        </w:rPr>
      </w:pPr>
    </w:p>
    <w:p w14:paraId="197F7D5C">
      <w:pPr>
        <w:pStyle w:val="13"/>
        <w:rPr>
          <w:rFonts w:hint="eastAsia" w:ascii="仿宋_GB2312" w:hAnsi="仿宋_GB2312" w:eastAsia="仿宋_GB2312" w:cs="仿宋_GB2312"/>
          <w:lang w:val="en-US" w:eastAsia="zh-Hans"/>
        </w:rPr>
      </w:pPr>
      <w:r>
        <w:rPr>
          <w:rFonts w:hint="eastAsia" w:ascii="仿宋_GB2312" w:hAnsi="仿宋_GB2312" w:eastAsia="仿宋_GB2312" w:cs="仿宋_GB2312"/>
        </w:rPr>
        <w:br w:type="textWrapping"/>
      </w:r>
    </w:p>
    <w:p w14:paraId="71EA5C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4048"/>
    <w:rsid w:val="050471D5"/>
    <w:rsid w:val="053C7039"/>
    <w:rsid w:val="05711A44"/>
    <w:rsid w:val="07055153"/>
    <w:rsid w:val="07F933E3"/>
    <w:rsid w:val="09CF2980"/>
    <w:rsid w:val="09D0533B"/>
    <w:rsid w:val="0B6F77E5"/>
    <w:rsid w:val="0BE77DA2"/>
    <w:rsid w:val="117A2513"/>
    <w:rsid w:val="13FE0526"/>
    <w:rsid w:val="181C3FA3"/>
    <w:rsid w:val="18EF18DD"/>
    <w:rsid w:val="19235D7C"/>
    <w:rsid w:val="1F5A6197"/>
    <w:rsid w:val="1FB67552"/>
    <w:rsid w:val="23C949D6"/>
    <w:rsid w:val="26396924"/>
    <w:rsid w:val="26E13E53"/>
    <w:rsid w:val="27D868FE"/>
    <w:rsid w:val="283D6944"/>
    <w:rsid w:val="297558AC"/>
    <w:rsid w:val="2A7C64CA"/>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DC54B0A"/>
    <w:rsid w:val="4EE80B08"/>
    <w:rsid w:val="50742555"/>
    <w:rsid w:val="52876BC7"/>
    <w:rsid w:val="530774AF"/>
    <w:rsid w:val="55A52421"/>
    <w:rsid w:val="579A3366"/>
    <w:rsid w:val="59502521"/>
    <w:rsid w:val="5B0842C5"/>
    <w:rsid w:val="5C036210"/>
    <w:rsid w:val="5CD53D97"/>
    <w:rsid w:val="5EAE573F"/>
    <w:rsid w:val="5F171848"/>
    <w:rsid w:val="615B30D9"/>
    <w:rsid w:val="615C33BC"/>
    <w:rsid w:val="636D3049"/>
    <w:rsid w:val="693A7F09"/>
    <w:rsid w:val="6A894E1B"/>
    <w:rsid w:val="6AF272E7"/>
    <w:rsid w:val="6B861DFC"/>
    <w:rsid w:val="6C136138"/>
    <w:rsid w:val="6C414997"/>
    <w:rsid w:val="6C5C1EDC"/>
    <w:rsid w:val="6E5824A9"/>
    <w:rsid w:val="70DA5D7D"/>
    <w:rsid w:val="72E3010A"/>
    <w:rsid w:val="738B22F5"/>
    <w:rsid w:val="75153B55"/>
    <w:rsid w:val="7540409A"/>
    <w:rsid w:val="75FC26D7"/>
    <w:rsid w:val="78A417B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0"/>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2"/>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autoRedefine/>
    <w:qFormat/>
    <w:uiPriority w:val="0"/>
    <w:pPr>
      <w:spacing w:after="120" w:afterLines="0" w:afterAutospacing="0"/>
    </w:pPr>
  </w:style>
  <w:style w:type="character" w:customStyle="1" w:styleId="10">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1">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2">
    <w:name w:val="标题 3 Char"/>
    <w:link w:val="4"/>
    <w:qFormat/>
    <w:uiPriority w:val="0"/>
    <w:rPr>
      <w:rFonts w:ascii="Calibri" w:hAnsi="Calibri" w:eastAsia="仿宋_GB2312" w:cs="Times New Roman"/>
      <w:b/>
      <w:bCs/>
      <w:sz w:val="24"/>
      <w:szCs w:val="24"/>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2133</Words>
  <Characters>2153</Characters>
  <Lines>0</Lines>
  <Paragraphs>0</Paragraphs>
  <TotalTime>0</TotalTime>
  <ScaleCrop>false</ScaleCrop>
  <LinksUpToDate>false</LinksUpToDate>
  <CharactersWithSpaces>2281</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2023-03-24T03:57:00Z</dcterms:created>
  <dc:creator>DELL</dc:creator>
  <cp:lastModifiedBy>陕西华采招标有限公司</cp:lastModifiedBy>
  <dcterms:modified xsi:type="dcterms:W3CDTF">2026-08-14T08:27:14Z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2565929D983A4C9D93BB486716BBE886_12</vt:lpwstr>
  </property>
  <property fmtid="{D5CDD505-2E9C-101B-9397-08002B2CF9AE}" pid="4" name="KSOTemplateDocerSaveRecord">
    <vt:lpwstr>eyJoZGlkIjoiZjJhNzdmOTM5YmVkNWYxMDI1ZDJkZDk5YzNhZTc2YzAiLCJ1c2VySWQiOiI5MzY1NjA0ODAifQ==</vt:lpwstr>
  </property>
</Properties>
</file>