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0FA22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0169D2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一、项目目标</w:t>
      </w:r>
    </w:p>
    <w:p w14:paraId="00AAE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通过开展高标准农田建设底数核查省级核查，对县级成果进行质量把关和问题修改指导，形成符合农业农村部质量检查要求的数据成果、并最终通过国家级核查。通过开展高标准农田建设底数核查省级汇总，理清省域高标准农田建成情况、保有情况及待建等情况，实现高标准农田“底数清、位置准、情况明”的目标。</w:t>
      </w:r>
      <w:bookmarkStart w:id="0" w:name="_GoBack"/>
      <w:bookmarkEnd w:id="0"/>
    </w:p>
    <w:p w14:paraId="4315DB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二、实施范围</w:t>
      </w:r>
    </w:p>
    <w:p w14:paraId="76DB4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一是2019—2025年度农业农村部门统一建设管理的已立项、已完工、已验收的高标准农田建设项目，特别是审计等部门反映的数据不实项目，进行全面核查。</w:t>
      </w:r>
    </w:p>
    <w:p w14:paraId="6E346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二是2011—2018年度建成并完成上图入库的高标准农田建设项目。</w:t>
      </w:r>
    </w:p>
    <w:p w14:paraId="66376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三是永久基本农田未建高标准农田区域“具备建设条件”情况。</w:t>
      </w:r>
    </w:p>
    <w:p w14:paraId="03D49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三、工作内容</w:t>
      </w:r>
    </w:p>
    <w:p w14:paraId="4E20B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一）数据整理。梳理归集全省高标准农田建设项目列表、项目属性、项目矢量等数据；对接自然资源、林业、水利等部门收集永久基本农田保护红线、相关年度国土变更调查成果、最新生态保护红线和大中型灌区，以及第二、第三次国土调查成果和禁建区、限建区等专题数据，按需进行必要预处理，形成底数核查基础数据，为后续数据分析、核查核验、成果编制提供支撑。根据项目需求，需自筹分辨率优于2米的卫星影像辅助后续图数地一致性检查。</w:t>
      </w:r>
    </w:p>
    <w:p w14:paraId="43721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二）底图制作。基于核改后项目数据，区分年度开展坐标转换、图斑去重分析、图斑合并等数据处理，形成分阶段工作底图，逐项目统计原始图斑面积、重叠面积及去重后的图斑面积，摸清建成面积底数和交叉重叠面积。</w:t>
      </w:r>
    </w:p>
    <w:p w14:paraId="17DE2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三）套合分析。基于高标准农田建设项目工作底图，与多源专题数据进行空间套合分析，统计高标准农田建设底数、保有情况、待建规模，以及已建成高标准农田内永久基本农田、生态保护红线、大中型灌区等情况。</w:t>
      </w:r>
    </w:p>
    <w:p w14:paraId="2474D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四）成果质检。全面检查核对市县提交的高标准农田建设底数核查成果，开展数据逻辑性检查、空间一致性检查、成果合规性检查，排查数据缺项错项、逻辑冲突、空间偏差等各类问题，形成问题整改清单，指导各地完成问题整改、数据修正、成果复核，确保所有核查成果真实准确、口径统一、符合要求。</w:t>
      </w:r>
    </w:p>
    <w:p w14:paraId="58D48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五）外业调查。省级抽取每个县10%的项目进行核验，全部存疑地块100%现场踏勘，现场采集影像、坐标，核查地块面积大小、空间位置、地类信息等核心信息，逐一校验图、数、地一致性，摸清地块真实情况，排查数据偏差、图实不符等问题，夯实核查成果真实性与准确性。</w:t>
      </w:r>
    </w:p>
    <w:p w14:paraId="1C06D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六）报告编制。全面汇总资料归集、底图制作、套合分析、成果质检、外业调查各环节工作成果，系统梳理全省高标准农田建设底数核查整体情况，准确统计全省高标准农田建设底数、保有情况、待建规模等数据，深入分析当前高标准农田建设上图入库工作存在的短板与问题，提出针对性建议意见。</w:t>
      </w:r>
    </w:p>
    <w:p w14:paraId="71AC6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四、执行技术标准</w:t>
      </w:r>
    </w:p>
    <w:p w14:paraId="339FC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（一）高标准农田建设底数核查技术方案</w:t>
      </w:r>
    </w:p>
    <w:p w14:paraId="7D718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（二）高标准农田建设底数核查数据质量检查技术规则</w:t>
      </w:r>
    </w:p>
    <w:p w14:paraId="34B8A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（三）高标准农田建设底数核查底图制作技术规则</w:t>
      </w:r>
    </w:p>
    <w:p w14:paraId="099DB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（四）高标准农田建设底数核查套合分析技术规则</w:t>
      </w:r>
    </w:p>
    <w:p w14:paraId="44ED40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（五）高标准农田建设底数核查数据安全管理技术规则</w:t>
      </w:r>
    </w:p>
    <w:p w14:paraId="616DF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（六）高标准农田建设底数核查实地核查技术规则</w:t>
      </w:r>
    </w:p>
    <w:p w14:paraId="434D03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（七）高标准农田建设底数核查成果汇交技术规则</w:t>
      </w:r>
    </w:p>
    <w:p w14:paraId="23AAF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五、预期成果</w:t>
      </w:r>
    </w:p>
    <w:p w14:paraId="40D18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1、项目基础数据成果。包括历次提交和上报的各县项目基础数据。</w:t>
      </w:r>
    </w:p>
    <w:p w14:paraId="13CD98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2、省级检查成果。包括历次基础数据质量检查结果。</w:t>
      </w:r>
    </w:p>
    <w:p w14:paraId="3AEF6C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3、分析成果。包括底图制作成果数据和套合分析成果数据（矢量、表格）。</w:t>
      </w:r>
    </w:p>
    <w:p w14:paraId="31D34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4、文档成果。陕西省高标准农田建设底数核查省级项目工作报告（电子版及纸质版）。</w:t>
      </w:r>
    </w:p>
    <w:p w14:paraId="712C0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六、人员要求</w:t>
      </w:r>
    </w:p>
    <w:p w14:paraId="21C61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投标人须配置足额、稳定的专业服务团队，技术人员不得随意缩减，若需更换，需经采购人同意，并且更换人员与投标承诺人员具有同等或以上的经验和相关证书。在项目实施高峰期，能够增加相应专业能力的技术人员，保障项目实施。</w:t>
      </w:r>
    </w:p>
    <w:p w14:paraId="7711B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七、质量要求</w:t>
      </w:r>
    </w:p>
    <w:p w14:paraId="033D39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投标人可利用软件工具保障成果质量、提高工作效率，交付成果需满足农业农村部质量检查要求，并最终通过国家级核查。</w:t>
      </w:r>
    </w:p>
    <w:p w14:paraId="21691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八、保密要求</w:t>
      </w:r>
    </w:p>
    <w:p w14:paraId="5AAE3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1、投标人应严格遵守国家有关数据安全保密的有关法律法规，按照数据类别和数据分级采取数据加密、访问控制、边界防护等安全措施，保障数据安全。</w:t>
      </w:r>
    </w:p>
    <w:p w14:paraId="5F7A6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2、投标人应确保检查结果客观公正，不得与受检单位（或利益相关单位）联系，透漏检查有关信息。</w:t>
      </w:r>
    </w:p>
    <w:p w14:paraId="018C8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3、国土空间数据属于内部涉密资料，投标人应与采购方签订专项保密协议，严禁外网传输、私自留存、对外转借全部项目数据，项目结束全部资料完整归还。</w:t>
      </w:r>
    </w:p>
    <w:p w14:paraId="7E12E43B">
      <w:pPr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C5EB3"/>
    <w:rsid w:val="14B25CE2"/>
    <w:rsid w:val="39EC5EB3"/>
    <w:rsid w:val="54843812"/>
    <w:rsid w:val="7A24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1723</Words>
  <Characters>1740</Characters>
  <Lines>0</Lines>
  <Paragraphs>0</Paragraphs>
  <TotalTime>0</TotalTime>
  <ScaleCrop>false</ScaleCrop>
  <LinksUpToDate>false</LinksUpToDate>
  <CharactersWithSpaces>1740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2026-08-25T07:10:00Z</dcterms:created>
  <dc:creator>.L</dc:creator>
  <cp:lastModifiedBy>.L</cp:lastModifiedBy>
  <dcterms:modified xsi:type="dcterms:W3CDTF">2026-08-25T07:12:38Z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800FB79B56CF4E5C9BB011183F3A7450_11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