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B8A14F">
      <w:pPr>
        <w:spacing w:line="240" w:lineRule="auto"/>
        <w:jc w:val="left"/>
        <w:rPr>
          <w:rFonts w:hint="eastAsia" w:ascii="宋体" w:hAnsi="宋体" w:eastAsia="宋体" w:cs="宋体"/>
          <w:bCs/>
          <w:color w:val="auto"/>
          <w:sz w:val="2"/>
          <w:szCs w:val="2"/>
          <w:highlight w:val="none"/>
        </w:rPr>
      </w:pPr>
      <w:bookmarkStart w:id="0" w:name="_Toc193702467"/>
      <w:bookmarkStart w:id="1" w:name="_Toc465958085"/>
      <w:bookmarkStart w:id="2" w:name="_Toc12011"/>
      <w:bookmarkStart w:id="3" w:name="_Toc246928891"/>
      <w:bookmarkStart w:id="4" w:name="_Toc12260"/>
      <w:bookmarkStart w:id="5" w:name="_Toc22392"/>
      <w:bookmarkStart w:id="6" w:name="_Toc6410"/>
      <w:bookmarkStart w:id="7" w:name="OLE_LINK18"/>
      <w:r>
        <w:rPr>
          <w:rFonts w:hint="eastAsia" w:ascii="宋体" w:hAnsi="宋体" w:eastAsia="宋体" w:cs="宋体"/>
          <w:bCs/>
          <w:color w:val="auto"/>
          <w:sz w:val="2"/>
          <w:szCs w:val="2"/>
          <w:highlight w:val="none"/>
        </w:rPr>
        <w:t xml:space="preserve">                                                                                                                                                                                                                                                 </w:t>
      </w:r>
    </w:p>
    <w:p w14:paraId="7BD6711C">
      <w:pPr>
        <w:pStyle w:val="3"/>
        <w:spacing w:line="240" w:lineRule="auto"/>
        <w:rPr>
          <w:rFonts w:hint="eastAsia" w:ascii="宋体" w:hAnsi="宋体" w:eastAsia="宋体" w:cs="宋体"/>
          <w:b w:val="0"/>
          <w:bCs/>
          <w:color w:val="auto"/>
          <w:sz w:val="2"/>
          <w:szCs w:val="2"/>
          <w:highlight w:val="none"/>
        </w:rPr>
      </w:pPr>
      <w:bookmarkStart w:id="8" w:name="_Toc13909"/>
      <w:bookmarkStart w:id="9" w:name="_Toc14053"/>
      <w:bookmarkStart w:id="10" w:name="_Toc19676"/>
      <w:r>
        <w:rPr>
          <w:rFonts w:hint="eastAsia" w:ascii="宋体" w:hAnsi="宋体" w:eastAsia="宋体" w:cs="宋体"/>
          <w:b w:val="0"/>
          <w:bCs/>
          <w:color w:val="auto"/>
          <w:sz w:val="28"/>
          <w:szCs w:val="28"/>
          <w:highlight w:val="none"/>
        </w:rPr>
        <w:t>采购项目编号：</w:t>
      </w:r>
      <w:bookmarkEnd w:id="8"/>
      <w:bookmarkEnd w:id="9"/>
      <w:bookmarkEnd w:id="10"/>
      <w:r>
        <w:rPr>
          <w:rFonts w:hint="eastAsia" w:ascii="宋体" w:hAnsi="宋体" w:eastAsia="宋体" w:cs="宋体"/>
          <w:b w:val="0"/>
          <w:bCs/>
          <w:color w:val="auto"/>
          <w:sz w:val="28"/>
          <w:szCs w:val="28"/>
          <w:highlight w:val="none"/>
          <w:lang w:eastAsia="zh-CN"/>
        </w:rPr>
        <w:t>SXCG-PZ-2026003.1B1</w:t>
      </w:r>
    </w:p>
    <w:p w14:paraId="6B3DBE2A">
      <w:pPr>
        <w:rPr>
          <w:rFonts w:hint="eastAsia" w:ascii="宋体" w:hAnsi="宋体" w:eastAsia="宋体" w:cs="宋体"/>
          <w:bCs/>
          <w:color w:val="auto"/>
          <w:highlight w:val="none"/>
        </w:rPr>
      </w:pPr>
    </w:p>
    <w:p w14:paraId="757E5655">
      <w:pPr>
        <w:rPr>
          <w:rFonts w:hint="eastAsia" w:ascii="宋体" w:hAnsi="宋体" w:eastAsia="宋体" w:cs="宋体"/>
          <w:bCs/>
          <w:color w:val="auto"/>
          <w:highlight w:val="none"/>
        </w:rPr>
      </w:pPr>
    </w:p>
    <w:p w14:paraId="1006993E">
      <w:pPr>
        <w:rPr>
          <w:rFonts w:hint="eastAsia" w:ascii="宋体" w:hAnsi="宋体" w:eastAsia="宋体" w:cs="宋体"/>
          <w:bCs/>
          <w:color w:val="auto"/>
          <w:highlight w:val="none"/>
        </w:rPr>
      </w:pPr>
    </w:p>
    <w:p w14:paraId="365A45D4">
      <w:pPr>
        <w:rPr>
          <w:rFonts w:hint="eastAsia" w:ascii="宋体" w:hAnsi="宋体" w:eastAsia="宋体" w:cs="宋体"/>
          <w:bCs/>
          <w:color w:val="auto"/>
          <w:highlight w:val="none"/>
        </w:rPr>
      </w:pPr>
    </w:p>
    <w:p w14:paraId="6CD00406">
      <w:pPr>
        <w:rPr>
          <w:rFonts w:hint="eastAsia" w:ascii="宋体" w:hAnsi="宋体" w:eastAsia="宋体" w:cs="宋体"/>
          <w:bCs/>
          <w:color w:val="auto"/>
          <w:highlight w:val="none"/>
        </w:rPr>
      </w:pPr>
    </w:p>
    <w:p w14:paraId="69A33294">
      <w:pPr>
        <w:pStyle w:val="14"/>
        <w:jc w:val="center"/>
        <w:rPr>
          <w:rFonts w:hint="eastAsia" w:ascii="宋体" w:hAnsi="宋体" w:eastAsia="宋体" w:cs="宋体"/>
          <w:bCs/>
          <w:color w:val="auto"/>
          <w:sz w:val="80"/>
          <w:szCs w:val="80"/>
          <w:highlight w:val="none"/>
          <w:lang w:eastAsia="zh-CN"/>
        </w:rPr>
      </w:pPr>
      <w:r>
        <w:rPr>
          <w:rFonts w:hint="eastAsia" w:ascii="宋体" w:hAnsi="宋体" w:cs="宋体"/>
          <w:bCs/>
          <w:color w:val="auto"/>
          <w:sz w:val="60"/>
          <w:szCs w:val="60"/>
          <w:highlight w:val="none"/>
          <w:lang w:eastAsia="zh-CN"/>
        </w:rPr>
        <w:t>绥德县城市公益性公墓殡仪馆建设项目岩土工程勘察服务采购(二次)</w:t>
      </w:r>
    </w:p>
    <w:p w14:paraId="511BADEE">
      <w:pPr>
        <w:pStyle w:val="14"/>
        <w:rPr>
          <w:rFonts w:hint="eastAsia" w:ascii="宋体" w:hAnsi="宋体" w:eastAsia="宋体" w:cs="宋体"/>
          <w:bCs/>
          <w:color w:val="auto"/>
          <w:sz w:val="80"/>
          <w:szCs w:val="80"/>
          <w:highlight w:val="none"/>
        </w:rPr>
      </w:pPr>
    </w:p>
    <w:p w14:paraId="11558E50">
      <w:pPr>
        <w:rPr>
          <w:rFonts w:hint="eastAsia" w:ascii="宋体" w:hAnsi="宋体" w:eastAsia="宋体" w:cs="宋体"/>
          <w:bCs/>
          <w:color w:val="auto"/>
          <w:highlight w:val="none"/>
        </w:rPr>
      </w:pPr>
    </w:p>
    <w:p w14:paraId="41BFD4D9">
      <w:pPr>
        <w:rPr>
          <w:rFonts w:hint="eastAsia" w:ascii="宋体" w:hAnsi="宋体" w:eastAsia="宋体" w:cs="宋体"/>
          <w:bCs/>
          <w:color w:val="auto"/>
          <w:highlight w:val="none"/>
        </w:rPr>
      </w:pPr>
    </w:p>
    <w:p w14:paraId="4345BCB5">
      <w:pPr>
        <w:jc w:val="center"/>
        <w:rPr>
          <w:rFonts w:hint="eastAsia" w:ascii="宋体" w:hAnsi="宋体" w:eastAsia="宋体" w:cs="宋体"/>
          <w:bCs/>
          <w:color w:val="auto"/>
          <w:sz w:val="80"/>
          <w:szCs w:val="80"/>
          <w:highlight w:val="none"/>
        </w:rPr>
      </w:pPr>
      <w:r>
        <w:rPr>
          <w:rFonts w:hint="eastAsia" w:ascii="宋体" w:hAnsi="宋体" w:eastAsia="宋体" w:cs="宋体"/>
          <w:bCs/>
          <w:color w:val="auto"/>
          <w:sz w:val="80"/>
          <w:szCs w:val="80"/>
          <w:highlight w:val="none"/>
        </w:rPr>
        <w:t>竞争性谈判文件</w:t>
      </w:r>
    </w:p>
    <w:p w14:paraId="40660381">
      <w:pPr>
        <w:spacing w:line="420" w:lineRule="auto"/>
        <w:rPr>
          <w:rFonts w:hint="eastAsia" w:ascii="宋体" w:hAnsi="宋体" w:eastAsia="宋体" w:cs="宋体"/>
          <w:bCs/>
          <w:color w:val="auto"/>
          <w:sz w:val="24"/>
          <w:szCs w:val="24"/>
          <w:highlight w:val="none"/>
        </w:rPr>
      </w:pPr>
    </w:p>
    <w:p w14:paraId="45FB7C6E">
      <w:pPr>
        <w:spacing w:line="420" w:lineRule="auto"/>
        <w:rPr>
          <w:rFonts w:hint="eastAsia" w:ascii="宋体" w:hAnsi="宋体" w:eastAsia="宋体" w:cs="宋体"/>
          <w:bCs/>
          <w:color w:val="auto"/>
          <w:sz w:val="24"/>
          <w:szCs w:val="24"/>
          <w:highlight w:val="none"/>
        </w:rPr>
      </w:pPr>
    </w:p>
    <w:p w14:paraId="08B03E21">
      <w:pPr>
        <w:spacing w:line="420" w:lineRule="auto"/>
        <w:rPr>
          <w:rFonts w:hint="eastAsia" w:ascii="宋体" w:hAnsi="宋体" w:eastAsia="宋体" w:cs="宋体"/>
          <w:bCs/>
          <w:color w:val="auto"/>
          <w:sz w:val="24"/>
          <w:szCs w:val="24"/>
          <w:highlight w:val="none"/>
        </w:rPr>
      </w:pPr>
    </w:p>
    <w:p w14:paraId="1D4553F9">
      <w:pPr>
        <w:spacing w:line="420" w:lineRule="auto"/>
        <w:rPr>
          <w:rFonts w:hint="eastAsia" w:ascii="宋体" w:hAnsi="宋体" w:eastAsia="宋体" w:cs="宋体"/>
          <w:bCs/>
          <w:color w:val="auto"/>
          <w:sz w:val="24"/>
          <w:szCs w:val="24"/>
          <w:highlight w:val="none"/>
        </w:rPr>
      </w:pPr>
    </w:p>
    <w:p w14:paraId="1269C0B2">
      <w:pPr>
        <w:rPr>
          <w:rFonts w:hint="eastAsia" w:ascii="宋体" w:hAnsi="宋体" w:eastAsia="宋体" w:cs="宋体"/>
          <w:bCs/>
          <w:color w:val="auto"/>
          <w:highlight w:val="none"/>
        </w:rPr>
      </w:pPr>
    </w:p>
    <w:p w14:paraId="46AB9DAB">
      <w:pPr>
        <w:snapToGrid w:val="0"/>
        <w:spacing w:line="480" w:lineRule="auto"/>
        <w:jc w:val="center"/>
        <w:rPr>
          <w:rFonts w:hint="eastAsia" w:ascii="宋体" w:hAnsi="宋体" w:eastAsia="宋体" w:cs="宋体"/>
          <w:bCs/>
          <w:color w:val="auto"/>
          <w:sz w:val="32"/>
          <w:szCs w:val="32"/>
          <w:highlight w:val="none"/>
          <w:lang w:eastAsia="zh-CN"/>
        </w:rPr>
      </w:pPr>
      <w:bookmarkStart w:id="11" w:name="OLE_LINK43"/>
      <w:r>
        <w:rPr>
          <w:rFonts w:hint="eastAsia" w:ascii="宋体" w:hAnsi="宋体" w:eastAsia="宋体" w:cs="宋体"/>
          <w:bCs/>
          <w:color w:val="auto"/>
          <w:sz w:val="32"/>
          <w:szCs w:val="32"/>
          <w:highlight w:val="none"/>
        </w:rPr>
        <w:t>采购人：</w:t>
      </w:r>
      <w:r>
        <w:rPr>
          <w:rFonts w:hint="eastAsia" w:ascii="宋体" w:hAnsi="宋体" w:eastAsia="宋体" w:cs="宋体"/>
          <w:bCs/>
          <w:color w:val="auto"/>
          <w:sz w:val="32"/>
          <w:szCs w:val="32"/>
          <w:highlight w:val="none"/>
          <w:lang w:eastAsia="zh-CN"/>
        </w:rPr>
        <w:t>绥德县民政局</w:t>
      </w:r>
    </w:p>
    <w:p w14:paraId="0C1CC5B0">
      <w:pPr>
        <w:snapToGrid w:val="0"/>
        <w:spacing w:line="480" w:lineRule="auto"/>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    采购代理机构：</w:t>
      </w:r>
      <w:r>
        <w:rPr>
          <w:rFonts w:hint="eastAsia" w:ascii="宋体" w:hAnsi="宋体" w:eastAsia="宋体" w:cs="宋体"/>
          <w:bCs/>
          <w:color w:val="auto"/>
          <w:sz w:val="32"/>
          <w:szCs w:val="32"/>
          <w:highlight w:val="none"/>
          <w:lang w:eastAsia="zh-CN"/>
        </w:rPr>
        <w:t>鹏泽项目管理有限公司</w:t>
      </w:r>
      <w:r>
        <w:rPr>
          <w:rFonts w:hint="eastAsia" w:ascii="宋体" w:hAnsi="宋体" w:eastAsia="宋体" w:cs="宋体"/>
          <w:bCs/>
          <w:color w:val="auto"/>
          <w:sz w:val="32"/>
          <w:szCs w:val="32"/>
          <w:highlight w:val="none"/>
        </w:rPr>
        <w:t xml:space="preserve">     </w:t>
      </w:r>
    </w:p>
    <w:p w14:paraId="16CD253A">
      <w:pPr>
        <w:spacing w:line="480" w:lineRule="auto"/>
        <w:jc w:val="center"/>
        <w:rPr>
          <w:rFonts w:hint="eastAsia" w:ascii="宋体" w:hAnsi="宋体" w:eastAsia="宋体" w:cs="宋体"/>
          <w:bCs/>
          <w:color w:val="auto"/>
          <w:sz w:val="24"/>
          <w:szCs w:val="24"/>
          <w:highlight w:val="none"/>
        </w:rPr>
        <w:sectPr>
          <w:headerReference r:id="rId4" w:type="first"/>
          <w:headerReference r:id="rId3" w:type="default"/>
          <w:footerReference r:id="rId5" w:type="default"/>
          <w:footnotePr>
            <w:pos w:val="beneathText"/>
          </w:footnotePr>
          <w:pgSz w:w="11906" w:h="16838"/>
          <w:pgMar w:top="1440" w:right="1080" w:bottom="1440" w:left="1080" w:header="851" w:footer="992" w:gutter="0"/>
          <w:cols w:space="720" w:num="1"/>
          <w:docGrid w:type="lines" w:linePitch="312" w:charSpace="0"/>
        </w:sectPr>
      </w:pPr>
      <w:r>
        <w:rPr>
          <w:rFonts w:hint="eastAsia" w:ascii="宋体" w:hAnsi="宋体" w:eastAsia="宋体" w:cs="宋体"/>
          <w:bCs/>
          <w:color w:val="auto"/>
          <w:sz w:val="32"/>
          <w:szCs w:val="32"/>
          <w:highlight w:val="none"/>
        </w:rPr>
        <w:t>二零二</w:t>
      </w:r>
      <w:r>
        <w:rPr>
          <w:rFonts w:hint="eastAsia" w:ascii="宋体" w:hAnsi="宋体" w:eastAsia="宋体" w:cs="宋体"/>
          <w:bCs/>
          <w:color w:val="auto"/>
          <w:sz w:val="32"/>
          <w:szCs w:val="32"/>
          <w:highlight w:val="none"/>
          <w:lang w:val="en-US" w:eastAsia="zh-CN"/>
        </w:rPr>
        <w:t>六</w:t>
      </w:r>
      <w:r>
        <w:rPr>
          <w:rFonts w:hint="eastAsia" w:ascii="宋体" w:hAnsi="宋体" w:eastAsia="宋体" w:cs="宋体"/>
          <w:bCs/>
          <w:color w:val="auto"/>
          <w:sz w:val="32"/>
          <w:szCs w:val="32"/>
          <w:highlight w:val="none"/>
        </w:rPr>
        <w:t>年</w:t>
      </w:r>
      <w:r>
        <w:rPr>
          <w:rFonts w:hint="eastAsia" w:ascii="宋体" w:hAnsi="宋体" w:eastAsia="宋体" w:cs="宋体"/>
          <w:bCs/>
          <w:color w:val="auto"/>
          <w:sz w:val="32"/>
          <w:szCs w:val="32"/>
          <w:highlight w:val="none"/>
          <w:lang w:val="en-US" w:eastAsia="zh-CN"/>
        </w:rPr>
        <w:t>七</w:t>
      </w:r>
      <w:r>
        <w:rPr>
          <w:rFonts w:hint="eastAsia" w:ascii="宋体" w:hAnsi="宋体" w:eastAsia="宋体" w:cs="宋体"/>
          <w:bCs/>
          <w:color w:val="auto"/>
          <w:sz w:val="32"/>
          <w:szCs w:val="32"/>
          <w:highlight w:val="none"/>
        </w:rPr>
        <w:t>月</w:t>
      </w:r>
    </w:p>
    <w:bookmarkEnd w:id="11"/>
    <w:p w14:paraId="1C01982E">
      <w:pPr>
        <w:pStyle w:val="21"/>
        <w:spacing w:before="0" w:beforeAutospacing="0" w:after="0" w:afterAutospacing="0" w:line="360" w:lineRule="auto"/>
        <w:jc w:val="center"/>
        <w:rPr>
          <w:rFonts w:hint="eastAsia" w:ascii="宋体" w:hAnsi="宋体" w:eastAsia="宋体" w:cs="宋体"/>
          <w:bCs/>
          <w:color w:val="auto"/>
          <w:sz w:val="32"/>
          <w:szCs w:val="32"/>
          <w:highlight w:val="none"/>
        </w:rPr>
      </w:pPr>
      <w:r>
        <w:rPr>
          <w:rFonts w:hint="eastAsia" w:ascii="宋体" w:hAnsi="宋体" w:eastAsia="宋体" w:cs="宋体"/>
          <w:bCs/>
          <w:color w:val="auto"/>
          <w:kern w:val="2"/>
          <w:sz w:val="32"/>
          <w:szCs w:val="32"/>
          <w:highlight w:val="none"/>
        </w:rPr>
        <w:t>温馨提示</w:t>
      </w:r>
    </w:p>
    <w:p w14:paraId="08D99645">
      <w:pPr>
        <w:pStyle w:val="17"/>
        <w:tabs>
          <w:tab w:val="right" w:leader="dot" w:pos="8829"/>
        </w:tabs>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32"/>
          <w:szCs w:val="32"/>
          <w:highlight w:val="none"/>
        </w:rPr>
        <w:t>请供应商认真阅读供应商须知，避免因此造成的无效投标。</w:t>
      </w:r>
    </w:p>
    <w:p w14:paraId="7DCD52E7">
      <w:pPr>
        <w:spacing w:line="600" w:lineRule="auto"/>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目  录</w:t>
      </w:r>
    </w:p>
    <w:sdt>
      <w:sdtPr>
        <w:rPr>
          <w:rFonts w:hint="eastAsia" w:ascii="宋体" w:hAnsi="宋体" w:eastAsia="宋体" w:cs="宋体"/>
          <w:color w:val="auto"/>
          <w:kern w:val="2"/>
          <w:sz w:val="21"/>
          <w:lang w:val="en-US" w:eastAsia="zh-CN" w:bidi="ar-SA"/>
        </w:rPr>
        <w:id w:val="147479037"/>
        <w15:color w:val="DBDBDB"/>
        <w:docPartObj>
          <w:docPartGallery w:val="Table of Contents"/>
          <w:docPartUnique/>
        </w:docPartObj>
      </w:sdtPr>
      <w:sdtEndPr>
        <w:rPr>
          <w:rFonts w:hint="eastAsia" w:ascii="宋体" w:hAnsi="宋体" w:eastAsia="宋体" w:cs="宋体"/>
          <w:color w:val="auto"/>
          <w:kern w:val="2"/>
          <w:sz w:val="21"/>
          <w:lang w:val="en-US" w:eastAsia="zh-CN" w:bidi="ar-SA"/>
        </w:rPr>
      </w:sdtEndPr>
      <w:sdtContent>
        <w:p w14:paraId="79407738">
          <w:pPr>
            <w:spacing w:before="0" w:beforeLines="0" w:after="0" w:afterLines="0" w:line="240" w:lineRule="auto"/>
            <w:ind w:left="0" w:leftChars="0" w:right="0" w:rightChars="0" w:firstLine="0" w:firstLineChars="0"/>
            <w:jc w:val="center"/>
            <w:rPr>
              <w:rFonts w:hint="eastAsia" w:ascii="宋体" w:hAnsi="宋体" w:eastAsia="宋体" w:cs="宋体"/>
              <w:color w:val="auto"/>
            </w:rPr>
          </w:pPr>
        </w:p>
        <w:p w14:paraId="6B19B45E">
          <w:pPr>
            <w:pStyle w:val="19"/>
            <w:tabs>
              <w:tab w:val="right" w:leader="dot" w:pos="9746"/>
            </w:tabs>
          </w:pPr>
          <w:r>
            <w:rPr>
              <w:rFonts w:hint="eastAsia" w:ascii="宋体" w:hAnsi="宋体" w:eastAsia="宋体" w:cs="宋体"/>
              <w:color w:val="auto"/>
            </w:rPr>
            <w:fldChar w:fldCharType="begin"/>
          </w:r>
          <w:r>
            <w:rPr>
              <w:rFonts w:hint="eastAsia" w:ascii="宋体" w:hAnsi="宋体" w:eastAsia="宋体" w:cs="宋体"/>
              <w:color w:val="auto"/>
            </w:rPr>
            <w:instrText xml:space="preserve">TOC \o "1-2" \h \u </w:instrText>
          </w:r>
          <w:r>
            <w:rPr>
              <w:rFonts w:hint="eastAsia" w:ascii="宋体" w:hAnsi="宋体" w:eastAsia="宋体" w:cs="宋体"/>
              <w:color w:val="auto"/>
            </w:rPr>
            <w:fldChar w:fldCharType="separate"/>
          </w:r>
        </w:p>
        <w:p w14:paraId="3BCC9667">
          <w:pPr>
            <w:pStyle w:val="17"/>
            <w:tabs>
              <w:tab w:val="right" w:leader="dot" w:pos="9746"/>
            </w:tabs>
            <w:spacing w:line="360" w:lineRule="auto"/>
            <w:rPr>
              <w:sz w:val="22"/>
              <w:szCs w:val="21"/>
            </w:rPr>
          </w:pPr>
          <w:r>
            <w:rPr>
              <w:rFonts w:hint="eastAsia" w:ascii="宋体" w:hAnsi="宋体" w:eastAsia="宋体" w:cs="宋体"/>
              <w:color w:val="auto"/>
              <w:sz w:val="22"/>
              <w:szCs w:val="21"/>
            </w:rPr>
            <w:fldChar w:fldCharType="begin"/>
          </w:r>
          <w:r>
            <w:rPr>
              <w:rFonts w:hint="eastAsia" w:ascii="宋体" w:hAnsi="宋体" w:eastAsia="宋体" w:cs="宋体"/>
              <w:sz w:val="22"/>
              <w:szCs w:val="21"/>
            </w:rPr>
            <w:instrText xml:space="preserve"> HYPERLINK \l _Toc14186 </w:instrText>
          </w:r>
          <w:r>
            <w:rPr>
              <w:rFonts w:hint="eastAsia" w:ascii="宋体" w:hAnsi="宋体" w:eastAsia="宋体" w:cs="宋体"/>
              <w:sz w:val="22"/>
              <w:szCs w:val="21"/>
            </w:rPr>
            <w:fldChar w:fldCharType="separate"/>
          </w:r>
          <w:r>
            <w:rPr>
              <w:rFonts w:hint="eastAsia" w:ascii="宋体" w:hAnsi="宋体" w:eastAsia="宋体" w:cs="宋体"/>
              <w:bCs/>
              <w:sz w:val="22"/>
              <w:szCs w:val="20"/>
              <w:highlight w:val="none"/>
              <w:lang w:val="en-US" w:eastAsia="zh-CN"/>
            </w:rPr>
            <w:t>第一部分  竞争性谈判公告</w:t>
          </w:r>
          <w:r>
            <w:rPr>
              <w:sz w:val="22"/>
              <w:szCs w:val="21"/>
            </w:rPr>
            <w:tab/>
          </w:r>
          <w:r>
            <w:rPr>
              <w:sz w:val="22"/>
              <w:szCs w:val="21"/>
            </w:rPr>
            <w:fldChar w:fldCharType="begin"/>
          </w:r>
          <w:r>
            <w:rPr>
              <w:sz w:val="22"/>
              <w:szCs w:val="21"/>
            </w:rPr>
            <w:instrText xml:space="preserve"> PAGEREF _Toc14186 \h </w:instrText>
          </w:r>
          <w:r>
            <w:rPr>
              <w:sz w:val="22"/>
              <w:szCs w:val="21"/>
            </w:rPr>
            <w:fldChar w:fldCharType="separate"/>
          </w:r>
          <w:r>
            <w:rPr>
              <w:sz w:val="22"/>
              <w:szCs w:val="21"/>
            </w:rPr>
            <w:t>1</w:t>
          </w:r>
          <w:r>
            <w:rPr>
              <w:sz w:val="22"/>
              <w:szCs w:val="21"/>
            </w:rPr>
            <w:fldChar w:fldCharType="end"/>
          </w:r>
          <w:r>
            <w:rPr>
              <w:rFonts w:hint="eastAsia" w:ascii="宋体" w:hAnsi="宋体" w:eastAsia="宋体" w:cs="宋体"/>
              <w:color w:val="auto"/>
              <w:sz w:val="22"/>
              <w:szCs w:val="21"/>
            </w:rPr>
            <w:fldChar w:fldCharType="end"/>
          </w:r>
        </w:p>
        <w:p w14:paraId="1DF26FE2">
          <w:pPr>
            <w:pStyle w:val="17"/>
            <w:tabs>
              <w:tab w:val="right" w:leader="dot" w:pos="9746"/>
            </w:tabs>
            <w:spacing w:line="360" w:lineRule="auto"/>
            <w:rPr>
              <w:sz w:val="22"/>
              <w:szCs w:val="21"/>
            </w:rPr>
          </w:pPr>
          <w:r>
            <w:rPr>
              <w:rFonts w:hint="eastAsia" w:ascii="宋体" w:hAnsi="宋体" w:eastAsia="宋体" w:cs="宋体"/>
              <w:color w:val="auto"/>
              <w:sz w:val="22"/>
              <w:szCs w:val="21"/>
            </w:rPr>
            <w:fldChar w:fldCharType="begin"/>
          </w:r>
          <w:r>
            <w:rPr>
              <w:rFonts w:hint="eastAsia" w:ascii="宋体" w:hAnsi="宋体" w:eastAsia="宋体" w:cs="宋体"/>
              <w:sz w:val="22"/>
              <w:szCs w:val="21"/>
            </w:rPr>
            <w:instrText xml:space="preserve"> HYPERLINK \l _Toc2368 </w:instrText>
          </w:r>
          <w:r>
            <w:rPr>
              <w:rFonts w:hint="eastAsia" w:ascii="宋体" w:hAnsi="宋体" w:eastAsia="宋体" w:cs="宋体"/>
              <w:sz w:val="22"/>
              <w:szCs w:val="21"/>
            </w:rPr>
            <w:fldChar w:fldCharType="separate"/>
          </w:r>
          <w:r>
            <w:rPr>
              <w:rFonts w:hint="eastAsia" w:ascii="宋体" w:hAnsi="宋体" w:eastAsia="宋体" w:cs="宋体"/>
              <w:bCs/>
              <w:sz w:val="22"/>
              <w:szCs w:val="20"/>
              <w:highlight w:val="none"/>
              <w:lang w:val="en-US" w:eastAsia="zh-CN"/>
            </w:rPr>
            <w:t>第二部分  供应商须知前附表</w:t>
          </w:r>
          <w:r>
            <w:rPr>
              <w:sz w:val="22"/>
              <w:szCs w:val="21"/>
            </w:rPr>
            <w:tab/>
          </w:r>
          <w:r>
            <w:rPr>
              <w:sz w:val="22"/>
              <w:szCs w:val="21"/>
            </w:rPr>
            <w:fldChar w:fldCharType="begin"/>
          </w:r>
          <w:r>
            <w:rPr>
              <w:sz w:val="22"/>
              <w:szCs w:val="21"/>
            </w:rPr>
            <w:instrText xml:space="preserve"> PAGEREF _Toc2368 \h </w:instrText>
          </w:r>
          <w:r>
            <w:rPr>
              <w:sz w:val="22"/>
              <w:szCs w:val="21"/>
            </w:rPr>
            <w:fldChar w:fldCharType="separate"/>
          </w:r>
          <w:r>
            <w:rPr>
              <w:sz w:val="22"/>
              <w:szCs w:val="21"/>
            </w:rPr>
            <w:t>6</w:t>
          </w:r>
          <w:r>
            <w:rPr>
              <w:sz w:val="22"/>
              <w:szCs w:val="21"/>
            </w:rPr>
            <w:fldChar w:fldCharType="end"/>
          </w:r>
          <w:r>
            <w:rPr>
              <w:rFonts w:hint="eastAsia" w:ascii="宋体" w:hAnsi="宋体" w:eastAsia="宋体" w:cs="宋体"/>
              <w:color w:val="auto"/>
              <w:sz w:val="22"/>
              <w:szCs w:val="21"/>
            </w:rPr>
            <w:fldChar w:fldCharType="end"/>
          </w:r>
        </w:p>
        <w:p w14:paraId="4EFD1C27">
          <w:pPr>
            <w:pStyle w:val="17"/>
            <w:tabs>
              <w:tab w:val="right" w:leader="dot" w:pos="9746"/>
            </w:tabs>
            <w:spacing w:line="360" w:lineRule="auto"/>
            <w:rPr>
              <w:sz w:val="22"/>
              <w:szCs w:val="21"/>
            </w:rPr>
          </w:pPr>
          <w:r>
            <w:rPr>
              <w:rFonts w:hint="eastAsia" w:ascii="宋体" w:hAnsi="宋体" w:eastAsia="宋体" w:cs="宋体"/>
              <w:color w:val="auto"/>
              <w:sz w:val="22"/>
              <w:szCs w:val="21"/>
            </w:rPr>
            <w:fldChar w:fldCharType="begin"/>
          </w:r>
          <w:r>
            <w:rPr>
              <w:rFonts w:hint="eastAsia" w:ascii="宋体" w:hAnsi="宋体" w:eastAsia="宋体" w:cs="宋体"/>
              <w:sz w:val="22"/>
              <w:szCs w:val="21"/>
            </w:rPr>
            <w:instrText xml:space="preserve"> HYPERLINK \l _Toc29085 </w:instrText>
          </w:r>
          <w:r>
            <w:rPr>
              <w:rFonts w:hint="eastAsia" w:ascii="宋体" w:hAnsi="宋体" w:eastAsia="宋体" w:cs="宋体"/>
              <w:sz w:val="22"/>
              <w:szCs w:val="21"/>
            </w:rPr>
            <w:fldChar w:fldCharType="separate"/>
          </w:r>
          <w:r>
            <w:rPr>
              <w:rFonts w:hint="eastAsia" w:ascii="宋体" w:hAnsi="宋体" w:eastAsia="宋体" w:cs="宋体"/>
              <w:bCs/>
              <w:sz w:val="22"/>
              <w:szCs w:val="20"/>
              <w:highlight w:val="none"/>
              <w:lang w:val="en-US" w:eastAsia="zh-CN"/>
            </w:rPr>
            <w:t>第三部分  供应商须知</w:t>
          </w:r>
          <w:r>
            <w:rPr>
              <w:sz w:val="22"/>
              <w:szCs w:val="21"/>
            </w:rPr>
            <w:tab/>
          </w:r>
          <w:r>
            <w:rPr>
              <w:sz w:val="22"/>
              <w:szCs w:val="21"/>
            </w:rPr>
            <w:fldChar w:fldCharType="begin"/>
          </w:r>
          <w:r>
            <w:rPr>
              <w:sz w:val="22"/>
              <w:szCs w:val="21"/>
            </w:rPr>
            <w:instrText xml:space="preserve"> PAGEREF _Toc29085 \h </w:instrText>
          </w:r>
          <w:r>
            <w:rPr>
              <w:sz w:val="22"/>
              <w:szCs w:val="21"/>
            </w:rPr>
            <w:fldChar w:fldCharType="separate"/>
          </w:r>
          <w:r>
            <w:rPr>
              <w:sz w:val="22"/>
              <w:szCs w:val="21"/>
            </w:rPr>
            <w:t>17</w:t>
          </w:r>
          <w:r>
            <w:rPr>
              <w:sz w:val="22"/>
              <w:szCs w:val="21"/>
            </w:rPr>
            <w:fldChar w:fldCharType="end"/>
          </w:r>
          <w:r>
            <w:rPr>
              <w:rFonts w:hint="eastAsia" w:ascii="宋体" w:hAnsi="宋体" w:eastAsia="宋体" w:cs="宋体"/>
              <w:color w:val="auto"/>
              <w:sz w:val="22"/>
              <w:szCs w:val="21"/>
            </w:rPr>
            <w:fldChar w:fldCharType="end"/>
          </w:r>
        </w:p>
        <w:p w14:paraId="3E90E06B">
          <w:pPr>
            <w:pStyle w:val="17"/>
            <w:tabs>
              <w:tab w:val="right" w:leader="dot" w:pos="9746"/>
            </w:tabs>
            <w:spacing w:line="360" w:lineRule="auto"/>
            <w:rPr>
              <w:sz w:val="22"/>
              <w:szCs w:val="21"/>
            </w:rPr>
          </w:pPr>
          <w:r>
            <w:rPr>
              <w:rFonts w:hint="eastAsia" w:ascii="宋体" w:hAnsi="宋体" w:eastAsia="宋体" w:cs="宋体"/>
              <w:color w:val="auto"/>
              <w:sz w:val="22"/>
              <w:szCs w:val="21"/>
            </w:rPr>
            <w:fldChar w:fldCharType="begin"/>
          </w:r>
          <w:r>
            <w:rPr>
              <w:rFonts w:hint="eastAsia" w:ascii="宋体" w:hAnsi="宋体" w:eastAsia="宋体" w:cs="宋体"/>
              <w:sz w:val="22"/>
              <w:szCs w:val="21"/>
            </w:rPr>
            <w:instrText xml:space="preserve"> HYPERLINK \l _Toc10731 </w:instrText>
          </w:r>
          <w:r>
            <w:rPr>
              <w:rFonts w:hint="eastAsia" w:ascii="宋体" w:hAnsi="宋体" w:eastAsia="宋体" w:cs="宋体"/>
              <w:sz w:val="22"/>
              <w:szCs w:val="21"/>
            </w:rPr>
            <w:fldChar w:fldCharType="separate"/>
          </w:r>
          <w:r>
            <w:rPr>
              <w:rFonts w:hint="eastAsia" w:ascii="宋体" w:hAnsi="宋体" w:eastAsia="宋体" w:cs="宋体"/>
              <w:bCs/>
              <w:sz w:val="22"/>
              <w:szCs w:val="20"/>
              <w:highlight w:val="none"/>
              <w:lang w:val="en-US" w:eastAsia="zh-CN"/>
            </w:rPr>
            <w:t>第四部分  政府采购合同（参考格式）</w:t>
          </w:r>
          <w:r>
            <w:rPr>
              <w:sz w:val="22"/>
              <w:szCs w:val="21"/>
            </w:rPr>
            <w:tab/>
          </w:r>
          <w:r>
            <w:rPr>
              <w:sz w:val="22"/>
              <w:szCs w:val="21"/>
            </w:rPr>
            <w:fldChar w:fldCharType="begin"/>
          </w:r>
          <w:r>
            <w:rPr>
              <w:sz w:val="22"/>
              <w:szCs w:val="21"/>
            </w:rPr>
            <w:instrText xml:space="preserve"> PAGEREF _Toc10731 \h </w:instrText>
          </w:r>
          <w:r>
            <w:rPr>
              <w:sz w:val="22"/>
              <w:szCs w:val="21"/>
            </w:rPr>
            <w:fldChar w:fldCharType="separate"/>
          </w:r>
          <w:r>
            <w:rPr>
              <w:sz w:val="22"/>
              <w:szCs w:val="21"/>
            </w:rPr>
            <w:t>34</w:t>
          </w:r>
          <w:r>
            <w:rPr>
              <w:sz w:val="22"/>
              <w:szCs w:val="21"/>
            </w:rPr>
            <w:fldChar w:fldCharType="end"/>
          </w:r>
          <w:r>
            <w:rPr>
              <w:rFonts w:hint="eastAsia" w:ascii="宋体" w:hAnsi="宋体" w:eastAsia="宋体" w:cs="宋体"/>
              <w:color w:val="auto"/>
              <w:sz w:val="22"/>
              <w:szCs w:val="21"/>
            </w:rPr>
            <w:fldChar w:fldCharType="end"/>
          </w:r>
        </w:p>
        <w:p w14:paraId="588A9679">
          <w:pPr>
            <w:pStyle w:val="17"/>
            <w:tabs>
              <w:tab w:val="right" w:leader="dot" w:pos="9746"/>
            </w:tabs>
            <w:spacing w:line="360" w:lineRule="auto"/>
            <w:rPr>
              <w:sz w:val="22"/>
              <w:szCs w:val="21"/>
            </w:rPr>
          </w:pPr>
          <w:r>
            <w:rPr>
              <w:rFonts w:hint="eastAsia" w:ascii="宋体" w:hAnsi="宋体" w:eastAsia="宋体" w:cs="宋体"/>
              <w:color w:val="auto"/>
              <w:sz w:val="22"/>
              <w:szCs w:val="21"/>
            </w:rPr>
            <w:fldChar w:fldCharType="begin"/>
          </w:r>
          <w:r>
            <w:rPr>
              <w:rFonts w:hint="eastAsia" w:ascii="宋体" w:hAnsi="宋体" w:eastAsia="宋体" w:cs="宋体"/>
              <w:sz w:val="22"/>
              <w:szCs w:val="21"/>
            </w:rPr>
            <w:instrText xml:space="preserve"> HYPERLINK \l _Toc12983 </w:instrText>
          </w:r>
          <w:r>
            <w:rPr>
              <w:rFonts w:hint="eastAsia" w:ascii="宋体" w:hAnsi="宋体" w:eastAsia="宋体" w:cs="宋体"/>
              <w:sz w:val="22"/>
              <w:szCs w:val="21"/>
            </w:rPr>
            <w:fldChar w:fldCharType="separate"/>
          </w:r>
          <w:r>
            <w:rPr>
              <w:rFonts w:hint="eastAsia" w:ascii="宋体" w:hAnsi="宋体" w:eastAsia="宋体" w:cs="宋体"/>
              <w:bCs/>
              <w:sz w:val="22"/>
              <w:szCs w:val="20"/>
              <w:highlight w:val="none"/>
              <w:lang w:val="en-US" w:eastAsia="zh-CN"/>
            </w:rPr>
            <w:t>第五部分</w:t>
          </w:r>
          <w:r>
            <w:rPr>
              <w:rFonts w:hint="eastAsia" w:ascii="宋体" w:hAnsi="宋体" w:eastAsia="宋体" w:cs="宋体"/>
              <w:bCs/>
              <w:sz w:val="22"/>
              <w:szCs w:val="20"/>
              <w:highlight w:val="none"/>
            </w:rPr>
            <w:t xml:space="preserve"> </w:t>
          </w:r>
          <w:r>
            <w:rPr>
              <w:rFonts w:hint="eastAsia" w:ascii="宋体" w:hAnsi="宋体" w:eastAsia="宋体" w:cs="宋体"/>
              <w:bCs/>
              <w:sz w:val="22"/>
              <w:szCs w:val="20"/>
              <w:highlight w:val="none"/>
              <w:lang w:val="en-US" w:eastAsia="zh-CN"/>
            </w:rPr>
            <w:t xml:space="preserve"> </w:t>
          </w:r>
          <w:r>
            <w:rPr>
              <w:rFonts w:hint="eastAsia" w:ascii="宋体" w:hAnsi="宋体" w:eastAsia="宋体" w:cs="宋体"/>
              <w:bCs/>
              <w:sz w:val="22"/>
              <w:szCs w:val="20"/>
              <w:highlight w:val="none"/>
            </w:rPr>
            <w:t>商务要求</w:t>
          </w:r>
          <w:r>
            <w:rPr>
              <w:sz w:val="22"/>
              <w:szCs w:val="21"/>
            </w:rPr>
            <w:tab/>
          </w:r>
          <w:r>
            <w:rPr>
              <w:sz w:val="22"/>
              <w:szCs w:val="21"/>
            </w:rPr>
            <w:fldChar w:fldCharType="begin"/>
          </w:r>
          <w:r>
            <w:rPr>
              <w:sz w:val="22"/>
              <w:szCs w:val="21"/>
            </w:rPr>
            <w:instrText xml:space="preserve"> PAGEREF _Toc12983 \h </w:instrText>
          </w:r>
          <w:r>
            <w:rPr>
              <w:sz w:val="22"/>
              <w:szCs w:val="21"/>
            </w:rPr>
            <w:fldChar w:fldCharType="separate"/>
          </w:r>
          <w:r>
            <w:rPr>
              <w:sz w:val="22"/>
              <w:szCs w:val="21"/>
            </w:rPr>
            <w:t>38</w:t>
          </w:r>
          <w:r>
            <w:rPr>
              <w:sz w:val="22"/>
              <w:szCs w:val="21"/>
            </w:rPr>
            <w:fldChar w:fldCharType="end"/>
          </w:r>
          <w:r>
            <w:rPr>
              <w:rFonts w:hint="eastAsia" w:ascii="宋体" w:hAnsi="宋体" w:eastAsia="宋体" w:cs="宋体"/>
              <w:color w:val="auto"/>
              <w:sz w:val="22"/>
              <w:szCs w:val="21"/>
            </w:rPr>
            <w:fldChar w:fldCharType="end"/>
          </w:r>
        </w:p>
        <w:p w14:paraId="713B242D">
          <w:pPr>
            <w:pStyle w:val="17"/>
            <w:tabs>
              <w:tab w:val="right" w:leader="dot" w:pos="9746"/>
            </w:tabs>
            <w:spacing w:line="360" w:lineRule="auto"/>
            <w:rPr>
              <w:sz w:val="22"/>
              <w:szCs w:val="21"/>
            </w:rPr>
          </w:pPr>
          <w:r>
            <w:rPr>
              <w:rFonts w:hint="eastAsia" w:ascii="宋体" w:hAnsi="宋体" w:eastAsia="宋体" w:cs="宋体"/>
              <w:color w:val="auto"/>
              <w:sz w:val="22"/>
              <w:szCs w:val="21"/>
            </w:rPr>
            <w:fldChar w:fldCharType="begin"/>
          </w:r>
          <w:r>
            <w:rPr>
              <w:rFonts w:hint="eastAsia" w:ascii="宋体" w:hAnsi="宋体" w:eastAsia="宋体" w:cs="宋体"/>
              <w:sz w:val="22"/>
              <w:szCs w:val="21"/>
            </w:rPr>
            <w:instrText xml:space="preserve"> HYPERLINK \l _Toc23559 </w:instrText>
          </w:r>
          <w:r>
            <w:rPr>
              <w:rFonts w:hint="eastAsia" w:ascii="宋体" w:hAnsi="宋体" w:eastAsia="宋体" w:cs="宋体"/>
              <w:sz w:val="22"/>
              <w:szCs w:val="21"/>
            </w:rPr>
            <w:fldChar w:fldCharType="separate"/>
          </w:r>
          <w:r>
            <w:rPr>
              <w:rFonts w:hint="eastAsia" w:ascii="宋体" w:hAnsi="宋体" w:eastAsia="宋体" w:cs="宋体"/>
              <w:bCs/>
              <w:sz w:val="22"/>
              <w:szCs w:val="20"/>
              <w:highlight w:val="none"/>
              <w:lang w:val="en-US" w:eastAsia="zh-CN"/>
            </w:rPr>
            <w:t xml:space="preserve">第六部分  </w:t>
          </w:r>
          <w:r>
            <w:rPr>
              <w:rFonts w:hint="eastAsia" w:ascii="宋体" w:hAnsi="宋体" w:eastAsia="宋体" w:cs="宋体"/>
              <w:bCs/>
              <w:sz w:val="22"/>
              <w:szCs w:val="20"/>
              <w:highlight w:val="none"/>
            </w:rPr>
            <w:t>采购内容及</w:t>
          </w:r>
          <w:r>
            <w:rPr>
              <w:rFonts w:hint="eastAsia" w:ascii="宋体" w:hAnsi="宋体" w:eastAsia="宋体" w:cs="宋体"/>
              <w:bCs/>
              <w:sz w:val="22"/>
              <w:szCs w:val="20"/>
              <w:highlight w:val="none"/>
              <w:lang w:val="en-US" w:eastAsia="zh-CN"/>
            </w:rPr>
            <w:t>技术</w:t>
          </w:r>
          <w:r>
            <w:rPr>
              <w:rFonts w:hint="eastAsia" w:ascii="宋体" w:hAnsi="宋体" w:eastAsia="宋体" w:cs="宋体"/>
              <w:bCs/>
              <w:sz w:val="22"/>
              <w:szCs w:val="20"/>
              <w:highlight w:val="none"/>
            </w:rPr>
            <w:t>要求</w:t>
          </w:r>
          <w:r>
            <w:rPr>
              <w:sz w:val="22"/>
              <w:szCs w:val="21"/>
            </w:rPr>
            <w:tab/>
          </w:r>
          <w:r>
            <w:rPr>
              <w:sz w:val="22"/>
              <w:szCs w:val="21"/>
            </w:rPr>
            <w:fldChar w:fldCharType="begin"/>
          </w:r>
          <w:r>
            <w:rPr>
              <w:sz w:val="22"/>
              <w:szCs w:val="21"/>
            </w:rPr>
            <w:instrText xml:space="preserve"> PAGEREF _Toc23559 \h </w:instrText>
          </w:r>
          <w:r>
            <w:rPr>
              <w:sz w:val="22"/>
              <w:szCs w:val="21"/>
            </w:rPr>
            <w:fldChar w:fldCharType="separate"/>
          </w:r>
          <w:r>
            <w:rPr>
              <w:sz w:val="22"/>
              <w:szCs w:val="21"/>
            </w:rPr>
            <w:t>39</w:t>
          </w:r>
          <w:r>
            <w:rPr>
              <w:sz w:val="22"/>
              <w:szCs w:val="21"/>
            </w:rPr>
            <w:fldChar w:fldCharType="end"/>
          </w:r>
          <w:r>
            <w:rPr>
              <w:rFonts w:hint="eastAsia" w:ascii="宋体" w:hAnsi="宋体" w:eastAsia="宋体" w:cs="宋体"/>
              <w:color w:val="auto"/>
              <w:sz w:val="22"/>
              <w:szCs w:val="21"/>
            </w:rPr>
            <w:fldChar w:fldCharType="end"/>
          </w:r>
        </w:p>
        <w:p w14:paraId="1C72647E">
          <w:pPr>
            <w:pStyle w:val="17"/>
            <w:tabs>
              <w:tab w:val="right" w:leader="dot" w:pos="9746"/>
            </w:tabs>
            <w:spacing w:line="360" w:lineRule="auto"/>
            <w:rPr>
              <w:sz w:val="22"/>
              <w:szCs w:val="21"/>
            </w:rPr>
          </w:pPr>
          <w:r>
            <w:rPr>
              <w:rFonts w:hint="eastAsia" w:ascii="宋体" w:hAnsi="宋体" w:eastAsia="宋体" w:cs="宋体"/>
              <w:color w:val="auto"/>
              <w:sz w:val="22"/>
              <w:szCs w:val="21"/>
            </w:rPr>
            <w:fldChar w:fldCharType="begin"/>
          </w:r>
          <w:r>
            <w:rPr>
              <w:rFonts w:hint="eastAsia" w:ascii="宋体" w:hAnsi="宋体" w:eastAsia="宋体" w:cs="宋体"/>
              <w:sz w:val="22"/>
              <w:szCs w:val="21"/>
            </w:rPr>
            <w:instrText xml:space="preserve"> HYPERLINK \l _Toc19635 </w:instrText>
          </w:r>
          <w:r>
            <w:rPr>
              <w:rFonts w:hint="eastAsia" w:ascii="宋体" w:hAnsi="宋体" w:eastAsia="宋体" w:cs="宋体"/>
              <w:sz w:val="22"/>
              <w:szCs w:val="21"/>
            </w:rPr>
            <w:fldChar w:fldCharType="separate"/>
          </w:r>
          <w:r>
            <w:rPr>
              <w:rFonts w:hint="eastAsia" w:ascii="宋体" w:hAnsi="宋体" w:eastAsia="宋体" w:cs="宋体"/>
              <w:bCs/>
              <w:sz w:val="22"/>
              <w:szCs w:val="20"/>
              <w:highlight w:val="none"/>
            </w:rPr>
            <w:t xml:space="preserve">第七部分 </w:t>
          </w:r>
          <w:r>
            <w:rPr>
              <w:rFonts w:hint="eastAsia" w:ascii="宋体" w:hAnsi="宋体" w:eastAsia="宋体" w:cs="宋体"/>
              <w:bCs/>
              <w:sz w:val="22"/>
              <w:szCs w:val="20"/>
              <w:highlight w:val="none"/>
              <w:lang w:val="en-US" w:eastAsia="zh-CN"/>
            </w:rPr>
            <w:t xml:space="preserve"> </w:t>
          </w:r>
          <w:r>
            <w:rPr>
              <w:rFonts w:hint="eastAsia" w:ascii="宋体" w:hAnsi="宋体" w:eastAsia="宋体" w:cs="宋体"/>
              <w:bCs/>
              <w:sz w:val="22"/>
              <w:szCs w:val="20"/>
              <w:highlight w:val="none"/>
            </w:rPr>
            <w:t>评审方法</w:t>
          </w:r>
          <w:r>
            <w:rPr>
              <w:sz w:val="22"/>
              <w:szCs w:val="21"/>
            </w:rPr>
            <w:tab/>
          </w:r>
          <w:r>
            <w:rPr>
              <w:sz w:val="22"/>
              <w:szCs w:val="21"/>
            </w:rPr>
            <w:fldChar w:fldCharType="begin"/>
          </w:r>
          <w:r>
            <w:rPr>
              <w:sz w:val="22"/>
              <w:szCs w:val="21"/>
            </w:rPr>
            <w:instrText xml:space="preserve"> PAGEREF _Toc19635 \h </w:instrText>
          </w:r>
          <w:r>
            <w:rPr>
              <w:sz w:val="22"/>
              <w:szCs w:val="21"/>
            </w:rPr>
            <w:fldChar w:fldCharType="separate"/>
          </w:r>
          <w:r>
            <w:rPr>
              <w:sz w:val="22"/>
              <w:szCs w:val="21"/>
            </w:rPr>
            <w:t>45</w:t>
          </w:r>
          <w:r>
            <w:rPr>
              <w:sz w:val="22"/>
              <w:szCs w:val="21"/>
            </w:rPr>
            <w:fldChar w:fldCharType="end"/>
          </w:r>
          <w:r>
            <w:rPr>
              <w:rFonts w:hint="eastAsia" w:ascii="宋体" w:hAnsi="宋体" w:eastAsia="宋体" w:cs="宋体"/>
              <w:color w:val="auto"/>
              <w:sz w:val="22"/>
              <w:szCs w:val="21"/>
            </w:rPr>
            <w:fldChar w:fldCharType="end"/>
          </w:r>
        </w:p>
        <w:p w14:paraId="68BDA2D6">
          <w:pPr>
            <w:pStyle w:val="17"/>
            <w:tabs>
              <w:tab w:val="right" w:leader="dot" w:pos="9746"/>
            </w:tabs>
            <w:spacing w:line="360" w:lineRule="auto"/>
            <w:rPr>
              <w:sz w:val="22"/>
              <w:szCs w:val="21"/>
            </w:rPr>
          </w:pPr>
          <w:r>
            <w:rPr>
              <w:rFonts w:hint="eastAsia" w:ascii="宋体" w:hAnsi="宋体" w:eastAsia="宋体" w:cs="宋体"/>
              <w:color w:val="auto"/>
              <w:sz w:val="22"/>
              <w:szCs w:val="21"/>
            </w:rPr>
            <w:fldChar w:fldCharType="begin"/>
          </w:r>
          <w:r>
            <w:rPr>
              <w:rFonts w:hint="eastAsia" w:ascii="宋体" w:hAnsi="宋体" w:eastAsia="宋体" w:cs="宋体"/>
              <w:sz w:val="22"/>
              <w:szCs w:val="21"/>
            </w:rPr>
            <w:instrText xml:space="preserve"> HYPERLINK \l _Toc30128 </w:instrText>
          </w:r>
          <w:r>
            <w:rPr>
              <w:rFonts w:hint="eastAsia" w:ascii="宋体" w:hAnsi="宋体" w:eastAsia="宋体" w:cs="宋体"/>
              <w:sz w:val="22"/>
              <w:szCs w:val="21"/>
            </w:rPr>
            <w:fldChar w:fldCharType="separate"/>
          </w:r>
          <w:r>
            <w:rPr>
              <w:rFonts w:hint="eastAsia" w:ascii="宋体" w:hAnsi="宋体" w:eastAsia="宋体" w:cs="宋体"/>
              <w:bCs/>
              <w:sz w:val="22"/>
              <w:szCs w:val="20"/>
              <w:highlight w:val="none"/>
            </w:rPr>
            <w:t>第八部分  竞争性谈判响应文件格式</w:t>
          </w:r>
          <w:r>
            <w:rPr>
              <w:sz w:val="22"/>
              <w:szCs w:val="21"/>
            </w:rPr>
            <w:tab/>
          </w:r>
          <w:r>
            <w:rPr>
              <w:sz w:val="22"/>
              <w:szCs w:val="21"/>
            </w:rPr>
            <w:fldChar w:fldCharType="begin"/>
          </w:r>
          <w:r>
            <w:rPr>
              <w:sz w:val="22"/>
              <w:szCs w:val="21"/>
            </w:rPr>
            <w:instrText xml:space="preserve"> PAGEREF _Toc30128 \h </w:instrText>
          </w:r>
          <w:r>
            <w:rPr>
              <w:sz w:val="22"/>
              <w:szCs w:val="21"/>
            </w:rPr>
            <w:fldChar w:fldCharType="separate"/>
          </w:r>
          <w:r>
            <w:rPr>
              <w:sz w:val="22"/>
              <w:szCs w:val="21"/>
            </w:rPr>
            <w:t>50</w:t>
          </w:r>
          <w:r>
            <w:rPr>
              <w:sz w:val="22"/>
              <w:szCs w:val="21"/>
            </w:rPr>
            <w:fldChar w:fldCharType="end"/>
          </w:r>
          <w:r>
            <w:rPr>
              <w:rFonts w:hint="eastAsia" w:ascii="宋体" w:hAnsi="宋体" w:eastAsia="宋体" w:cs="宋体"/>
              <w:color w:val="auto"/>
              <w:sz w:val="22"/>
              <w:szCs w:val="21"/>
            </w:rPr>
            <w:fldChar w:fldCharType="end"/>
          </w:r>
        </w:p>
        <w:p w14:paraId="3E111560">
          <w:pPr>
            <w:pStyle w:val="17"/>
            <w:tabs>
              <w:tab w:val="right" w:leader="dot" w:pos="9746"/>
            </w:tabs>
            <w:spacing w:line="360" w:lineRule="auto"/>
          </w:pPr>
          <w:r>
            <w:rPr>
              <w:rFonts w:hint="eastAsia" w:ascii="宋体" w:hAnsi="宋体" w:eastAsia="宋体" w:cs="宋体"/>
              <w:color w:val="auto"/>
              <w:sz w:val="22"/>
              <w:szCs w:val="21"/>
            </w:rPr>
            <w:fldChar w:fldCharType="begin"/>
          </w:r>
          <w:r>
            <w:rPr>
              <w:rFonts w:hint="eastAsia" w:ascii="宋体" w:hAnsi="宋体" w:eastAsia="宋体" w:cs="宋体"/>
              <w:sz w:val="22"/>
              <w:szCs w:val="21"/>
            </w:rPr>
            <w:instrText xml:space="preserve"> HYPERLINK \l _Toc12569 </w:instrText>
          </w:r>
          <w:r>
            <w:rPr>
              <w:rFonts w:hint="eastAsia" w:ascii="宋体" w:hAnsi="宋体" w:eastAsia="宋体" w:cs="宋体"/>
              <w:sz w:val="22"/>
              <w:szCs w:val="21"/>
            </w:rPr>
            <w:fldChar w:fldCharType="separate"/>
          </w:r>
          <w:r>
            <w:rPr>
              <w:rFonts w:hint="eastAsia" w:ascii="宋体" w:hAnsi="宋体" w:eastAsia="宋体" w:cs="宋体"/>
              <w:bCs/>
              <w:sz w:val="22"/>
              <w:szCs w:val="18"/>
              <w:highlight w:val="none"/>
            </w:rPr>
            <w:t>第九部分  附件</w:t>
          </w:r>
          <w:r>
            <w:rPr>
              <w:sz w:val="22"/>
              <w:szCs w:val="21"/>
            </w:rPr>
            <w:tab/>
          </w:r>
          <w:r>
            <w:rPr>
              <w:sz w:val="22"/>
              <w:szCs w:val="21"/>
            </w:rPr>
            <w:fldChar w:fldCharType="begin"/>
          </w:r>
          <w:r>
            <w:rPr>
              <w:sz w:val="22"/>
              <w:szCs w:val="21"/>
            </w:rPr>
            <w:instrText xml:space="preserve"> PAGEREF _Toc12569 \h </w:instrText>
          </w:r>
          <w:r>
            <w:rPr>
              <w:sz w:val="22"/>
              <w:szCs w:val="21"/>
            </w:rPr>
            <w:fldChar w:fldCharType="separate"/>
          </w:r>
          <w:r>
            <w:rPr>
              <w:sz w:val="22"/>
              <w:szCs w:val="21"/>
            </w:rPr>
            <w:t>70</w:t>
          </w:r>
          <w:r>
            <w:rPr>
              <w:sz w:val="22"/>
              <w:szCs w:val="21"/>
            </w:rPr>
            <w:fldChar w:fldCharType="end"/>
          </w:r>
          <w:r>
            <w:rPr>
              <w:rFonts w:hint="eastAsia" w:ascii="宋体" w:hAnsi="宋体" w:eastAsia="宋体" w:cs="宋体"/>
              <w:color w:val="auto"/>
              <w:sz w:val="22"/>
              <w:szCs w:val="21"/>
            </w:rPr>
            <w:fldChar w:fldCharType="end"/>
          </w:r>
        </w:p>
        <w:p w14:paraId="3A2AB2A1">
          <w:pPr>
            <w:pStyle w:val="17"/>
            <w:tabs>
              <w:tab w:val="right" w:leader="dot" w:pos="9746"/>
            </w:tabs>
          </w:pPr>
        </w:p>
        <w:p w14:paraId="6BBC4471">
          <w:pPr>
            <w:spacing w:line="360" w:lineRule="auto"/>
            <w:rPr>
              <w:rFonts w:hint="eastAsia" w:ascii="宋体" w:hAnsi="宋体" w:eastAsia="宋体" w:cs="宋体"/>
              <w:bCs/>
              <w:color w:val="auto"/>
              <w:szCs w:val="24"/>
              <w:highlight w:val="none"/>
            </w:rPr>
          </w:pPr>
          <w:r>
            <w:rPr>
              <w:rFonts w:hint="eastAsia" w:ascii="宋体" w:hAnsi="宋体" w:eastAsia="宋体" w:cs="宋体"/>
              <w:color w:val="auto"/>
            </w:rPr>
            <w:fldChar w:fldCharType="end"/>
          </w:r>
        </w:p>
      </w:sdtContent>
    </w:sdt>
    <w:p w14:paraId="753C4E7E">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提示：供应商应认真检查竞争性谈判文件是否完整，若发现缺页或附件不全时，应及时向采购代理机构提出，以便补齐；在获取后2日内未提出，则视为招标文件完整、无误</w:t>
      </w:r>
      <w:r>
        <w:rPr>
          <w:rFonts w:hint="eastAsia" w:ascii="宋体" w:hAnsi="宋体" w:eastAsia="宋体" w:cs="宋体"/>
          <w:bCs/>
          <w:color w:val="auto"/>
          <w:highlight w:val="none"/>
        </w:rPr>
        <w:t>。</w:t>
      </w:r>
    </w:p>
    <w:p w14:paraId="42279488">
      <w:pPr>
        <w:rPr>
          <w:rFonts w:hint="eastAsia" w:ascii="宋体" w:hAnsi="宋体" w:eastAsia="宋体" w:cs="宋体"/>
          <w:bCs/>
          <w:color w:val="auto"/>
          <w:sz w:val="24"/>
          <w:szCs w:val="24"/>
          <w:highlight w:val="none"/>
        </w:rPr>
      </w:pPr>
    </w:p>
    <w:p w14:paraId="39DB7E5F">
      <w:pPr>
        <w:ind w:firstLine="420"/>
        <w:rPr>
          <w:rFonts w:hint="eastAsia" w:ascii="宋体" w:hAnsi="宋体" w:eastAsia="宋体" w:cs="宋体"/>
          <w:bCs/>
          <w:color w:val="auto"/>
          <w:sz w:val="24"/>
          <w:szCs w:val="24"/>
          <w:highlight w:val="none"/>
        </w:rPr>
        <w:sectPr>
          <w:headerReference r:id="rId6" w:type="default"/>
          <w:footerReference r:id="rId7" w:type="default"/>
          <w:footnotePr>
            <w:pos w:val="beneathText"/>
          </w:footnotePr>
          <w:pgSz w:w="11906" w:h="16838"/>
          <w:pgMar w:top="1440" w:right="1080" w:bottom="1440" w:left="1080" w:header="851" w:footer="992" w:gutter="0"/>
          <w:pgNumType w:start="1"/>
          <w:cols w:space="720" w:num="1"/>
          <w:docGrid w:type="lines" w:linePitch="312" w:charSpace="0"/>
        </w:sectPr>
      </w:pPr>
    </w:p>
    <w:p w14:paraId="6CD9BDDF">
      <w:pPr>
        <w:pStyle w:val="2"/>
        <w:spacing w:line="240" w:lineRule="auto"/>
        <w:jc w:val="center"/>
        <w:rPr>
          <w:rFonts w:hint="eastAsia" w:ascii="宋体" w:hAnsi="宋体" w:eastAsia="宋体" w:cs="宋体"/>
          <w:b w:val="0"/>
          <w:bCs/>
          <w:color w:val="auto"/>
          <w:sz w:val="40"/>
          <w:szCs w:val="18"/>
          <w:highlight w:val="none"/>
          <w:lang w:val="en-US" w:eastAsia="zh-CN"/>
        </w:rPr>
      </w:pPr>
      <w:bookmarkStart w:id="12" w:name="_Toc21078"/>
      <w:bookmarkStart w:id="13" w:name="_Toc18791"/>
      <w:bookmarkStart w:id="14" w:name="_Toc14186"/>
      <w:bookmarkStart w:id="15" w:name="_Toc14990"/>
      <w:bookmarkStart w:id="16" w:name="_Toc10778"/>
      <w:bookmarkStart w:id="17" w:name="_Toc22608"/>
      <w:bookmarkStart w:id="18" w:name="_Toc31266"/>
      <w:bookmarkStart w:id="19" w:name="_Toc28283"/>
      <w:bookmarkStart w:id="20" w:name="_Toc22118"/>
      <w:bookmarkStart w:id="21" w:name="_Toc4933"/>
      <w:r>
        <w:rPr>
          <w:rFonts w:hint="eastAsia" w:ascii="宋体" w:hAnsi="宋体" w:eastAsia="宋体" w:cs="宋体"/>
          <w:b w:val="0"/>
          <w:bCs/>
          <w:color w:val="auto"/>
          <w:sz w:val="40"/>
          <w:szCs w:val="18"/>
          <w:highlight w:val="none"/>
          <w:lang w:val="en-US" w:eastAsia="zh-CN"/>
        </w:rPr>
        <w:t>第一部分</w:t>
      </w:r>
      <w:bookmarkEnd w:id="0"/>
      <w:r>
        <w:rPr>
          <w:rFonts w:hint="eastAsia" w:ascii="宋体" w:hAnsi="宋体" w:eastAsia="宋体" w:cs="宋体"/>
          <w:b w:val="0"/>
          <w:bCs/>
          <w:color w:val="auto"/>
          <w:sz w:val="40"/>
          <w:szCs w:val="18"/>
          <w:highlight w:val="none"/>
          <w:lang w:val="en-US" w:eastAsia="zh-CN"/>
        </w:rPr>
        <w:t xml:space="preserve">  竞争性谈判公告</w:t>
      </w:r>
      <w:bookmarkEnd w:id="1"/>
      <w:bookmarkEnd w:id="2"/>
      <w:bookmarkEnd w:id="3"/>
      <w:bookmarkEnd w:id="4"/>
      <w:bookmarkEnd w:id="5"/>
      <w:bookmarkEnd w:id="6"/>
      <w:bookmarkEnd w:id="12"/>
      <w:bookmarkEnd w:id="13"/>
      <w:bookmarkEnd w:id="14"/>
      <w:bookmarkEnd w:id="15"/>
      <w:bookmarkEnd w:id="16"/>
      <w:bookmarkEnd w:id="17"/>
      <w:bookmarkEnd w:id="18"/>
      <w:bookmarkEnd w:id="19"/>
      <w:bookmarkEnd w:id="20"/>
      <w:bookmarkEnd w:id="21"/>
    </w:p>
    <w:p w14:paraId="0E6AFA7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val="0"/>
          <w:bCs w:val="0"/>
          <w:sz w:val="24"/>
          <w:szCs w:val="24"/>
        </w:rPr>
      </w:pPr>
      <w:bookmarkStart w:id="22" w:name="_Toc15149"/>
      <w:bookmarkStart w:id="23" w:name="_Toc6594"/>
      <w:bookmarkStart w:id="24" w:name="_Toc21055"/>
      <w:bookmarkStart w:id="25" w:name="_Toc17537"/>
      <w:bookmarkStart w:id="26" w:name="_Toc11309"/>
      <w:bookmarkStart w:id="27" w:name="_Toc12632"/>
      <w:bookmarkStart w:id="28" w:name="_Toc22488"/>
      <w:bookmarkStart w:id="29" w:name="OLE_LINK15"/>
      <w:bookmarkStart w:id="30" w:name="OLE_LINK6"/>
      <w:bookmarkStart w:id="31" w:name="_Toc246928892"/>
      <w:bookmarkStart w:id="32" w:name="OLE_LINK5"/>
      <w:r>
        <w:rPr>
          <w:rStyle w:val="27"/>
          <w:rFonts w:hint="eastAsia" w:ascii="宋体" w:hAnsi="宋体" w:eastAsia="宋体" w:cs="宋体"/>
          <w:b/>
          <w:bCs/>
          <w:i w:val="0"/>
          <w:iCs w:val="0"/>
          <w:caps w:val="0"/>
          <w:color w:val="333333"/>
          <w:spacing w:val="0"/>
          <w:sz w:val="24"/>
          <w:szCs w:val="24"/>
          <w:shd w:val="clear" w:fill="FFFFFF"/>
        </w:rPr>
        <w:t>项目概况</w:t>
      </w:r>
    </w:p>
    <w:p w14:paraId="2CF8992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绥德县城市公益性公墓殡仪馆建设项目岩土工程勘察服务采购(二次)采购项目的潜在供应商应在</w:t>
      </w:r>
      <w:r>
        <w:rPr>
          <w:rFonts w:hint="eastAsia" w:ascii="宋体" w:hAnsi="宋体" w:eastAsia="宋体" w:cs="宋体"/>
          <w:i w:val="0"/>
          <w:iCs w:val="0"/>
          <w:caps w:val="0"/>
          <w:color w:val="0A82E5"/>
          <w:spacing w:val="0"/>
          <w:sz w:val="24"/>
          <w:szCs w:val="24"/>
          <w:shd w:val="clear" w:fill="FFFFFF"/>
        </w:rPr>
        <w:t>登录全国公共资源交易中心平台（陕西省）使用 CA 锁报名后自行下载</w:t>
      </w:r>
      <w:r>
        <w:rPr>
          <w:rFonts w:hint="eastAsia" w:ascii="宋体" w:hAnsi="宋体" w:eastAsia="宋体" w:cs="宋体"/>
          <w:i w:val="0"/>
          <w:iCs w:val="0"/>
          <w:caps w:val="0"/>
          <w:color w:val="333333"/>
          <w:spacing w:val="0"/>
          <w:sz w:val="24"/>
          <w:szCs w:val="24"/>
          <w:shd w:val="clear" w:fill="FFFFFF"/>
        </w:rPr>
        <w:t>获取采购文件，并于</w:t>
      </w:r>
      <w:r>
        <w:rPr>
          <w:rFonts w:hint="eastAsia" w:ascii="宋体" w:hAnsi="宋体" w:eastAsia="宋体" w:cs="宋体"/>
          <w:i w:val="0"/>
          <w:iCs w:val="0"/>
          <w:caps w:val="0"/>
          <w:color w:val="0A82E5"/>
          <w:spacing w:val="0"/>
          <w:sz w:val="24"/>
          <w:szCs w:val="24"/>
          <w:shd w:val="clear" w:fill="FFFFFF"/>
        </w:rPr>
        <w:t> 2026年07月29日 09时30分 </w:t>
      </w:r>
      <w:r>
        <w:rPr>
          <w:rFonts w:hint="eastAsia" w:ascii="宋体" w:hAnsi="宋体" w:eastAsia="宋体" w:cs="宋体"/>
          <w:i w:val="0"/>
          <w:iCs w:val="0"/>
          <w:caps w:val="0"/>
          <w:color w:val="333333"/>
          <w:spacing w:val="0"/>
          <w:sz w:val="24"/>
          <w:szCs w:val="24"/>
          <w:shd w:val="clear" w:fill="FFFFFF"/>
        </w:rPr>
        <w:t>（北京时间）前提交响应文件。</w:t>
      </w:r>
    </w:p>
    <w:p w14:paraId="3AF133B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Lines="0" w:beforeAutospacing="0" w:after="0" w:afterLines="0" w:afterAutospacing="0" w:line="360" w:lineRule="auto"/>
        <w:ind w:left="0" w:right="0" w:firstLine="482" w:firstLineChars="200"/>
        <w:jc w:val="left"/>
        <w:textAlignment w:val="auto"/>
        <w:rPr>
          <w:rFonts w:hint="eastAsia" w:ascii="宋体" w:hAnsi="宋体" w:eastAsia="宋体" w:cs="宋体"/>
          <w:b w:val="0"/>
          <w:bCs w:val="0"/>
          <w:i w:val="0"/>
          <w:iCs w:val="0"/>
          <w:caps w:val="0"/>
          <w:color w:val="333333"/>
          <w:spacing w:val="0"/>
          <w:sz w:val="24"/>
          <w:szCs w:val="24"/>
        </w:rPr>
      </w:pPr>
      <w:r>
        <w:rPr>
          <w:rStyle w:val="27"/>
          <w:rFonts w:hint="eastAsia" w:ascii="宋体" w:hAnsi="宋体" w:eastAsia="宋体" w:cs="宋体"/>
          <w:b/>
          <w:bCs/>
          <w:i w:val="0"/>
          <w:iCs w:val="0"/>
          <w:caps w:val="0"/>
          <w:color w:val="333333"/>
          <w:spacing w:val="0"/>
          <w:sz w:val="24"/>
          <w:szCs w:val="24"/>
          <w:shd w:val="clear" w:fill="FFFFFF"/>
        </w:rPr>
        <w:t>一、项目基本情况</w:t>
      </w:r>
    </w:p>
    <w:p w14:paraId="17A83B5C">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项目编号：SXCG-PZ-2026003.1B1</w:t>
      </w:r>
    </w:p>
    <w:p w14:paraId="63132BA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项目名称：绥德县城市公益性公墓殡仪馆建设项目岩土工程勘察服务采购(二次)</w:t>
      </w:r>
    </w:p>
    <w:p w14:paraId="53146CE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采购方式：竞争性谈判</w:t>
      </w:r>
    </w:p>
    <w:p w14:paraId="62FBC4A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预算金额：780,610.00元</w:t>
      </w:r>
    </w:p>
    <w:p w14:paraId="58BA32D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采购需求：</w:t>
      </w:r>
    </w:p>
    <w:p w14:paraId="31C09FB2">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合同包1(绥德县城市公益性公墓殡仪馆建设项目岩土工程勘察服务采购):</w:t>
      </w:r>
    </w:p>
    <w:p w14:paraId="3211187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合同包预算金额：780,610.00元</w:t>
      </w:r>
    </w:p>
    <w:p w14:paraId="74622EA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合同包最高限价：780,610.00元</w:t>
      </w:r>
    </w:p>
    <w:tbl>
      <w:tblPr>
        <w:tblStyle w:val="24"/>
        <w:tblW w:w="1033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14"/>
        <w:gridCol w:w="1687"/>
        <w:gridCol w:w="4463"/>
        <w:gridCol w:w="799"/>
        <w:gridCol w:w="1333"/>
        <w:gridCol w:w="1440"/>
      </w:tblGrid>
      <w:tr w14:paraId="5CC6E8B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10" w:hRule="atLeast"/>
          <w:tblHeader/>
        </w:trPr>
        <w:tc>
          <w:tcPr>
            <w:tcW w:w="68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9D2287">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237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58F8A2">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371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5D90B0">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84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426117">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160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1C44B0">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11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C475E7">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0E6A91E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25"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74BF76">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F16FC4">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地质勘测服务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D12F47">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绥德县城市公益性公墓殡仪馆建设项目岩土工程勘察服务采购</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D614AF">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8F9F0BA">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8AC898">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780,610.00</w:t>
            </w:r>
          </w:p>
        </w:tc>
      </w:tr>
    </w:tbl>
    <w:p w14:paraId="5371AFB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本合同包不接受联合体投标</w:t>
      </w:r>
    </w:p>
    <w:p w14:paraId="5B7EEC6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合同履行期限：同服务期</w:t>
      </w:r>
    </w:p>
    <w:p w14:paraId="63A83D6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Lines="0" w:beforeAutospacing="0" w:after="0" w:afterLines="0" w:afterAutospacing="0" w:line="360" w:lineRule="auto"/>
        <w:ind w:left="0" w:right="0" w:firstLine="482" w:firstLineChars="200"/>
        <w:jc w:val="left"/>
        <w:textAlignment w:val="auto"/>
        <w:rPr>
          <w:rFonts w:hint="eastAsia" w:ascii="宋体" w:hAnsi="宋体" w:eastAsia="宋体" w:cs="宋体"/>
          <w:b w:val="0"/>
          <w:bCs w:val="0"/>
          <w:i w:val="0"/>
          <w:iCs w:val="0"/>
          <w:caps w:val="0"/>
          <w:color w:val="333333"/>
          <w:spacing w:val="0"/>
          <w:sz w:val="24"/>
          <w:szCs w:val="24"/>
        </w:rPr>
      </w:pPr>
      <w:r>
        <w:rPr>
          <w:rStyle w:val="27"/>
          <w:rFonts w:hint="eastAsia" w:ascii="宋体" w:hAnsi="宋体" w:eastAsia="宋体" w:cs="宋体"/>
          <w:b/>
          <w:bCs/>
          <w:i w:val="0"/>
          <w:iCs w:val="0"/>
          <w:caps w:val="0"/>
          <w:color w:val="333333"/>
          <w:spacing w:val="0"/>
          <w:sz w:val="24"/>
          <w:szCs w:val="24"/>
          <w:shd w:val="clear" w:fill="FFFFFF"/>
        </w:rPr>
        <w:t>二、申请人的资格要求：</w:t>
      </w:r>
    </w:p>
    <w:p w14:paraId="305C2F4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1.满足《中华人民共和国政府采购法》第二十二条规定;</w:t>
      </w:r>
    </w:p>
    <w:p w14:paraId="10EFFE02">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2.落实政府采购政策需满足的资格要求：</w:t>
      </w:r>
    </w:p>
    <w:p w14:paraId="2E2F1C4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合同包1(绥德县城市公益性公墓殡仪馆建设项目岩土工程勘察服务采购)落实政府采购政策需满足的资格要求如下:</w:t>
      </w:r>
    </w:p>
    <w:p w14:paraId="6CA69B8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（1）《政府采购促进中小企业发展管理办法》（财库〔2020〕46号）；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（2）《财政部、司法部关于政府采购支持监狱企业发展有关问题的通知》（财库〔2014〕68号）；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（3）《财政部、民政部、中国残疾人联合会关于促进残疾人就业政府采购政策的通知》（财库[2017]141号）；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（4）《财政部关于进一步加大政府采购支持中小企业力度的通知》（财库〔2022〕19号）；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（5）《陕西省财政厅关于落实政府采购支持中小企业政策有关事项的通知》（陕财办采〔2022〕10号）；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（6）财政部、国家发展改革委关于印发《节能产品政府采购实施意见》的通知（财库[2004]185号）；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（7）《国务院办公厅关于建立政府强制采购节能产品制度的通知》（国办发〔2007〕51号）；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（8）《财政部、国家环保总局关于环境标志产品政府采购实施的意见》（财库[2006]90号）；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（9）《财政部、发展改革委、生态环境部、市场监管总局关于调整优化节能产品、环境标志产品政府采购执行机制的通知》（财库〔2019〕9号）；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（10）陕西省财政厅《关于进一步加强政府绿色采购有关问题的通知》（陕财办采〔2021〕29号）；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（11）《关于扩大政府采购支持绿色建材促进建筑品质提升政策实施范围的通知》财库〔2022〕35号；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（12）《财政部 农业农村部 国家乡村振兴局关于运用政府采购政策支持乡村产业振兴的通知》(财库〔2021〕19号)；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（13）关于印发《关于深入开展政府采购脱贫地区农副产品工作推进乡村产业振兴的实施意见》的通知 财库〔2021〕20号；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（14）陕西省财政厅关于印发《陕西省中小企业政府采购信用融资办法》（陕财办采〔2018〕23号）；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（15）《国务院办公厅关于在政府采购中实施本国产品标准及相关政策的通知》（国办发〔2025〕34号）；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（16）《陕西省财政厅关于进一步加大政府采购支持中小企业力度的通知》(陕财采发〔2022〕5号)；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（17）《榆林市财政局关于进一步加大政府采购支持中小企业力度的通知》（榆政财采发〔2022〕10号)；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18）为了进一步推动金融支持政策更好适应市场主体的需要，扎实落实国务院关于支持中小企业发展的政策措施，积极发挥政府釆购政策功能，有效缓解中小企业融资难、融资贵问题，根据中办、国办《关于促进中小企业健康发展的指导意见》、财政部、工信部《政府采购促进中小企业发展管理办法》（财库〔2020〕46号）、《陕西省中小企业政府釆购信用融资办法》（陕财办采[2018]23号）、《陕西省财政厅关于加快推进我省中小企业政府采购信用融资工作的通知》（陕财办釆［2020］15号）等有关规定，按照市场主导、财政引导、银企自愿、风险自担的原则，中标（成交）供应商可根据自身资金需求，登录陕西省政府采购信用融资平台（http://www.ccgp-shaanxi.gov.cn/zcdservice/zcd/shanxi/）在线申请，依法参加政府采购信用融资活动。目前的合作银行有：北京银行、中国建设银行、中信银行、中国平安银行、中国光大银行、浦发银行、兴业银行、中国工商银行、秦农银行、浙商银行、中国银行、西安银行、中国农业银行、中国邮政储蓄银行（排名不分先后）；</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（19）其他需要落实的政府采购政策（如有最新颁布的政府采购政策，按最新文件执行）。</w:t>
      </w:r>
    </w:p>
    <w:p w14:paraId="1A9FD63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3.本项目的特定资格要求：</w:t>
      </w:r>
    </w:p>
    <w:p w14:paraId="37F1598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合同包1(绥德县城市公益性公墓殡仪馆建设项目岩土工程勘察服务采购)特定资格要求如下:</w:t>
      </w:r>
    </w:p>
    <w:p w14:paraId="2E2793E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(1)供应商具有独立承担民事责任能力的法人、其他组织或自然人，并出具合法有效的营业执照或事业单位法人证书等国家规定的相关证明，自然人参与的提供其身份证明；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  (2)供应商须具有履行合同所必需的设备和专业技术能力（提供相关证明材料或承诺书）；</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  (3)税收缴纳证明：提供2025年09月至今已缴纳的至少一个月的纳税证明或完税证明，依法免税的单位应提供相关证明材料；</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  (4)社会保障资金缴纳证明：提供2025年09月至今已缴存的至少一个月的社会保障资金缴存单据或社保机构开具的社会保险参保缴费情况证明，依法不需要缴纳社会保障资金的单位应提供相关证明材料；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  (5)财务状况报告：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或自然人提供银行出具的资信证明或财务报表；</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  (6)供应商不得为“信用中国”网站（www.creditchina.gov.cn）中列入严重失信主体名单和重大税收违法失信主体名单的供应商，不得为中国政府采购网（www.ccgp.gov.cn）政府采购严重违法失信行为记录名单中被财政部门禁止参加政府采购活动的供应商；（提供查询结果网页截图并加盖供应商公章查询日期为从公告之日起至投标截止日前）有以上不良记录的不得参与评审活动，同时提供供应商信用承诺书；</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  (7)参加政府采购活动前三年内，在经营活动中没有重大违法记录的书面声明；</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  (8)本项目采用投标信用承诺书代替投标保证金，提供信用中国（陕西榆林）承诺网页截图；</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  (9)本项目专门面向中小企业采购（须提供中小企业声明函）；</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  (10)供应商须具备相关行政主管部门颁发的【工程勘察综合资质甲级】或【工程勘察（岩土工程勘察）专业乙级】及以上资质和地质灾害评估和治理工程勘查设计乙级及以上资质；拟派项目负责人具备注册土木工程师（岩土）执业资格，并在本单位登记注册。</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注：本项目不接受联合体投标，单位负责人为同一人或者存在直接控股、管理关系的不同供应商，不得参加同一合同项下的政府采购活动。</w:t>
      </w:r>
    </w:p>
    <w:p w14:paraId="31C662F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Lines="0" w:beforeAutospacing="0" w:after="0" w:afterLines="0" w:afterAutospacing="0" w:line="360" w:lineRule="auto"/>
        <w:ind w:left="0" w:right="0" w:firstLine="482" w:firstLineChars="200"/>
        <w:jc w:val="left"/>
        <w:textAlignment w:val="auto"/>
        <w:rPr>
          <w:rFonts w:hint="eastAsia" w:ascii="宋体" w:hAnsi="宋体" w:eastAsia="宋体" w:cs="宋体"/>
          <w:b w:val="0"/>
          <w:bCs w:val="0"/>
          <w:i w:val="0"/>
          <w:iCs w:val="0"/>
          <w:caps w:val="0"/>
          <w:color w:val="333333"/>
          <w:spacing w:val="0"/>
          <w:sz w:val="24"/>
          <w:szCs w:val="24"/>
        </w:rPr>
      </w:pPr>
      <w:r>
        <w:rPr>
          <w:rStyle w:val="27"/>
          <w:rFonts w:hint="eastAsia" w:ascii="宋体" w:hAnsi="宋体" w:eastAsia="宋体" w:cs="宋体"/>
          <w:b/>
          <w:bCs/>
          <w:i w:val="0"/>
          <w:iCs w:val="0"/>
          <w:caps w:val="0"/>
          <w:color w:val="333333"/>
          <w:spacing w:val="0"/>
          <w:sz w:val="24"/>
          <w:szCs w:val="24"/>
          <w:shd w:val="clear" w:fill="FFFFFF"/>
        </w:rPr>
        <w:t>三、获取采购文件</w:t>
      </w:r>
    </w:p>
    <w:p w14:paraId="4445A6A2">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时间：</w:t>
      </w:r>
      <w:r>
        <w:rPr>
          <w:rFonts w:hint="eastAsia" w:ascii="宋体" w:hAnsi="宋体" w:eastAsia="宋体" w:cs="宋体"/>
          <w:i w:val="0"/>
          <w:iCs w:val="0"/>
          <w:caps w:val="0"/>
          <w:color w:val="0A82E5"/>
          <w:spacing w:val="0"/>
          <w:sz w:val="24"/>
          <w:szCs w:val="24"/>
          <w:shd w:val="clear" w:fill="FFFFFF"/>
        </w:rPr>
        <w:t> 2026年07月24日 至 2026年07月28日 ，每天上午 08:00:00 至 12:00:00 ，下午 12:00:00 至 18:00:00 （北京时间）</w:t>
      </w:r>
    </w:p>
    <w:p w14:paraId="1BCABBA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途径：</w:t>
      </w:r>
      <w:r>
        <w:rPr>
          <w:rFonts w:hint="eastAsia" w:ascii="宋体" w:hAnsi="宋体" w:eastAsia="宋体" w:cs="宋体"/>
          <w:i w:val="0"/>
          <w:iCs w:val="0"/>
          <w:caps w:val="0"/>
          <w:color w:val="0A82E5"/>
          <w:spacing w:val="0"/>
          <w:sz w:val="24"/>
          <w:szCs w:val="24"/>
          <w:shd w:val="clear" w:fill="FFFFFF"/>
        </w:rPr>
        <w:t>登录全国公共资源交易中心平台（陕西省）使用 CA 锁报名后自行下载</w:t>
      </w:r>
    </w:p>
    <w:p w14:paraId="7D200FC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方式：</w:t>
      </w:r>
      <w:r>
        <w:rPr>
          <w:rFonts w:hint="eastAsia" w:ascii="宋体" w:hAnsi="宋体" w:eastAsia="宋体" w:cs="宋体"/>
          <w:i w:val="0"/>
          <w:iCs w:val="0"/>
          <w:caps w:val="0"/>
          <w:color w:val="0A82E5"/>
          <w:spacing w:val="0"/>
          <w:sz w:val="24"/>
          <w:szCs w:val="24"/>
          <w:shd w:val="clear" w:fill="FFFFFF"/>
        </w:rPr>
        <w:t>在线获取</w:t>
      </w:r>
    </w:p>
    <w:p w14:paraId="5E43BF3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售价：</w:t>
      </w:r>
      <w:r>
        <w:rPr>
          <w:rFonts w:hint="eastAsia" w:ascii="宋体" w:hAnsi="宋体" w:eastAsia="宋体" w:cs="宋体"/>
          <w:i w:val="0"/>
          <w:iCs w:val="0"/>
          <w:caps w:val="0"/>
          <w:color w:val="0A82E5"/>
          <w:spacing w:val="0"/>
          <w:sz w:val="24"/>
          <w:szCs w:val="24"/>
          <w:shd w:val="clear" w:fill="FFFFFF"/>
        </w:rPr>
        <w:t> 0元</w:t>
      </w:r>
    </w:p>
    <w:p w14:paraId="4961EF5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Lines="0" w:beforeAutospacing="0" w:after="0" w:afterLines="0" w:afterAutospacing="0" w:line="360" w:lineRule="auto"/>
        <w:ind w:left="0" w:right="0" w:firstLine="482" w:firstLineChars="200"/>
        <w:jc w:val="left"/>
        <w:textAlignment w:val="auto"/>
        <w:rPr>
          <w:rFonts w:hint="eastAsia" w:ascii="宋体" w:hAnsi="宋体" w:eastAsia="宋体" w:cs="宋体"/>
          <w:b w:val="0"/>
          <w:bCs w:val="0"/>
          <w:i w:val="0"/>
          <w:iCs w:val="0"/>
          <w:caps w:val="0"/>
          <w:color w:val="333333"/>
          <w:spacing w:val="0"/>
          <w:sz w:val="24"/>
          <w:szCs w:val="24"/>
        </w:rPr>
      </w:pPr>
      <w:r>
        <w:rPr>
          <w:rStyle w:val="27"/>
          <w:rFonts w:hint="eastAsia" w:ascii="宋体" w:hAnsi="宋体" w:eastAsia="宋体" w:cs="宋体"/>
          <w:b/>
          <w:bCs/>
          <w:i w:val="0"/>
          <w:iCs w:val="0"/>
          <w:caps w:val="0"/>
          <w:color w:val="333333"/>
          <w:spacing w:val="0"/>
          <w:sz w:val="24"/>
          <w:szCs w:val="24"/>
          <w:shd w:val="clear" w:fill="FFFFFF"/>
        </w:rPr>
        <w:t>四、响应文件提交</w:t>
      </w:r>
    </w:p>
    <w:p w14:paraId="0B4B4212">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截止时间：</w:t>
      </w:r>
      <w:r>
        <w:rPr>
          <w:rFonts w:hint="eastAsia" w:ascii="宋体" w:hAnsi="宋体" w:eastAsia="宋体" w:cs="宋体"/>
          <w:i w:val="0"/>
          <w:iCs w:val="0"/>
          <w:caps w:val="0"/>
          <w:color w:val="0A82E5"/>
          <w:spacing w:val="0"/>
          <w:sz w:val="24"/>
          <w:szCs w:val="24"/>
          <w:shd w:val="clear" w:fill="FFFFFF"/>
        </w:rPr>
        <w:t> 2026年07月29日 09时30分00秒 </w:t>
      </w:r>
      <w:r>
        <w:rPr>
          <w:rFonts w:hint="eastAsia" w:ascii="宋体" w:hAnsi="宋体" w:eastAsia="宋体" w:cs="宋体"/>
          <w:i w:val="0"/>
          <w:iCs w:val="0"/>
          <w:caps w:val="0"/>
          <w:color w:val="333333"/>
          <w:spacing w:val="0"/>
          <w:sz w:val="24"/>
          <w:szCs w:val="24"/>
          <w:shd w:val="clear" w:fill="FFFFFF"/>
        </w:rPr>
        <w:t>（北京时间）</w:t>
      </w:r>
    </w:p>
    <w:p w14:paraId="49DBF3C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地点：</w:t>
      </w:r>
      <w:r>
        <w:rPr>
          <w:rFonts w:hint="eastAsia" w:ascii="宋体" w:hAnsi="宋体" w:eastAsia="宋体" w:cs="宋体"/>
          <w:i w:val="0"/>
          <w:iCs w:val="0"/>
          <w:caps w:val="0"/>
          <w:color w:val="0A82E5"/>
          <w:spacing w:val="0"/>
          <w:sz w:val="24"/>
          <w:szCs w:val="24"/>
          <w:shd w:val="clear" w:fill="FFFFFF"/>
        </w:rPr>
        <w:t>不见面开标，网上递交</w:t>
      </w:r>
    </w:p>
    <w:p w14:paraId="31D8842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Lines="0" w:beforeAutospacing="0" w:after="0" w:afterLines="0" w:afterAutospacing="0" w:line="360" w:lineRule="auto"/>
        <w:ind w:left="0" w:right="0" w:firstLine="482" w:firstLineChars="200"/>
        <w:jc w:val="left"/>
        <w:textAlignment w:val="auto"/>
        <w:rPr>
          <w:rFonts w:hint="eastAsia" w:ascii="宋体" w:hAnsi="宋体" w:eastAsia="宋体" w:cs="宋体"/>
          <w:b w:val="0"/>
          <w:bCs w:val="0"/>
          <w:i w:val="0"/>
          <w:iCs w:val="0"/>
          <w:caps w:val="0"/>
          <w:color w:val="333333"/>
          <w:spacing w:val="0"/>
          <w:sz w:val="24"/>
          <w:szCs w:val="24"/>
        </w:rPr>
      </w:pPr>
      <w:r>
        <w:rPr>
          <w:rStyle w:val="27"/>
          <w:rFonts w:hint="eastAsia" w:ascii="宋体" w:hAnsi="宋体" w:eastAsia="宋体" w:cs="宋体"/>
          <w:b/>
          <w:bCs/>
          <w:i w:val="0"/>
          <w:iCs w:val="0"/>
          <w:caps w:val="0"/>
          <w:color w:val="333333"/>
          <w:spacing w:val="0"/>
          <w:sz w:val="24"/>
          <w:szCs w:val="24"/>
          <w:shd w:val="clear" w:fill="FFFFFF"/>
        </w:rPr>
        <w:t>五、开启</w:t>
      </w:r>
    </w:p>
    <w:p w14:paraId="0399A6A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时间：</w:t>
      </w:r>
      <w:r>
        <w:rPr>
          <w:rFonts w:hint="eastAsia" w:ascii="宋体" w:hAnsi="宋体" w:eastAsia="宋体" w:cs="宋体"/>
          <w:i w:val="0"/>
          <w:iCs w:val="0"/>
          <w:caps w:val="0"/>
          <w:color w:val="0A82E5"/>
          <w:spacing w:val="0"/>
          <w:sz w:val="24"/>
          <w:szCs w:val="24"/>
          <w:shd w:val="clear" w:fill="FFFFFF"/>
        </w:rPr>
        <w:t> 2026年07月29日 09时30分00秒 </w:t>
      </w:r>
      <w:r>
        <w:rPr>
          <w:rFonts w:hint="eastAsia" w:ascii="宋体" w:hAnsi="宋体" w:eastAsia="宋体" w:cs="宋体"/>
          <w:i w:val="0"/>
          <w:iCs w:val="0"/>
          <w:caps w:val="0"/>
          <w:color w:val="333333"/>
          <w:spacing w:val="0"/>
          <w:sz w:val="24"/>
          <w:szCs w:val="24"/>
          <w:shd w:val="clear" w:fill="FFFFFF"/>
        </w:rPr>
        <w:t>（北京时间）</w:t>
      </w:r>
    </w:p>
    <w:p w14:paraId="04D46BB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地点：</w:t>
      </w:r>
      <w:r>
        <w:rPr>
          <w:rFonts w:hint="eastAsia" w:ascii="宋体" w:hAnsi="宋体" w:eastAsia="宋体" w:cs="宋体"/>
          <w:i w:val="0"/>
          <w:iCs w:val="0"/>
          <w:caps w:val="0"/>
          <w:color w:val="0A82E5"/>
          <w:spacing w:val="0"/>
          <w:sz w:val="24"/>
          <w:szCs w:val="24"/>
          <w:shd w:val="clear" w:fill="FFFFFF"/>
        </w:rPr>
        <w:t>不见面开标，网上递交</w:t>
      </w:r>
    </w:p>
    <w:p w14:paraId="77BDD06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Lines="0" w:beforeAutospacing="0" w:after="0" w:afterLines="0" w:afterAutospacing="0" w:line="360" w:lineRule="auto"/>
        <w:ind w:left="0" w:right="0" w:firstLine="482" w:firstLineChars="200"/>
        <w:jc w:val="left"/>
        <w:textAlignment w:val="auto"/>
        <w:rPr>
          <w:rFonts w:hint="eastAsia" w:ascii="宋体" w:hAnsi="宋体" w:eastAsia="宋体" w:cs="宋体"/>
          <w:b w:val="0"/>
          <w:bCs w:val="0"/>
          <w:i w:val="0"/>
          <w:iCs w:val="0"/>
          <w:caps w:val="0"/>
          <w:color w:val="333333"/>
          <w:spacing w:val="0"/>
          <w:sz w:val="24"/>
          <w:szCs w:val="24"/>
        </w:rPr>
      </w:pPr>
      <w:r>
        <w:rPr>
          <w:rStyle w:val="27"/>
          <w:rFonts w:hint="eastAsia" w:ascii="宋体" w:hAnsi="宋体" w:eastAsia="宋体" w:cs="宋体"/>
          <w:b/>
          <w:bCs/>
          <w:i w:val="0"/>
          <w:iCs w:val="0"/>
          <w:caps w:val="0"/>
          <w:color w:val="333333"/>
          <w:spacing w:val="0"/>
          <w:sz w:val="24"/>
          <w:szCs w:val="24"/>
          <w:shd w:val="clear" w:fill="FFFFFF"/>
        </w:rPr>
        <w:t>六、公告期限</w:t>
      </w:r>
    </w:p>
    <w:p w14:paraId="6BB3BFC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自本公告发布之日起</w:t>
      </w:r>
      <w:r>
        <w:rPr>
          <w:rFonts w:hint="eastAsia" w:ascii="宋体" w:hAnsi="宋体" w:eastAsia="宋体" w:cs="宋体"/>
          <w:i w:val="0"/>
          <w:iCs w:val="0"/>
          <w:caps w:val="0"/>
          <w:color w:val="0A82E5"/>
          <w:spacing w:val="0"/>
          <w:sz w:val="24"/>
          <w:szCs w:val="24"/>
          <w:shd w:val="clear" w:fill="FFFFFF"/>
        </w:rPr>
        <w:t>3</w:t>
      </w:r>
      <w:r>
        <w:rPr>
          <w:rFonts w:hint="eastAsia" w:ascii="宋体" w:hAnsi="宋体" w:eastAsia="宋体" w:cs="宋体"/>
          <w:i w:val="0"/>
          <w:iCs w:val="0"/>
          <w:caps w:val="0"/>
          <w:color w:val="333333"/>
          <w:spacing w:val="0"/>
          <w:sz w:val="24"/>
          <w:szCs w:val="24"/>
          <w:shd w:val="clear" w:fill="FFFFFF"/>
        </w:rPr>
        <w:t>个工作日。</w:t>
      </w:r>
    </w:p>
    <w:p w14:paraId="454C46A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Lines="0" w:beforeAutospacing="0" w:after="0" w:afterLines="0" w:afterAutospacing="0" w:line="360" w:lineRule="auto"/>
        <w:ind w:left="0" w:right="0" w:firstLine="482" w:firstLineChars="200"/>
        <w:jc w:val="left"/>
        <w:textAlignment w:val="auto"/>
        <w:rPr>
          <w:rFonts w:hint="eastAsia" w:ascii="宋体" w:hAnsi="宋体" w:eastAsia="宋体" w:cs="宋体"/>
          <w:b w:val="0"/>
          <w:bCs w:val="0"/>
          <w:i w:val="0"/>
          <w:iCs w:val="0"/>
          <w:caps w:val="0"/>
          <w:color w:val="333333"/>
          <w:spacing w:val="0"/>
          <w:sz w:val="24"/>
          <w:szCs w:val="24"/>
        </w:rPr>
      </w:pPr>
      <w:r>
        <w:rPr>
          <w:rStyle w:val="27"/>
          <w:rFonts w:hint="eastAsia" w:ascii="宋体" w:hAnsi="宋体" w:eastAsia="宋体" w:cs="宋体"/>
          <w:b/>
          <w:bCs/>
          <w:i w:val="0"/>
          <w:iCs w:val="0"/>
          <w:caps w:val="0"/>
          <w:color w:val="333333"/>
          <w:spacing w:val="0"/>
          <w:sz w:val="24"/>
          <w:szCs w:val="24"/>
          <w:shd w:val="clear" w:fill="FFFFFF"/>
        </w:rPr>
        <w:t>七、其他补充事宜</w:t>
      </w:r>
    </w:p>
    <w:p w14:paraId="15E9C04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A82E5"/>
          <w:spacing w:val="0"/>
          <w:kern w:val="0"/>
          <w:sz w:val="24"/>
          <w:szCs w:val="24"/>
          <w:shd w:val="clear" w:fill="FFFFFF"/>
          <w:lang w:val="en-US" w:eastAsia="zh-CN" w:bidi="ar"/>
        </w:rPr>
        <w:t>1.供应商可登录全国公共资源交易中心平台(陕西省) (http://www.sxggzyjy.cn/) ,选择“电子交易平台-陕西 政府采购交易系统-陕西 省公共资源交易平台-供应商”进行登录，登录后选择“交易乙方”身份进入供应商界面进行报名并免费下载竞争性谈判文件。</w:t>
      </w:r>
    </w:p>
    <w:p w14:paraId="4B843ED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A82E5"/>
          <w:spacing w:val="0"/>
          <w:kern w:val="0"/>
          <w:sz w:val="24"/>
          <w:szCs w:val="24"/>
          <w:shd w:val="clear" w:fill="FFFFFF"/>
          <w:lang w:val="en-US" w:eastAsia="zh-CN" w:bidi="ar"/>
        </w:rPr>
        <w:t>2.本项目采用电子化招投标的方式，供应商使用数字认证证书 (CA锁) 对投标文件进行签章、加密、递交及开标时解密等相关招投标事宜。</w:t>
      </w:r>
    </w:p>
    <w:p w14:paraId="5340520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A82E5"/>
          <w:spacing w:val="0"/>
          <w:kern w:val="0"/>
          <w:sz w:val="24"/>
          <w:szCs w:val="24"/>
          <w:shd w:val="clear" w:fill="FFFFFF"/>
          <w:lang w:val="en-US" w:eastAsia="zh-CN" w:bidi="ar"/>
        </w:rPr>
        <w:t>3.电子谈判响应文件制作软件技术支持热线：400-998-0000  ，CA 锁购买：榆林市市民大厦三楼窗口,电话：0912-3515031。</w:t>
      </w:r>
    </w:p>
    <w:p w14:paraId="77E6054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A82E5"/>
          <w:spacing w:val="0"/>
          <w:kern w:val="0"/>
          <w:sz w:val="24"/>
          <w:szCs w:val="24"/>
          <w:shd w:val="clear" w:fill="FFFFFF"/>
          <w:lang w:val="en-US" w:eastAsia="zh-CN" w:bidi="ar"/>
        </w:rPr>
        <w:t>4.请各供应商获取竞争性谈判文件后，按照陕西省财政厅《关于政府采购投标供应商注册登记有关事项的通知》要求，通过陕西省政府采购 (http://www.ccgp-shaanxi.gov.cn/) 注册登记加入陕西省政府采购投标供应商库。</w:t>
      </w:r>
    </w:p>
    <w:p w14:paraId="432CF27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A82E5"/>
          <w:spacing w:val="0"/>
          <w:kern w:val="0"/>
          <w:sz w:val="24"/>
          <w:szCs w:val="24"/>
          <w:shd w:val="clear" w:fill="FFFFFF"/>
          <w:lang w:val="en-US" w:eastAsia="zh-CN" w:bidi="ar"/>
        </w:rPr>
        <w:t>5.本项目采用“不见面”开标形式，不见面开标系统操作手册下载方式：登录【全国公共资源交易平台(陕西省)】 网站首页选择【服务指南】-【下载专区】 -点击【关于陕西省公共资源交易平台多CA 互认系统正式上线运行的通知】进行下载。</w:t>
      </w:r>
    </w:p>
    <w:p w14:paraId="72F2D82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Lines="0" w:beforeAutospacing="0" w:after="0" w:afterLines="0" w:afterAutospacing="0" w:line="360" w:lineRule="auto"/>
        <w:ind w:left="0" w:right="0" w:firstLine="482" w:firstLineChars="200"/>
        <w:jc w:val="left"/>
        <w:textAlignment w:val="auto"/>
        <w:rPr>
          <w:rFonts w:hint="eastAsia" w:ascii="宋体" w:hAnsi="宋体" w:eastAsia="宋体" w:cs="宋体"/>
          <w:b w:val="0"/>
          <w:bCs w:val="0"/>
          <w:i w:val="0"/>
          <w:iCs w:val="0"/>
          <w:caps w:val="0"/>
          <w:color w:val="333333"/>
          <w:spacing w:val="0"/>
          <w:sz w:val="24"/>
          <w:szCs w:val="24"/>
        </w:rPr>
      </w:pPr>
      <w:r>
        <w:rPr>
          <w:rStyle w:val="27"/>
          <w:rFonts w:hint="eastAsia" w:ascii="宋体" w:hAnsi="宋体" w:eastAsia="宋体" w:cs="宋体"/>
          <w:b/>
          <w:bCs/>
          <w:i w:val="0"/>
          <w:iCs w:val="0"/>
          <w:caps w:val="0"/>
          <w:color w:val="333333"/>
          <w:spacing w:val="0"/>
          <w:sz w:val="24"/>
          <w:szCs w:val="24"/>
          <w:shd w:val="clear" w:fill="FFFFFF"/>
        </w:rPr>
        <w:t>八、对本次招标提出询问，请按以下方式联系。</w:t>
      </w:r>
    </w:p>
    <w:p w14:paraId="0D853F2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1.采购人信息</w:t>
      </w:r>
    </w:p>
    <w:p w14:paraId="23E5A64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名称：</w:t>
      </w:r>
      <w:r>
        <w:rPr>
          <w:rFonts w:hint="eastAsia" w:ascii="宋体" w:hAnsi="宋体" w:eastAsia="宋体" w:cs="宋体"/>
          <w:i w:val="0"/>
          <w:iCs w:val="0"/>
          <w:caps w:val="0"/>
          <w:color w:val="0A82E5"/>
          <w:spacing w:val="0"/>
          <w:sz w:val="24"/>
          <w:szCs w:val="24"/>
          <w:shd w:val="clear" w:fill="FFFFFF"/>
        </w:rPr>
        <w:t>绥德县民政局</w:t>
      </w:r>
    </w:p>
    <w:p w14:paraId="5CCA4E72">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地址：</w:t>
      </w:r>
      <w:r>
        <w:rPr>
          <w:rFonts w:hint="eastAsia" w:ascii="宋体" w:hAnsi="宋体" w:eastAsia="宋体" w:cs="宋体"/>
          <w:i w:val="0"/>
          <w:iCs w:val="0"/>
          <w:caps w:val="0"/>
          <w:color w:val="0A82E5"/>
          <w:spacing w:val="0"/>
          <w:sz w:val="24"/>
          <w:szCs w:val="24"/>
          <w:shd w:val="clear" w:fill="FFFFFF"/>
        </w:rPr>
        <w:t>绥德县名州镇小街4号</w:t>
      </w:r>
    </w:p>
    <w:p w14:paraId="1503685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联系方式：</w:t>
      </w:r>
      <w:r>
        <w:rPr>
          <w:rFonts w:hint="eastAsia" w:ascii="宋体" w:hAnsi="宋体" w:eastAsia="宋体" w:cs="宋体"/>
          <w:i w:val="0"/>
          <w:iCs w:val="0"/>
          <w:caps w:val="0"/>
          <w:color w:val="0A82E5"/>
          <w:spacing w:val="0"/>
          <w:sz w:val="24"/>
          <w:szCs w:val="24"/>
          <w:shd w:val="clear" w:fill="FFFFFF"/>
        </w:rPr>
        <w:t>19566544444</w:t>
      </w:r>
    </w:p>
    <w:p w14:paraId="244A6AA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2.采购代理机构信息</w:t>
      </w:r>
    </w:p>
    <w:p w14:paraId="39C9C84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名称：</w:t>
      </w:r>
      <w:r>
        <w:rPr>
          <w:rFonts w:hint="eastAsia" w:ascii="宋体" w:hAnsi="宋体" w:eastAsia="宋体" w:cs="宋体"/>
          <w:i w:val="0"/>
          <w:iCs w:val="0"/>
          <w:caps w:val="0"/>
          <w:color w:val="0A82E5"/>
          <w:spacing w:val="0"/>
          <w:sz w:val="24"/>
          <w:szCs w:val="24"/>
          <w:shd w:val="clear" w:fill="FFFFFF"/>
        </w:rPr>
        <w:t>鹏泽项目管理有限公司</w:t>
      </w:r>
    </w:p>
    <w:p w14:paraId="6CF3623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地址：</w:t>
      </w:r>
      <w:r>
        <w:rPr>
          <w:rFonts w:hint="eastAsia" w:ascii="宋体" w:hAnsi="宋体" w:eastAsia="宋体" w:cs="宋体"/>
          <w:i w:val="0"/>
          <w:iCs w:val="0"/>
          <w:caps w:val="0"/>
          <w:color w:val="0A82E5"/>
          <w:spacing w:val="0"/>
          <w:sz w:val="24"/>
          <w:szCs w:val="24"/>
          <w:shd w:val="clear" w:fill="FFFFFF"/>
        </w:rPr>
        <w:t>陕西省汉中市南郑区陕西省汉中市南郑区中所营街道办董家营村一组（董家营十字）</w:t>
      </w:r>
    </w:p>
    <w:p w14:paraId="00C0B33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联系方式：</w:t>
      </w:r>
      <w:r>
        <w:rPr>
          <w:rFonts w:hint="eastAsia" w:ascii="宋体" w:hAnsi="宋体" w:eastAsia="宋体" w:cs="宋体"/>
          <w:i w:val="0"/>
          <w:iCs w:val="0"/>
          <w:caps w:val="0"/>
          <w:color w:val="0A82E5"/>
          <w:spacing w:val="0"/>
          <w:sz w:val="24"/>
          <w:szCs w:val="24"/>
          <w:shd w:val="clear" w:fill="FFFFFF"/>
        </w:rPr>
        <w:t>18009160592</w:t>
      </w:r>
    </w:p>
    <w:p w14:paraId="303527D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3.项目联系方式</w:t>
      </w:r>
    </w:p>
    <w:p w14:paraId="37414AD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项目联系人：</w:t>
      </w:r>
      <w:r>
        <w:rPr>
          <w:rFonts w:hint="eastAsia" w:ascii="宋体" w:hAnsi="宋体" w:eastAsia="宋体" w:cs="宋体"/>
          <w:i w:val="0"/>
          <w:iCs w:val="0"/>
          <w:caps w:val="0"/>
          <w:color w:val="0A82E5"/>
          <w:spacing w:val="0"/>
          <w:sz w:val="24"/>
          <w:szCs w:val="24"/>
          <w:shd w:val="clear" w:fill="FFFFFF"/>
        </w:rPr>
        <w:t>鹏泽项目管理有限公司</w:t>
      </w:r>
    </w:p>
    <w:p w14:paraId="4973092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电话：</w:t>
      </w:r>
      <w:r>
        <w:rPr>
          <w:rFonts w:hint="eastAsia" w:ascii="宋体" w:hAnsi="宋体" w:eastAsia="宋体" w:cs="宋体"/>
          <w:i w:val="0"/>
          <w:iCs w:val="0"/>
          <w:caps w:val="0"/>
          <w:color w:val="0A82E5"/>
          <w:spacing w:val="0"/>
          <w:sz w:val="24"/>
          <w:szCs w:val="24"/>
          <w:shd w:val="clear" w:fill="FFFFFF"/>
        </w:rPr>
        <w:t>18009160592</w:t>
      </w:r>
    </w:p>
    <w:p w14:paraId="3AD4050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fill="FFFFFF"/>
        </w:rPr>
      </w:pPr>
    </w:p>
    <w:p w14:paraId="2ABDB9F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fill="FFFFFF"/>
        </w:rPr>
      </w:pPr>
    </w:p>
    <w:p w14:paraId="5328736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fill="FFFFFF"/>
        </w:rPr>
      </w:pPr>
    </w:p>
    <w:p w14:paraId="53620AF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p>
    <w:p w14:paraId="021CFBFE">
      <w:pPr>
        <w:pStyle w:val="21"/>
        <w:widowControl/>
        <w:wordWrap/>
        <w:spacing w:before="0" w:beforeAutospacing="0" w:after="0" w:afterAutospacing="0" w:line="320" w:lineRule="atLeast"/>
        <w:ind w:firstLine="320"/>
        <w:jc w:val="right"/>
        <w:rPr>
          <w:rFonts w:hint="eastAsia" w:ascii="宋体" w:hAnsi="宋体" w:eastAsia="宋体" w:cs="宋体"/>
          <w:color w:val="auto"/>
          <w:sz w:val="28"/>
          <w:szCs w:val="28"/>
          <w:highlight w:val="none"/>
          <w:shd w:val="clear" w:color="auto" w:fill="FFFFFF"/>
          <w:lang w:eastAsia="zh-CN"/>
        </w:rPr>
      </w:pPr>
      <w:r>
        <w:rPr>
          <w:rFonts w:hint="eastAsia" w:ascii="宋体" w:hAnsi="宋体" w:eastAsia="宋体" w:cs="宋体"/>
          <w:color w:val="auto"/>
          <w:sz w:val="28"/>
          <w:szCs w:val="28"/>
          <w:highlight w:val="none"/>
          <w:shd w:val="clear" w:color="auto" w:fill="FFFFFF"/>
          <w:lang w:eastAsia="zh-CN"/>
        </w:rPr>
        <w:t>鹏泽项目管理有限公司</w:t>
      </w:r>
    </w:p>
    <w:p w14:paraId="0F84DF66">
      <w:pPr>
        <w:pStyle w:val="21"/>
        <w:widowControl/>
        <w:spacing w:before="0" w:beforeAutospacing="0" w:after="0" w:afterAutospacing="0" w:line="480" w:lineRule="atLeast"/>
        <w:ind w:firstLine="480"/>
        <w:jc w:val="right"/>
        <w:rPr>
          <w:rFonts w:hint="eastAsia" w:ascii="宋体" w:hAnsi="宋体" w:eastAsia="宋体" w:cs="宋体"/>
          <w:color w:val="auto"/>
          <w:sz w:val="28"/>
          <w:szCs w:val="28"/>
          <w:highlight w:val="none"/>
          <w:shd w:val="clear" w:color="auto" w:fill="FFFFFF"/>
        </w:rPr>
      </w:pPr>
      <w:r>
        <w:rPr>
          <w:rFonts w:hint="eastAsia" w:ascii="宋体" w:hAnsi="宋体" w:eastAsia="宋体" w:cs="宋体"/>
          <w:color w:val="auto"/>
          <w:sz w:val="28"/>
          <w:szCs w:val="28"/>
          <w:highlight w:val="none"/>
          <w:shd w:val="clear" w:color="auto" w:fill="FFFFFF"/>
        </w:rPr>
        <w:t>202</w:t>
      </w:r>
      <w:r>
        <w:rPr>
          <w:rFonts w:hint="eastAsia" w:ascii="宋体" w:hAnsi="宋体" w:eastAsia="宋体" w:cs="宋体"/>
          <w:color w:val="auto"/>
          <w:sz w:val="28"/>
          <w:szCs w:val="28"/>
          <w:highlight w:val="none"/>
          <w:shd w:val="clear" w:color="auto" w:fill="FFFFFF"/>
          <w:lang w:val="en-US" w:eastAsia="zh-CN"/>
        </w:rPr>
        <w:t>6</w:t>
      </w:r>
      <w:r>
        <w:rPr>
          <w:rFonts w:hint="eastAsia" w:ascii="宋体" w:hAnsi="宋体" w:eastAsia="宋体" w:cs="宋体"/>
          <w:color w:val="auto"/>
          <w:sz w:val="28"/>
          <w:szCs w:val="28"/>
          <w:highlight w:val="none"/>
          <w:shd w:val="clear" w:color="auto" w:fill="FFFFFF"/>
        </w:rPr>
        <w:t>年</w:t>
      </w:r>
      <w:r>
        <w:rPr>
          <w:rFonts w:hint="eastAsia" w:ascii="宋体" w:hAnsi="宋体" w:eastAsia="宋体" w:cs="宋体"/>
          <w:color w:val="auto"/>
          <w:sz w:val="28"/>
          <w:szCs w:val="28"/>
          <w:highlight w:val="none"/>
          <w:shd w:val="clear" w:color="auto" w:fill="FFFFFF"/>
          <w:lang w:val="en-US" w:eastAsia="zh-CN"/>
        </w:rPr>
        <w:t>07</w:t>
      </w:r>
      <w:r>
        <w:rPr>
          <w:rFonts w:hint="eastAsia" w:ascii="宋体" w:hAnsi="宋体" w:eastAsia="宋体" w:cs="宋体"/>
          <w:color w:val="auto"/>
          <w:sz w:val="28"/>
          <w:szCs w:val="28"/>
          <w:highlight w:val="none"/>
          <w:shd w:val="clear" w:color="auto" w:fill="FFFFFF"/>
        </w:rPr>
        <w:t>月</w:t>
      </w:r>
      <w:r>
        <w:rPr>
          <w:rFonts w:hint="eastAsia" w:ascii="宋体" w:hAnsi="宋体" w:eastAsia="宋体" w:cs="宋体"/>
          <w:color w:val="auto"/>
          <w:sz w:val="28"/>
          <w:szCs w:val="28"/>
          <w:highlight w:val="none"/>
          <w:shd w:val="clear" w:color="auto" w:fill="FFFFFF"/>
          <w:lang w:val="en-US" w:eastAsia="zh-CN"/>
        </w:rPr>
        <w:t>09</w:t>
      </w:r>
      <w:r>
        <w:rPr>
          <w:rFonts w:hint="eastAsia" w:ascii="宋体" w:hAnsi="宋体" w:eastAsia="宋体" w:cs="宋体"/>
          <w:color w:val="auto"/>
          <w:sz w:val="28"/>
          <w:szCs w:val="28"/>
          <w:highlight w:val="none"/>
          <w:shd w:val="clear" w:color="auto" w:fill="FFFFFF"/>
        </w:rPr>
        <w:t>日</w:t>
      </w:r>
    </w:p>
    <w:p w14:paraId="13064B61">
      <w:pPr>
        <w:pStyle w:val="2"/>
        <w:snapToGrid w:val="0"/>
        <w:spacing w:line="460" w:lineRule="exact"/>
        <w:jc w:val="right"/>
        <w:rPr>
          <w:rFonts w:hint="eastAsia" w:ascii="宋体" w:hAnsi="宋体" w:eastAsia="宋体" w:cs="宋体"/>
          <w:b w:val="0"/>
          <w:bCs/>
          <w:color w:val="auto"/>
          <w:sz w:val="28"/>
          <w:szCs w:val="28"/>
          <w:highlight w:val="none"/>
        </w:rPr>
        <w:sectPr>
          <w:headerReference r:id="rId8" w:type="default"/>
          <w:footerReference r:id="rId9" w:type="default"/>
          <w:footnotePr>
            <w:pos w:val="beneathText"/>
          </w:footnotePr>
          <w:pgSz w:w="11906" w:h="16838"/>
          <w:pgMar w:top="1440" w:right="1080" w:bottom="1440" w:left="1080" w:header="964" w:footer="1134" w:gutter="0"/>
          <w:pgNumType w:fmt="decimal" w:start="1"/>
          <w:cols w:space="720" w:num="1"/>
          <w:docGrid w:type="lines" w:linePitch="312" w:charSpace="0"/>
        </w:sectPr>
      </w:pPr>
    </w:p>
    <w:p w14:paraId="213C3011">
      <w:pPr>
        <w:pStyle w:val="2"/>
        <w:spacing w:line="240" w:lineRule="auto"/>
        <w:jc w:val="center"/>
        <w:rPr>
          <w:rFonts w:hint="eastAsia" w:ascii="宋体" w:hAnsi="宋体" w:eastAsia="宋体" w:cs="宋体"/>
          <w:b w:val="0"/>
          <w:bCs/>
          <w:color w:val="auto"/>
          <w:sz w:val="40"/>
          <w:szCs w:val="18"/>
          <w:highlight w:val="none"/>
          <w:lang w:val="en-US" w:eastAsia="zh-CN"/>
        </w:rPr>
      </w:pPr>
      <w:bookmarkStart w:id="33" w:name="_Toc25408"/>
      <w:bookmarkStart w:id="34" w:name="_Toc2368"/>
      <w:bookmarkStart w:id="35" w:name="_Toc31218"/>
      <w:r>
        <w:rPr>
          <w:rFonts w:hint="eastAsia" w:ascii="宋体" w:hAnsi="宋体" w:eastAsia="宋体" w:cs="宋体"/>
          <w:b w:val="0"/>
          <w:bCs/>
          <w:color w:val="auto"/>
          <w:sz w:val="40"/>
          <w:szCs w:val="18"/>
          <w:highlight w:val="none"/>
          <w:lang w:val="en-US" w:eastAsia="zh-CN"/>
        </w:rPr>
        <w:t>第二部分  供应商须知前附表</w:t>
      </w:r>
      <w:bookmarkEnd w:id="22"/>
      <w:bookmarkEnd w:id="23"/>
      <w:bookmarkEnd w:id="24"/>
      <w:bookmarkEnd w:id="25"/>
      <w:bookmarkEnd w:id="26"/>
      <w:bookmarkEnd w:id="27"/>
      <w:bookmarkEnd w:id="28"/>
      <w:bookmarkEnd w:id="33"/>
      <w:bookmarkEnd w:id="34"/>
      <w:bookmarkEnd w:id="35"/>
    </w:p>
    <w:tbl>
      <w:tblPr>
        <w:tblStyle w:val="24"/>
        <w:tblW w:w="97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9088"/>
      </w:tblGrid>
      <w:tr w14:paraId="32869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698" w:type="dxa"/>
            <w:noWrap w:val="0"/>
            <w:vAlign w:val="center"/>
          </w:tcPr>
          <w:p w14:paraId="5C314979">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项号</w:t>
            </w:r>
          </w:p>
        </w:tc>
        <w:tc>
          <w:tcPr>
            <w:tcW w:w="9088" w:type="dxa"/>
            <w:noWrap w:val="0"/>
            <w:vAlign w:val="center"/>
          </w:tcPr>
          <w:p w14:paraId="27339528">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编列内容</w:t>
            </w:r>
          </w:p>
        </w:tc>
      </w:tr>
      <w:tr w14:paraId="2EAAC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98" w:type="dxa"/>
            <w:noWrap w:val="0"/>
            <w:vAlign w:val="center"/>
          </w:tcPr>
          <w:p w14:paraId="09DE28DD">
            <w:pPr>
              <w:numPr>
                <w:ilvl w:val="0"/>
                <w:numId w:val="1"/>
              </w:numPr>
              <w:spacing w:line="360" w:lineRule="auto"/>
              <w:jc w:val="center"/>
              <w:rPr>
                <w:rFonts w:hint="eastAsia" w:ascii="宋体" w:hAnsi="宋体" w:eastAsia="宋体" w:cs="宋体"/>
                <w:bCs/>
                <w:color w:val="auto"/>
                <w:sz w:val="24"/>
                <w:szCs w:val="24"/>
                <w:highlight w:val="none"/>
              </w:rPr>
            </w:pPr>
          </w:p>
        </w:tc>
        <w:tc>
          <w:tcPr>
            <w:tcW w:w="9088" w:type="dxa"/>
            <w:noWrap w:val="0"/>
            <w:vAlign w:val="center"/>
          </w:tcPr>
          <w:p w14:paraId="6793E342">
            <w:pPr>
              <w:spacing w:line="360" w:lineRule="auto"/>
              <w:ind w:leftChars="-9" w:hanging="19" w:hangingChars="8"/>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采购项目名称：</w:t>
            </w:r>
            <w:r>
              <w:rPr>
                <w:rFonts w:hint="eastAsia" w:ascii="宋体" w:hAnsi="宋体" w:cs="宋体"/>
                <w:bCs/>
                <w:color w:val="auto"/>
                <w:sz w:val="24"/>
                <w:szCs w:val="24"/>
                <w:highlight w:val="none"/>
                <w:lang w:eastAsia="zh-CN"/>
              </w:rPr>
              <w:t>绥德县城市公益性公墓殡仪馆建设项目岩土工程勘察服务采购(二次)</w:t>
            </w:r>
          </w:p>
          <w:p w14:paraId="265CBE62">
            <w:pPr>
              <w:spacing w:line="360" w:lineRule="auto"/>
              <w:ind w:leftChars="-9" w:hanging="19" w:hangingChars="8"/>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采购项目编号：</w:t>
            </w:r>
            <w:r>
              <w:rPr>
                <w:rFonts w:hint="eastAsia" w:ascii="宋体" w:hAnsi="宋体" w:cs="宋体"/>
                <w:bCs/>
                <w:color w:val="auto"/>
                <w:sz w:val="24"/>
                <w:szCs w:val="24"/>
                <w:highlight w:val="none"/>
                <w:lang w:eastAsia="zh-CN"/>
              </w:rPr>
              <w:t>SXCG-PZ-2026003.1B1</w:t>
            </w:r>
          </w:p>
        </w:tc>
      </w:tr>
      <w:tr w14:paraId="24ED0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1" w:hRule="atLeast"/>
          <w:jc w:val="center"/>
        </w:trPr>
        <w:tc>
          <w:tcPr>
            <w:tcW w:w="698" w:type="dxa"/>
            <w:noWrap w:val="0"/>
            <w:vAlign w:val="center"/>
          </w:tcPr>
          <w:p w14:paraId="4FC7D4A2">
            <w:pPr>
              <w:numPr>
                <w:ilvl w:val="0"/>
                <w:numId w:val="1"/>
              </w:numPr>
              <w:spacing w:line="360" w:lineRule="auto"/>
              <w:jc w:val="center"/>
              <w:rPr>
                <w:rFonts w:hint="eastAsia" w:ascii="宋体" w:hAnsi="宋体" w:eastAsia="宋体" w:cs="宋体"/>
                <w:bCs/>
                <w:color w:val="auto"/>
                <w:sz w:val="24"/>
                <w:szCs w:val="24"/>
                <w:highlight w:val="none"/>
              </w:rPr>
            </w:pPr>
          </w:p>
        </w:tc>
        <w:tc>
          <w:tcPr>
            <w:tcW w:w="9088" w:type="dxa"/>
            <w:noWrap w:val="0"/>
            <w:vAlign w:val="center"/>
          </w:tcPr>
          <w:p w14:paraId="13F3CFF2">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项目性质：财政拨款</w:t>
            </w:r>
          </w:p>
          <w:p w14:paraId="1FA7CD11">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本项目采购预算：</w:t>
            </w:r>
            <w:r>
              <w:rPr>
                <w:rFonts w:hint="eastAsia" w:ascii="宋体" w:hAnsi="宋体" w:eastAsia="宋体" w:cs="宋体"/>
                <w:bCs/>
                <w:color w:val="auto"/>
                <w:sz w:val="24"/>
                <w:szCs w:val="24"/>
                <w:highlight w:val="none"/>
                <w:lang w:eastAsia="zh-CN"/>
              </w:rPr>
              <w:t>780,610.00</w:t>
            </w:r>
            <w:r>
              <w:rPr>
                <w:rFonts w:hint="eastAsia" w:ascii="宋体" w:hAnsi="宋体" w:eastAsia="宋体" w:cs="宋体"/>
                <w:bCs/>
                <w:color w:val="auto"/>
                <w:sz w:val="24"/>
                <w:szCs w:val="24"/>
                <w:highlight w:val="none"/>
              </w:rPr>
              <w:t>元。</w:t>
            </w:r>
          </w:p>
          <w:p w14:paraId="3D309C64">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供应商报价超出采购预算，作为不实质响应竞争性谈判文件，按无谈判响应文件处理。</w:t>
            </w:r>
          </w:p>
        </w:tc>
      </w:tr>
      <w:tr w14:paraId="4A6C1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698" w:type="dxa"/>
            <w:noWrap w:val="0"/>
            <w:vAlign w:val="center"/>
          </w:tcPr>
          <w:p w14:paraId="5CCFA5A6">
            <w:pPr>
              <w:numPr>
                <w:ilvl w:val="0"/>
                <w:numId w:val="1"/>
              </w:numPr>
              <w:spacing w:line="360" w:lineRule="auto"/>
              <w:jc w:val="center"/>
              <w:rPr>
                <w:rFonts w:hint="eastAsia" w:ascii="宋体" w:hAnsi="宋体" w:eastAsia="宋体" w:cs="宋体"/>
                <w:bCs/>
                <w:color w:val="auto"/>
                <w:sz w:val="24"/>
                <w:szCs w:val="24"/>
                <w:highlight w:val="none"/>
              </w:rPr>
            </w:pPr>
          </w:p>
        </w:tc>
        <w:tc>
          <w:tcPr>
            <w:tcW w:w="9088" w:type="dxa"/>
            <w:noWrap w:val="0"/>
            <w:vAlign w:val="center"/>
          </w:tcPr>
          <w:p w14:paraId="4D1D4C59">
            <w:pPr>
              <w:spacing w:line="360" w:lineRule="auto"/>
              <w:ind w:left="960" w:hanging="960" w:hangingChars="4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采购人：</w:t>
            </w:r>
            <w:r>
              <w:rPr>
                <w:rFonts w:hint="eastAsia" w:ascii="宋体" w:hAnsi="宋体" w:eastAsia="宋体" w:cs="宋体"/>
                <w:bCs/>
                <w:color w:val="auto"/>
                <w:sz w:val="24"/>
                <w:szCs w:val="24"/>
                <w:highlight w:val="none"/>
                <w:lang w:eastAsia="zh-CN"/>
              </w:rPr>
              <w:t>绥德县民政局</w:t>
            </w:r>
          </w:p>
          <w:p w14:paraId="60F73772">
            <w:pPr>
              <w:spacing w:line="360" w:lineRule="auto"/>
              <w:ind w:left="960" w:hanging="960" w:hangingChars="4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采购代理机构：</w:t>
            </w:r>
            <w:r>
              <w:rPr>
                <w:rFonts w:hint="eastAsia" w:ascii="宋体" w:hAnsi="宋体" w:eastAsia="宋体" w:cs="宋体"/>
                <w:bCs/>
                <w:color w:val="auto"/>
                <w:sz w:val="24"/>
                <w:szCs w:val="24"/>
                <w:highlight w:val="none"/>
                <w:lang w:eastAsia="zh-CN"/>
              </w:rPr>
              <w:t>鹏泽项目管理有限公司</w:t>
            </w:r>
          </w:p>
        </w:tc>
      </w:tr>
      <w:tr w14:paraId="47816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9" w:hRule="atLeast"/>
          <w:jc w:val="center"/>
        </w:trPr>
        <w:tc>
          <w:tcPr>
            <w:tcW w:w="698" w:type="dxa"/>
            <w:noWrap w:val="0"/>
            <w:vAlign w:val="center"/>
          </w:tcPr>
          <w:p w14:paraId="2601264F">
            <w:pPr>
              <w:numPr>
                <w:ilvl w:val="0"/>
                <w:numId w:val="1"/>
              </w:numPr>
              <w:spacing w:line="360" w:lineRule="auto"/>
              <w:jc w:val="center"/>
              <w:rPr>
                <w:rFonts w:hint="eastAsia" w:ascii="宋体" w:hAnsi="宋体" w:eastAsia="宋体" w:cs="宋体"/>
                <w:bCs/>
                <w:color w:val="auto"/>
                <w:sz w:val="24"/>
                <w:szCs w:val="24"/>
                <w:highlight w:val="none"/>
              </w:rPr>
            </w:pPr>
          </w:p>
        </w:tc>
        <w:tc>
          <w:tcPr>
            <w:tcW w:w="9088" w:type="dxa"/>
            <w:noWrap w:val="0"/>
            <w:vAlign w:val="center"/>
          </w:tcPr>
          <w:p w14:paraId="06E08FD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采购内容具体见竞争性谈判文件第六部分采购内容及</w:t>
            </w:r>
            <w:r>
              <w:rPr>
                <w:rFonts w:hint="eastAsia" w:ascii="宋体" w:hAnsi="宋体" w:eastAsia="宋体" w:cs="宋体"/>
                <w:bCs/>
                <w:color w:val="auto"/>
                <w:sz w:val="24"/>
                <w:szCs w:val="24"/>
                <w:highlight w:val="none"/>
                <w:lang w:val="en-US" w:eastAsia="zh-CN"/>
              </w:rPr>
              <w:t>技术</w:t>
            </w:r>
            <w:r>
              <w:rPr>
                <w:rFonts w:hint="eastAsia" w:ascii="宋体" w:hAnsi="宋体" w:eastAsia="宋体" w:cs="宋体"/>
                <w:bCs/>
                <w:color w:val="auto"/>
                <w:sz w:val="24"/>
                <w:szCs w:val="24"/>
                <w:highlight w:val="none"/>
              </w:rPr>
              <w:t>要求</w:t>
            </w:r>
          </w:p>
          <w:p w14:paraId="64E02FA8">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本次采购、报价、谈判、评审和合同授予均以项目为单位，供应商必须就整个项目进行响应。</w:t>
            </w:r>
          </w:p>
        </w:tc>
      </w:tr>
      <w:tr w14:paraId="4FAA0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98" w:type="dxa"/>
            <w:noWrap w:val="0"/>
            <w:vAlign w:val="center"/>
          </w:tcPr>
          <w:p w14:paraId="4675AFDD">
            <w:pPr>
              <w:numPr>
                <w:ilvl w:val="0"/>
                <w:numId w:val="1"/>
              </w:numPr>
              <w:spacing w:line="360" w:lineRule="auto"/>
              <w:jc w:val="center"/>
              <w:rPr>
                <w:rFonts w:hint="eastAsia" w:ascii="宋体" w:hAnsi="宋体" w:eastAsia="宋体" w:cs="宋体"/>
                <w:bCs/>
                <w:color w:val="auto"/>
                <w:sz w:val="24"/>
                <w:szCs w:val="24"/>
                <w:highlight w:val="none"/>
              </w:rPr>
            </w:pPr>
          </w:p>
        </w:tc>
        <w:tc>
          <w:tcPr>
            <w:tcW w:w="9088" w:type="dxa"/>
            <w:noWrap w:val="0"/>
            <w:vAlign w:val="center"/>
          </w:tcPr>
          <w:p w14:paraId="1D1A5928">
            <w:pPr>
              <w:spacing w:line="360" w:lineRule="auto"/>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投标报价：报价包含完成本次投标项目所包含的一切相关费用。</w:t>
            </w:r>
          </w:p>
        </w:tc>
      </w:tr>
      <w:tr w14:paraId="5FB88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jc w:val="center"/>
        </w:trPr>
        <w:tc>
          <w:tcPr>
            <w:tcW w:w="698" w:type="dxa"/>
            <w:noWrap w:val="0"/>
            <w:vAlign w:val="center"/>
          </w:tcPr>
          <w:p w14:paraId="1810F9FA">
            <w:pPr>
              <w:numPr>
                <w:ilvl w:val="0"/>
                <w:numId w:val="1"/>
              </w:numPr>
              <w:spacing w:line="360" w:lineRule="auto"/>
              <w:jc w:val="center"/>
              <w:rPr>
                <w:rFonts w:hint="eastAsia" w:ascii="宋体" w:hAnsi="宋体" w:eastAsia="宋体" w:cs="宋体"/>
                <w:bCs/>
                <w:color w:val="auto"/>
                <w:sz w:val="24"/>
                <w:szCs w:val="24"/>
                <w:highlight w:val="none"/>
              </w:rPr>
            </w:pPr>
          </w:p>
        </w:tc>
        <w:tc>
          <w:tcPr>
            <w:tcW w:w="9088" w:type="dxa"/>
            <w:noWrap w:val="0"/>
            <w:vAlign w:val="center"/>
          </w:tcPr>
          <w:p w14:paraId="1491A2CC">
            <w:pPr>
              <w:adjustRightInd w:val="0"/>
              <w:snapToGrid w:val="0"/>
              <w:spacing w:line="450" w:lineRule="exact"/>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竞争性谈判响应文件递交截止时间：</w:t>
            </w:r>
            <w:r>
              <w:rPr>
                <w:rFonts w:hint="eastAsia" w:ascii="宋体" w:hAnsi="宋体" w:cs="宋体"/>
                <w:bCs/>
                <w:color w:val="auto"/>
                <w:sz w:val="24"/>
                <w:szCs w:val="24"/>
                <w:highlight w:val="none"/>
                <w:lang w:eastAsia="zh-CN"/>
              </w:rPr>
              <w:t xml:space="preserve"> 2026年07月29日 09时30分00秒 </w:t>
            </w:r>
            <w:r>
              <w:rPr>
                <w:rFonts w:hint="eastAsia" w:ascii="宋体" w:hAnsi="宋体" w:eastAsia="宋体" w:cs="宋体"/>
                <w:bCs/>
                <w:color w:val="auto"/>
                <w:sz w:val="24"/>
                <w:szCs w:val="24"/>
                <w:highlight w:val="none"/>
                <w:lang w:eastAsia="zh-CN"/>
              </w:rPr>
              <w:t> </w:t>
            </w:r>
            <w:r>
              <w:rPr>
                <w:rFonts w:hint="eastAsia" w:ascii="宋体" w:hAnsi="宋体" w:eastAsia="宋体" w:cs="宋体"/>
                <w:bCs/>
                <w:color w:val="auto"/>
                <w:sz w:val="24"/>
                <w:szCs w:val="24"/>
                <w:highlight w:val="none"/>
              </w:rPr>
              <w:t xml:space="preserve">（北京时间）      </w:t>
            </w:r>
          </w:p>
          <w:p w14:paraId="1D374C12">
            <w:pPr>
              <w:adjustRightInd w:val="0"/>
              <w:snapToGrid w:val="0"/>
              <w:spacing w:line="450" w:lineRule="exact"/>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谈判时间：</w:t>
            </w:r>
            <w:r>
              <w:rPr>
                <w:rFonts w:hint="eastAsia" w:ascii="宋体" w:hAnsi="宋体" w:cs="宋体"/>
                <w:bCs/>
                <w:color w:val="auto"/>
                <w:sz w:val="24"/>
                <w:szCs w:val="24"/>
                <w:highlight w:val="none"/>
                <w:lang w:eastAsia="zh-CN"/>
              </w:rPr>
              <w:t xml:space="preserve"> 2026年07月29日 09时30分00秒 </w:t>
            </w:r>
            <w:r>
              <w:rPr>
                <w:rFonts w:hint="eastAsia" w:ascii="宋体" w:hAnsi="宋体" w:eastAsia="宋体" w:cs="宋体"/>
                <w:bCs/>
                <w:color w:val="auto"/>
                <w:sz w:val="24"/>
                <w:szCs w:val="24"/>
                <w:highlight w:val="none"/>
                <w:lang w:eastAsia="zh-CN"/>
              </w:rPr>
              <w:t xml:space="preserve">    </w:t>
            </w:r>
            <w:r>
              <w:rPr>
                <w:rFonts w:hint="eastAsia" w:ascii="宋体" w:hAnsi="宋体" w:eastAsia="宋体" w:cs="宋体"/>
                <w:bCs/>
                <w:color w:val="auto"/>
                <w:sz w:val="24"/>
                <w:szCs w:val="24"/>
                <w:highlight w:val="none"/>
              </w:rPr>
              <w:t xml:space="preserve"> （北京时间）       </w:t>
            </w:r>
          </w:p>
          <w:p w14:paraId="6438382A">
            <w:pPr>
              <w:spacing w:line="360" w:lineRule="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谈判地点：</w:t>
            </w:r>
            <w:r>
              <w:rPr>
                <w:rFonts w:hint="eastAsia" w:ascii="宋体" w:hAnsi="宋体" w:cs="宋体"/>
                <w:bCs/>
                <w:color w:val="auto"/>
                <w:sz w:val="24"/>
                <w:szCs w:val="24"/>
                <w:highlight w:val="none"/>
                <w:lang w:eastAsia="zh-CN"/>
              </w:rPr>
              <w:t>榆林市公共资源交易中心18楼开标室1802B</w:t>
            </w:r>
          </w:p>
        </w:tc>
      </w:tr>
      <w:tr w14:paraId="69911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698" w:type="dxa"/>
            <w:noWrap w:val="0"/>
            <w:vAlign w:val="center"/>
          </w:tcPr>
          <w:p w14:paraId="222E931F">
            <w:pPr>
              <w:numPr>
                <w:ilvl w:val="0"/>
                <w:numId w:val="1"/>
              </w:numPr>
              <w:spacing w:line="360" w:lineRule="auto"/>
              <w:jc w:val="center"/>
              <w:rPr>
                <w:rFonts w:hint="eastAsia" w:ascii="宋体" w:hAnsi="宋体" w:eastAsia="宋体" w:cs="宋体"/>
                <w:bCs/>
                <w:color w:val="auto"/>
                <w:sz w:val="24"/>
                <w:szCs w:val="24"/>
                <w:highlight w:val="none"/>
              </w:rPr>
            </w:pPr>
          </w:p>
        </w:tc>
        <w:tc>
          <w:tcPr>
            <w:tcW w:w="9088" w:type="dxa"/>
            <w:noWrap w:val="0"/>
            <w:vAlign w:val="center"/>
          </w:tcPr>
          <w:p w14:paraId="2F799129">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是否退还谈判响应文件:</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eq \o\ac(□,</w:instrText>
            </w:r>
            <w:r>
              <w:rPr>
                <w:rFonts w:hint="eastAsia" w:ascii="宋体" w:hAnsi="宋体" w:eastAsia="宋体" w:cs="宋体"/>
                <w:bCs/>
                <w:color w:val="auto"/>
                <w:position w:val="2"/>
                <w:sz w:val="16"/>
                <w:szCs w:val="24"/>
                <w:highlight w:val="none"/>
              </w:rPr>
              <w:instrText xml:space="preserve">√</w:instrText>
            </w:r>
            <w:r>
              <w:rPr>
                <w:rFonts w:hint="eastAsia" w:ascii="宋体" w:hAnsi="宋体" w:eastAsia="宋体" w:cs="宋体"/>
                <w:bCs/>
                <w:color w:val="auto"/>
                <w:sz w:val="24"/>
                <w:szCs w:val="24"/>
                <w:highlight w:val="none"/>
              </w:rPr>
              <w:instrText xml:space="preserve">)</w:instrTex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否</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eq \o\ac(□)</w:instrTex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是</w:t>
            </w:r>
          </w:p>
        </w:tc>
      </w:tr>
      <w:tr w14:paraId="0737B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698" w:type="dxa"/>
            <w:noWrap w:val="0"/>
            <w:vAlign w:val="center"/>
          </w:tcPr>
          <w:p w14:paraId="466BF06A">
            <w:pPr>
              <w:numPr>
                <w:ilvl w:val="0"/>
                <w:numId w:val="1"/>
              </w:numPr>
              <w:spacing w:line="360" w:lineRule="auto"/>
              <w:jc w:val="center"/>
              <w:rPr>
                <w:rFonts w:hint="eastAsia" w:ascii="宋体" w:hAnsi="宋体" w:eastAsia="宋体" w:cs="宋体"/>
                <w:bCs/>
                <w:color w:val="auto"/>
                <w:sz w:val="24"/>
                <w:szCs w:val="24"/>
                <w:highlight w:val="none"/>
              </w:rPr>
            </w:pPr>
          </w:p>
        </w:tc>
        <w:tc>
          <w:tcPr>
            <w:tcW w:w="9088" w:type="dxa"/>
            <w:noWrap w:val="0"/>
            <w:vAlign w:val="center"/>
          </w:tcPr>
          <w:p w14:paraId="24DD7BA0">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不允许提供备选方案。</w:t>
            </w:r>
          </w:p>
        </w:tc>
      </w:tr>
      <w:tr w14:paraId="1F37F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698" w:type="dxa"/>
            <w:noWrap w:val="0"/>
            <w:vAlign w:val="center"/>
          </w:tcPr>
          <w:p w14:paraId="5458BA22">
            <w:pPr>
              <w:numPr>
                <w:ilvl w:val="0"/>
                <w:numId w:val="1"/>
              </w:numPr>
              <w:spacing w:line="360" w:lineRule="auto"/>
              <w:jc w:val="center"/>
              <w:rPr>
                <w:rFonts w:hint="eastAsia" w:ascii="宋体" w:hAnsi="宋体" w:eastAsia="宋体" w:cs="宋体"/>
                <w:bCs/>
                <w:color w:val="auto"/>
                <w:sz w:val="24"/>
                <w:szCs w:val="24"/>
                <w:highlight w:val="none"/>
              </w:rPr>
            </w:pPr>
          </w:p>
        </w:tc>
        <w:tc>
          <w:tcPr>
            <w:tcW w:w="9088" w:type="dxa"/>
            <w:noWrap w:val="0"/>
            <w:vAlign w:val="center"/>
          </w:tcPr>
          <w:p w14:paraId="2773B3CA">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本次招标采用项目整体打包方式，</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可根据自身的资质情况和经营范围进行投标，但不得将其自行分解或只对本次项目中的品目进行不完全投标，任何不完全的投标将按无效投标处理。</w:t>
            </w:r>
          </w:p>
        </w:tc>
      </w:tr>
      <w:tr w14:paraId="08CEE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698" w:type="dxa"/>
            <w:noWrap w:val="0"/>
            <w:vAlign w:val="center"/>
          </w:tcPr>
          <w:p w14:paraId="3DB54B02">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w:t>
            </w:r>
          </w:p>
        </w:tc>
        <w:tc>
          <w:tcPr>
            <w:tcW w:w="9088" w:type="dxa"/>
            <w:noWrap w:val="0"/>
            <w:vAlign w:val="center"/>
          </w:tcPr>
          <w:p w14:paraId="66985902">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服务期：</w:t>
            </w:r>
            <w:r>
              <w:rPr>
                <w:rFonts w:hint="eastAsia" w:ascii="宋体" w:hAnsi="宋体" w:eastAsia="宋体" w:cs="宋体"/>
                <w:bCs/>
                <w:color w:val="auto"/>
                <w:sz w:val="24"/>
                <w:szCs w:val="24"/>
                <w:highlight w:val="none"/>
                <w:lang w:eastAsia="zh-CN"/>
              </w:rPr>
              <w:t>合同签订后20天</w:t>
            </w:r>
          </w:p>
        </w:tc>
      </w:tr>
      <w:tr w14:paraId="4465C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698" w:type="dxa"/>
            <w:noWrap w:val="0"/>
            <w:vAlign w:val="center"/>
          </w:tcPr>
          <w:p w14:paraId="778A5468">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w:t>
            </w:r>
          </w:p>
        </w:tc>
        <w:tc>
          <w:tcPr>
            <w:tcW w:w="9088" w:type="dxa"/>
            <w:noWrap w:val="0"/>
            <w:vAlign w:val="center"/>
          </w:tcPr>
          <w:p w14:paraId="2749EB84">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服务地点：采购人指定地点</w:t>
            </w:r>
          </w:p>
        </w:tc>
      </w:tr>
      <w:tr w14:paraId="39E4C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jc w:val="center"/>
        </w:trPr>
        <w:tc>
          <w:tcPr>
            <w:tcW w:w="698" w:type="dxa"/>
            <w:noWrap w:val="0"/>
            <w:vAlign w:val="center"/>
          </w:tcPr>
          <w:p w14:paraId="02F532DB">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w:t>
            </w:r>
          </w:p>
        </w:tc>
        <w:tc>
          <w:tcPr>
            <w:tcW w:w="9088" w:type="dxa"/>
            <w:noWrap w:val="0"/>
            <w:vAlign w:val="center"/>
          </w:tcPr>
          <w:p w14:paraId="0E445D38">
            <w:pPr>
              <w:pStyle w:val="3"/>
              <w:spacing w:line="360" w:lineRule="auto"/>
              <w:rPr>
                <w:rFonts w:hint="eastAsia" w:ascii="宋体" w:hAnsi="宋体" w:eastAsia="宋体" w:cs="宋体"/>
                <w:b w:val="0"/>
                <w:bCs/>
                <w:color w:val="auto"/>
                <w:kern w:val="2"/>
                <w:sz w:val="24"/>
                <w:szCs w:val="24"/>
                <w:highlight w:val="none"/>
                <w:lang w:val="en-US" w:eastAsia="zh-CN" w:bidi="ar-SA"/>
              </w:rPr>
            </w:pPr>
            <w:bookmarkStart w:id="36" w:name="_Toc5325"/>
            <w:bookmarkStart w:id="37" w:name="_Toc28210"/>
            <w:bookmarkStart w:id="38" w:name="_Toc16369"/>
            <w:r>
              <w:rPr>
                <w:rFonts w:hint="eastAsia" w:ascii="宋体" w:hAnsi="宋体" w:eastAsia="宋体" w:cs="宋体"/>
                <w:b w:val="0"/>
                <w:bCs/>
                <w:color w:val="auto"/>
                <w:kern w:val="2"/>
                <w:sz w:val="24"/>
                <w:szCs w:val="24"/>
                <w:highlight w:val="none"/>
                <w:lang w:val="en-US" w:eastAsia="zh-CN" w:bidi="ar-SA"/>
              </w:rPr>
              <w:t>付款方式：</w:t>
            </w:r>
            <w:bookmarkEnd w:id="36"/>
            <w:bookmarkStart w:id="39" w:name="_Toc31524"/>
            <w:r>
              <w:rPr>
                <w:rFonts w:hint="eastAsia" w:ascii="宋体" w:hAnsi="宋体" w:eastAsia="宋体" w:cs="宋体"/>
                <w:b w:val="0"/>
                <w:bCs/>
                <w:color w:val="auto"/>
                <w:kern w:val="2"/>
                <w:sz w:val="24"/>
                <w:szCs w:val="24"/>
                <w:highlight w:val="none"/>
                <w:lang w:val="en-US" w:eastAsia="zh-CN" w:bidi="ar-SA"/>
              </w:rPr>
              <w:t>合同签订后支付合同总价款的40%作为预付款，项目全部完成并提通过相关验收后支付合同总价款的60%。</w:t>
            </w:r>
            <w:bookmarkEnd w:id="37"/>
            <w:bookmarkEnd w:id="38"/>
          </w:p>
          <w:p w14:paraId="4191555A">
            <w:pPr>
              <w:pStyle w:val="3"/>
              <w:spacing w:line="360" w:lineRule="auto"/>
              <w:rPr>
                <w:rFonts w:hint="eastAsia" w:ascii="宋体" w:hAnsi="宋体" w:eastAsia="宋体" w:cs="宋体"/>
                <w:b w:val="0"/>
                <w:bCs/>
                <w:color w:val="auto"/>
                <w:kern w:val="2"/>
                <w:highlight w:val="none"/>
                <w:lang w:val="en-US" w:eastAsia="zh-CN"/>
              </w:rPr>
            </w:pPr>
            <w:bookmarkStart w:id="40" w:name="_Toc20666"/>
            <w:bookmarkStart w:id="41" w:name="_Toc26192"/>
            <w:bookmarkStart w:id="42" w:name="_Toc21747"/>
            <w:r>
              <w:rPr>
                <w:rFonts w:hint="eastAsia" w:ascii="宋体" w:hAnsi="宋体" w:eastAsia="宋体" w:cs="宋体"/>
                <w:b w:val="0"/>
                <w:bCs/>
                <w:color w:val="auto"/>
                <w:kern w:val="2"/>
                <w:sz w:val="24"/>
                <w:szCs w:val="24"/>
                <w:highlight w:val="none"/>
                <w:lang w:val="en-US" w:eastAsia="zh-CN" w:bidi="ar-SA"/>
              </w:rPr>
              <w:t>注：付款前乙方须提供符合甲方财务要求的增值税发票，否则甲方有权拒付款项且不承担迟延付款的违约责任。</w:t>
            </w:r>
            <w:bookmarkEnd w:id="39"/>
            <w:bookmarkEnd w:id="40"/>
            <w:bookmarkEnd w:id="41"/>
            <w:bookmarkEnd w:id="42"/>
          </w:p>
        </w:tc>
      </w:tr>
      <w:tr w14:paraId="713DB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698" w:type="dxa"/>
            <w:noWrap w:val="0"/>
            <w:vAlign w:val="center"/>
          </w:tcPr>
          <w:p w14:paraId="072B1619">
            <w:pPr>
              <w:spacing w:line="360" w:lineRule="auto"/>
              <w:ind w:left="21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w:t>
            </w:r>
          </w:p>
        </w:tc>
        <w:tc>
          <w:tcPr>
            <w:tcW w:w="9088" w:type="dxa"/>
            <w:noWrap w:val="0"/>
            <w:vAlign w:val="center"/>
          </w:tcPr>
          <w:p w14:paraId="683D9138">
            <w:pPr>
              <w:pStyle w:val="51"/>
              <w:spacing w:before="90" w:line="360" w:lineRule="auto"/>
              <w:rPr>
                <w:rFonts w:hint="eastAsia" w:ascii="宋体" w:hAnsi="宋体" w:eastAsia="宋体" w:cs="宋体"/>
                <w:bCs/>
                <w:color w:val="auto"/>
                <w:sz w:val="24"/>
                <w:szCs w:val="24"/>
                <w:highlight w:val="none"/>
                <w:lang w:val="en-US" w:bidi="ar-SA"/>
              </w:rPr>
            </w:pPr>
            <w:r>
              <w:rPr>
                <w:rFonts w:hint="eastAsia" w:ascii="宋体" w:hAnsi="宋体" w:eastAsia="宋体" w:cs="宋体"/>
                <w:bCs/>
                <w:color w:val="auto"/>
                <w:sz w:val="24"/>
                <w:szCs w:val="24"/>
                <w:highlight w:val="none"/>
                <w:lang w:val="en-US" w:bidi="ar-SA"/>
              </w:rPr>
              <w:t>是否要求</w:t>
            </w:r>
            <w:r>
              <w:rPr>
                <w:rFonts w:hint="eastAsia" w:ascii="宋体" w:hAnsi="宋体" w:eastAsia="宋体" w:cs="宋体"/>
                <w:bCs/>
                <w:color w:val="auto"/>
                <w:sz w:val="24"/>
                <w:szCs w:val="24"/>
                <w:highlight w:val="none"/>
                <w:lang w:val="en-US" w:eastAsia="zh-CN" w:bidi="ar-SA"/>
              </w:rPr>
              <w:t>供应商</w:t>
            </w:r>
            <w:r>
              <w:rPr>
                <w:rFonts w:hint="eastAsia" w:ascii="宋体" w:hAnsi="宋体" w:eastAsia="宋体" w:cs="宋体"/>
                <w:bCs/>
                <w:color w:val="auto"/>
                <w:sz w:val="24"/>
                <w:szCs w:val="24"/>
                <w:highlight w:val="none"/>
                <w:lang w:val="en-US" w:bidi="ar-SA"/>
              </w:rPr>
              <w:t>递交投标保证金：</w:t>
            </w:r>
          </w:p>
          <w:p w14:paraId="3F29C448">
            <w:pPr>
              <w:pStyle w:val="51"/>
              <w:spacing w:line="360" w:lineRule="auto"/>
              <w:jc w:val="left"/>
              <w:rPr>
                <w:rFonts w:hint="eastAsia" w:ascii="宋体" w:hAnsi="宋体" w:eastAsia="宋体" w:cs="宋体"/>
                <w:bCs/>
                <w:color w:val="auto"/>
                <w:sz w:val="24"/>
                <w:szCs w:val="24"/>
                <w:highlight w:val="none"/>
                <w:lang w:val="en-US" w:bidi="ar-SA"/>
              </w:rPr>
            </w:pPr>
            <w:r>
              <w:rPr>
                <w:rFonts w:hint="eastAsia" w:ascii="宋体" w:hAnsi="宋体" w:eastAsia="宋体" w:cs="宋体"/>
                <w:bCs/>
                <w:color w:val="auto"/>
                <w:sz w:val="24"/>
                <w:szCs w:val="24"/>
                <w:highlight w:val="none"/>
                <w:lang w:val="en-US" w:bidi="ar-SA"/>
              </w:rPr>
              <w:t>□要求，投标保证金的金额：/</w:t>
            </w:r>
          </w:p>
          <w:p w14:paraId="55FCE479">
            <w:pPr>
              <w:spacing w:line="360" w:lineRule="auto"/>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☑不要求</w:t>
            </w:r>
          </w:p>
          <w:p w14:paraId="49D30817">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根据榆林市财政局下发的榆政财采发【2023】8号文件规定，各</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采用“投标信用承诺书”代替保证金。</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须将“投标信用承诺书”按要求签字盖章后上传至信用中国（陕西榆林）进行承诺公示，将公示后的截图附在谈判响应文件中（截图须体现项目名称）。（格式详见招标文件第九部分附件3）</w:t>
            </w:r>
          </w:p>
        </w:tc>
      </w:tr>
      <w:tr w14:paraId="5BF89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jc w:val="center"/>
        </w:trPr>
        <w:tc>
          <w:tcPr>
            <w:tcW w:w="698" w:type="dxa"/>
            <w:noWrap w:val="0"/>
            <w:vAlign w:val="center"/>
          </w:tcPr>
          <w:p w14:paraId="7912385A">
            <w:pPr>
              <w:spacing w:line="360" w:lineRule="auto"/>
              <w:ind w:left="21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w:t>
            </w:r>
          </w:p>
        </w:tc>
        <w:tc>
          <w:tcPr>
            <w:tcW w:w="9088" w:type="dxa"/>
            <w:noWrap w:val="0"/>
            <w:vAlign w:val="center"/>
          </w:tcPr>
          <w:p w14:paraId="2F4F9A7E">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谈判有效期：</w:t>
            </w:r>
            <w:bookmarkStart w:id="43" w:name="OLE_LINK10"/>
            <w:bookmarkStart w:id="44" w:name="OLE_LINK9"/>
            <w:r>
              <w:rPr>
                <w:rFonts w:hint="eastAsia" w:ascii="宋体" w:hAnsi="宋体" w:eastAsia="宋体" w:cs="宋体"/>
                <w:bCs/>
                <w:color w:val="auto"/>
                <w:sz w:val="24"/>
                <w:szCs w:val="24"/>
                <w:highlight w:val="none"/>
              </w:rPr>
              <w:t>谈判响应文件从谈判截止日起，</w:t>
            </w:r>
            <w:bookmarkEnd w:id="43"/>
            <w:bookmarkEnd w:id="44"/>
            <w:r>
              <w:rPr>
                <w:rFonts w:hint="eastAsia" w:ascii="宋体" w:hAnsi="宋体" w:eastAsia="宋体" w:cs="宋体"/>
                <w:bCs/>
                <w:color w:val="auto"/>
                <w:sz w:val="24"/>
                <w:szCs w:val="24"/>
                <w:highlight w:val="none"/>
              </w:rPr>
              <w:t>谈判有效期为</w:t>
            </w:r>
            <w:r>
              <w:rPr>
                <w:rFonts w:hint="eastAsia" w:ascii="宋体" w:hAnsi="宋体" w:eastAsia="宋体" w:cs="宋体"/>
                <w:bCs/>
                <w:color w:val="auto"/>
                <w:sz w:val="24"/>
                <w:szCs w:val="24"/>
                <w:highlight w:val="none"/>
                <w:lang w:eastAsia="zh-CN"/>
              </w:rPr>
              <w:t>90日历天</w:t>
            </w:r>
            <w:r>
              <w:rPr>
                <w:rFonts w:hint="eastAsia" w:ascii="宋体" w:hAnsi="宋体" w:eastAsia="宋体" w:cs="宋体"/>
                <w:bCs/>
                <w:color w:val="auto"/>
                <w:sz w:val="24"/>
                <w:szCs w:val="24"/>
                <w:highlight w:val="none"/>
              </w:rPr>
              <w:t>，谈判有效期短于此规定期限的谈判响应文件，视为无效文件。成交供应商的谈判响应文件有效期延长至合同执行完毕。</w:t>
            </w:r>
          </w:p>
        </w:tc>
      </w:tr>
      <w:tr w14:paraId="27FC2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jc w:val="center"/>
        </w:trPr>
        <w:tc>
          <w:tcPr>
            <w:tcW w:w="698" w:type="dxa"/>
            <w:noWrap w:val="0"/>
            <w:vAlign w:val="center"/>
          </w:tcPr>
          <w:p w14:paraId="77C2E051">
            <w:pPr>
              <w:spacing w:line="360" w:lineRule="auto"/>
              <w:ind w:left="21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w:t>
            </w:r>
          </w:p>
        </w:tc>
        <w:tc>
          <w:tcPr>
            <w:tcW w:w="9088" w:type="dxa"/>
            <w:noWrap w:val="0"/>
            <w:vAlign w:val="center"/>
          </w:tcPr>
          <w:p w14:paraId="113216E7">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不见面开标</w:t>
            </w:r>
          </w:p>
          <w:p w14:paraId="243197DB">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该项目将采取“不见面”开标的形式，</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无须到达开标现场，即可在网上直接参与开标活动。相关注意事项如下：</w:t>
            </w:r>
          </w:p>
          <w:p w14:paraId="2A3BF372">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1、开标当日，请各供应商在开标截止时间前至少提前半小时登录“不见面”开标系统登录方式有以下几种：</w:t>
            </w:r>
          </w:p>
          <w:p w14:paraId="4E3C22B5">
            <w:pPr>
              <w:numPr>
                <w:ilvl w:val="0"/>
                <w:numId w:val="2"/>
              </w:num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IE浏览器输入网址：</w:t>
            </w:r>
          </w:p>
          <w:p w14:paraId="38EC610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HYPERLINK "http://219.145.120.168:8082/BidOpeningHall/bidhall/default/login），" </w:instrText>
            </w:r>
            <w:r>
              <w:rPr>
                <w:rFonts w:hint="eastAsia" w:ascii="宋体" w:hAnsi="宋体" w:eastAsia="宋体" w:cs="宋体"/>
                <w:bCs/>
                <w:color w:val="auto"/>
                <w:highlight w:val="none"/>
              </w:rPr>
              <w:fldChar w:fldCharType="separate"/>
            </w:r>
            <w:r>
              <w:rPr>
                <w:rStyle w:val="34"/>
                <w:rFonts w:hint="eastAsia" w:ascii="宋体" w:hAnsi="宋体" w:eastAsia="宋体" w:cs="宋体"/>
                <w:bCs/>
                <w:color w:val="auto"/>
                <w:sz w:val="24"/>
                <w:szCs w:val="24"/>
                <w:highlight w:val="none"/>
              </w:rPr>
              <w:t>http://111.20.184.126:8081/BidOpeningHallCS/bidhall/default/login；</w:t>
            </w:r>
            <w:r>
              <w:rPr>
                <w:rStyle w:val="34"/>
                <w:rFonts w:hint="eastAsia" w:ascii="宋体" w:hAnsi="宋体" w:eastAsia="宋体" w:cs="宋体"/>
                <w:bCs/>
                <w:color w:val="auto"/>
                <w:sz w:val="24"/>
                <w:szCs w:val="24"/>
                <w:highlight w:val="none"/>
              </w:rPr>
              <w:fldChar w:fldCharType="end"/>
            </w:r>
          </w:p>
          <w:p w14:paraId="188D683B">
            <w:pPr>
              <w:numPr>
                <w:ilvl w:val="0"/>
                <w:numId w:val="2"/>
              </w:num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在【全国公共资源交易平台（陕西省·榆林市）】网站首页点击不见面开标模块进入；</w:t>
            </w:r>
          </w:p>
          <w:p w14:paraId="11E255DA">
            <w:pPr>
              <w:numPr>
                <w:ilvl w:val="0"/>
                <w:numId w:val="2"/>
              </w:num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在【全国公共资源交易平台（陕西省）】网站首页点击不见面开标模块选择榆林市进入。</w:t>
            </w:r>
          </w:p>
          <w:p w14:paraId="358C8F0F">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注：登录不见面开标系统请选择IE11浏览器</w:t>
            </w:r>
          </w:p>
          <w:p w14:paraId="687E570F">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2、供应商应按要求及时签到（签到时间为投标截止时间前1小时内，如果未签到将视为放弃投标资格），评审过程中，</w:t>
            </w:r>
            <w:r>
              <w:rPr>
                <w:rFonts w:hint="eastAsia" w:ascii="宋体" w:hAnsi="宋体" w:eastAsia="宋体" w:cs="宋体"/>
                <w:bCs/>
                <w:color w:val="auto"/>
                <w:sz w:val="24"/>
                <w:szCs w:val="24"/>
                <w:highlight w:val="none"/>
                <w:lang w:eastAsia="zh-CN"/>
              </w:rPr>
              <w:t>评审小组</w:t>
            </w:r>
            <w:r>
              <w:rPr>
                <w:rFonts w:hint="eastAsia" w:ascii="宋体" w:hAnsi="宋体" w:eastAsia="宋体" w:cs="宋体"/>
                <w:bCs/>
                <w:color w:val="auto"/>
                <w:sz w:val="24"/>
                <w:szCs w:val="24"/>
                <w:highlight w:val="none"/>
              </w:rPr>
              <w:t>可能会就某些问题要求供应商进行在线澄清，请供应商保持在线直到评审结束；</w:t>
            </w:r>
          </w:p>
          <w:p w14:paraId="0CFDBB7B">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在开标时无需提交纸质谈判响应文件，待开标结束后，需邮寄补交一正两幅纸质谈判响应文件及谈判文件要求需要单独邮寄的资料（公示结果公告及备案用）特别提醒：纸质谈判响应文件及谈判文件要求需要单独邮寄的资料收到的时间直接影响结果公告时间）。</w:t>
            </w:r>
          </w:p>
          <w:p w14:paraId="25B2B8F2">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开标过程中，供应商在收到工作人员“开始解密”指令后，请及时使用CA对电子谈判响应文件进行解密。解密时所用CA应与加密谈判响应文件时所用CA相同；注：解密时间为30分钟，在解密时间内供应商全部解密完成后，可提前进入开标下一阶段。</w:t>
            </w:r>
          </w:p>
          <w:p w14:paraId="1322A566">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5、相关技术问题，请咨询软件开发商：</w:t>
            </w:r>
          </w:p>
          <w:p w14:paraId="1C9C312A">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（1）技术支持热线：400-998-0000/400-928-0095</w:t>
            </w:r>
          </w:p>
          <w:p w14:paraId="355F9E42">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6、榆林不见面开标系统操作手册下载方式：登录【全国公共资源交易平台（陕西省·榆林市）】网站首页选择【服务指南】-【下载专区】-点击【</w:t>
            </w: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HYPERLINK "http://yl.sxggzyjy.cn/BigFileUpLoadStorage/temp/2021-12-10/2583610f-1c5d-49b2-a314-0c1c4faeec6a/%E6%A6%86%E6%9E%97%E4%B8%8D%E8%A7%81%E9%9D%A2%E5%BC%80%E6%A0%87%E5%A4%A7%E5%8E%85%E6%93%8D%E4%BD%9C%E6%89%8B%E5%86%8C%EF%BC%88%E6%8A%95%E6%A0%87%E4%BA%BA%EF%BC%89.docx" \t "http://yl.sxggzyjy.cn/fwzn/_blank" \o "榆林不见面开标系统操作手册（投标人）"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sz w:val="24"/>
                <w:szCs w:val="24"/>
                <w:highlight w:val="none"/>
              </w:rPr>
              <w:t>榆林不见面开标系统操作手册（</w:t>
            </w:r>
            <w:r>
              <w:rPr>
                <w:rFonts w:hint="eastAsia" w:ascii="宋体" w:hAnsi="宋体" w:eastAsia="宋体" w:cs="宋体"/>
                <w:bCs/>
                <w:color w:val="auto"/>
                <w:sz w:val="24"/>
                <w:szCs w:val="24"/>
                <w:highlight w:val="none"/>
                <w:lang w:val="en-US" w:eastAsia="zh-CN"/>
              </w:rPr>
              <w:t>投标人</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】进行下载。</w:t>
            </w:r>
          </w:p>
        </w:tc>
      </w:tr>
      <w:tr w14:paraId="02ECD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698" w:type="dxa"/>
            <w:noWrap w:val="0"/>
            <w:vAlign w:val="center"/>
          </w:tcPr>
          <w:p w14:paraId="74D356EA">
            <w:pPr>
              <w:spacing w:line="360" w:lineRule="auto"/>
              <w:ind w:left="21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16</w:t>
            </w:r>
          </w:p>
        </w:tc>
        <w:tc>
          <w:tcPr>
            <w:tcW w:w="9088" w:type="dxa"/>
            <w:noWrap w:val="0"/>
            <w:vAlign w:val="center"/>
          </w:tcPr>
          <w:p w14:paraId="14E059E7">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电子</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的制作与签名</w:t>
            </w:r>
            <w:r>
              <w:rPr>
                <w:rFonts w:hint="eastAsia" w:ascii="宋体" w:hAnsi="宋体" w:eastAsia="宋体" w:cs="宋体"/>
                <w:bCs/>
                <w:color w:val="auto"/>
                <w:sz w:val="24"/>
                <w:szCs w:val="24"/>
                <w:highlight w:val="none"/>
                <w:lang w:eastAsia="zh-CN"/>
              </w:rPr>
              <w:t>：</w:t>
            </w:r>
          </w:p>
          <w:p w14:paraId="3949C3F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须使用数字认证证书对电子</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进行签章、加密、递交及开标时解密等相关招投标事宜。如开标时</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无法解密</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 xml:space="preserve">，按无效投标对待。 </w:t>
            </w:r>
          </w:p>
          <w:p w14:paraId="20FDA86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2、制作电子</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须在“全国公共资源交易中心平台（陕西省）（http://www.sxggzyjy.cn/）”的“服务指南”栏目“下载专区”中，免费下载“陕西省公共资源交易平台政府采购电子标书制作工具”及“政府采购投标单位操作手册”，并使用该客户端制作电子</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，制作扩展名为“</w:t>
            </w:r>
            <w:r>
              <w:rPr>
                <w:rFonts w:hint="eastAsia" w:ascii="宋体" w:hAnsi="宋体" w:eastAsia="宋体" w:cs="宋体"/>
                <w:bCs/>
                <w:color w:val="auto"/>
                <w:sz w:val="24"/>
                <w:szCs w:val="24"/>
                <w:highlight w:val="none"/>
                <w:lang w:eastAsia="zh-CN"/>
              </w:rPr>
              <w:t>.SXSCF</w:t>
            </w:r>
            <w:r>
              <w:rPr>
                <w:rFonts w:hint="eastAsia" w:ascii="宋体" w:hAnsi="宋体" w:eastAsia="宋体" w:cs="宋体"/>
                <w:bCs/>
                <w:color w:val="auto"/>
                <w:sz w:val="24"/>
                <w:szCs w:val="24"/>
                <w:highlight w:val="none"/>
              </w:rPr>
              <w:t>”的电子</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 xml:space="preserve">。 </w:t>
            </w:r>
          </w:p>
          <w:p w14:paraId="1D003EE4">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3、递交电子</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。登录陕西省公共资源交易中心平台（http://xxxq.sxggzyjy.cn/），选择“电子交易平台-陕西政府采购交易系统-陕西省公共资源交易平台-</w:t>
            </w:r>
            <w:r>
              <w:rPr>
                <w:rFonts w:hint="eastAsia" w:ascii="宋体" w:hAnsi="宋体" w:eastAsia="宋体" w:cs="宋体"/>
                <w:bCs/>
                <w:color w:val="auto"/>
                <w:sz w:val="24"/>
                <w:szCs w:val="24"/>
                <w:highlight w:val="none"/>
                <w:lang w:val="en-US" w:eastAsia="zh-CN"/>
              </w:rPr>
              <w:t>企业端</w:t>
            </w:r>
            <w:r>
              <w:rPr>
                <w:rFonts w:hint="eastAsia" w:ascii="宋体" w:hAnsi="宋体" w:eastAsia="宋体" w:cs="宋体"/>
                <w:bCs/>
                <w:color w:val="auto"/>
                <w:sz w:val="24"/>
                <w:szCs w:val="24"/>
                <w:highlight w:val="none"/>
              </w:rPr>
              <w:t>”进行登录，登录后选择“交易乙方”身份进入，选择“上传</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”菜单页面，上传加密的电子</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 xml:space="preserve">。上传成功后，电子化平台将予以记录。 </w:t>
            </w:r>
          </w:p>
          <w:p w14:paraId="43A668F2">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中所有涉及签字、盖章的，各</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单位须将所有签字盖章完成后上传。</w:t>
            </w:r>
          </w:p>
          <w:p w14:paraId="259152F4">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5、当澄清或修改的内容影响</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编制时，</w:t>
            </w:r>
            <w:r>
              <w:rPr>
                <w:rFonts w:hint="eastAsia" w:ascii="宋体" w:hAnsi="宋体" w:eastAsia="宋体" w:cs="宋体"/>
                <w:bCs/>
                <w:color w:val="auto"/>
                <w:sz w:val="24"/>
                <w:szCs w:val="24"/>
                <w:highlight w:val="none"/>
                <w:lang w:eastAsia="zh-CN"/>
              </w:rPr>
              <w:t>采购人</w:t>
            </w:r>
            <w:r>
              <w:rPr>
                <w:rFonts w:hint="eastAsia" w:ascii="宋体" w:hAnsi="宋体" w:eastAsia="宋体" w:cs="宋体"/>
                <w:bCs/>
                <w:color w:val="auto"/>
                <w:sz w:val="24"/>
                <w:szCs w:val="24"/>
                <w:highlight w:val="none"/>
              </w:rPr>
              <w:t>将在交易平台上发布答疑文件，</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应随时关注项目信息，如有答疑文件，</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应使用最新发布的答疑文件（*.SXSCF格式）制做电子</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.SXSCF</w:t>
            </w:r>
            <w:r>
              <w:rPr>
                <w:rFonts w:hint="eastAsia" w:ascii="宋体" w:hAnsi="宋体" w:eastAsia="宋体" w:cs="宋体"/>
                <w:bCs/>
                <w:color w:val="auto"/>
                <w:sz w:val="24"/>
                <w:szCs w:val="24"/>
                <w:highlight w:val="none"/>
              </w:rPr>
              <w:t>格式），使用旧版电子招标文件或旧版答疑文件制作的电子</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，系统将拒绝接收，因</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未及时关注项目信息造成的后果</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自行承担</w:t>
            </w:r>
          </w:p>
        </w:tc>
      </w:tr>
      <w:tr w14:paraId="37717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698" w:type="dxa"/>
            <w:noWrap w:val="0"/>
            <w:vAlign w:val="center"/>
          </w:tcPr>
          <w:p w14:paraId="409D662C">
            <w:pPr>
              <w:spacing w:line="360" w:lineRule="auto"/>
              <w:ind w:left="21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17</w:t>
            </w:r>
          </w:p>
        </w:tc>
        <w:tc>
          <w:tcPr>
            <w:tcW w:w="9088" w:type="dxa"/>
            <w:noWrap w:val="0"/>
            <w:vAlign w:val="center"/>
          </w:tcPr>
          <w:p w14:paraId="5E925A73">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1、本项目采用电子化谈判响应文件与纸质谈判响应文件并行的方式。供应商须使用数字认证证书对电子化谈判响应文件进行签章、加密、递交及开标时解密等相关投标事宜。</w:t>
            </w:r>
          </w:p>
          <w:p w14:paraId="162F8E9E">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纸质谈判响应文件：为便于采购人归档和向监管部门备案，成交人须提交正本壹份、副本贰份、电子版（word版U盘）壹份。谈判响应文件可采用系统上传的电子谈判响应文件的打印件，谈判响应文件正、副本须各自装订成册，统一编码（要求胶装、不得出现活页）。每份谈判响应文件封皮须清楚地标明“正本”或“副本”成交人须邮寄正本壹份、副本贰份、电子版（word版U盘）壹份；</w:t>
            </w:r>
          </w:p>
          <w:p w14:paraId="1883C1A6">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以电报、传真、电子邮件形式递交的谈判响应文件将不予接受。</w:t>
            </w:r>
          </w:p>
          <w:p w14:paraId="67FF486A">
            <w:pPr>
              <w:spacing w:line="360" w:lineRule="auto"/>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   特别提醒：纸质谈判响应文件及电子版U盘1份（Word版谈判响应文件）邮寄的资料收到的时间直接影响结果公告时间）。</w:t>
            </w:r>
          </w:p>
          <w:p w14:paraId="27A96306">
            <w:pPr>
              <w:spacing w:line="360" w:lineRule="auto"/>
              <w:ind w:firstLine="480" w:firstLineChars="20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收件人：</w:t>
            </w:r>
            <w:r>
              <w:rPr>
                <w:rFonts w:hint="eastAsia" w:ascii="宋体" w:hAnsi="宋体" w:eastAsia="宋体" w:cs="宋体"/>
                <w:bCs/>
                <w:color w:val="auto"/>
                <w:sz w:val="24"/>
                <w:szCs w:val="22"/>
                <w:highlight w:val="none"/>
                <w:lang w:eastAsia="zh-CN"/>
              </w:rPr>
              <w:t>鹏泽项目管理有限公司</w:t>
            </w:r>
            <w:r>
              <w:rPr>
                <w:rFonts w:hint="eastAsia" w:ascii="宋体" w:hAnsi="宋体" w:eastAsia="宋体" w:cs="宋体"/>
                <w:bCs/>
                <w:color w:val="auto"/>
                <w:sz w:val="24"/>
                <w:szCs w:val="22"/>
                <w:highlight w:val="none"/>
              </w:rPr>
              <w:t xml:space="preserve">                       </w:t>
            </w:r>
          </w:p>
          <w:p w14:paraId="7406CE3B">
            <w:pPr>
              <w:spacing w:line="360" w:lineRule="auto"/>
              <w:ind w:firstLine="480" w:firstLineChars="200"/>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收件电话：</w:t>
            </w:r>
            <w:r>
              <w:rPr>
                <w:rFonts w:hint="eastAsia" w:ascii="宋体" w:hAnsi="宋体" w:eastAsia="宋体" w:cs="宋体"/>
                <w:bCs/>
                <w:color w:val="auto"/>
                <w:sz w:val="24"/>
                <w:szCs w:val="22"/>
                <w:highlight w:val="none"/>
                <w:lang w:eastAsia="zh-CN"/>
              </w:rPr>
              <w:t>18392098590</w:t>
            </w:r>
          </w:p>
          <w:p w14:paraId="7DCC413F">
            <w:pPr>
              <w:pStyle w:val="2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2"/>
                <w:highlight w:val="none"/>
              </w:rPr>
              <w:t>收件地址：</w:t>
            </w:r>
            <w:r>
              <w:rPr>
                <w:rFonts w:hint="eastAsia" w:ascii="宋体" w:hAnsi="宋体" w:eastAsia="宋体" w:cs="宋体"/>
                <w:bCs/>
                <w:color w:val="auto"/>
                <w:kern w:val="2"/>
                <w:sz w:val="24"/>
                <w:szCs w:val="22"/>
                <w:highlight w:val="none"/>
                <w:lang w:eastAsia="zh-CN"/>
              </w:rPr>
              <w:t>陕西省汉中市南郑区陕西省汉中市南郑区中所营街道办董家营村一组（董家营十字）</w:t>
            </w:r>
            <w:r>
              <w:rPr>
                <w:rFonts w:hint="eastAsia" w:ascii="宋体" w:hAnsi="宋体" w:eastAsia="宋体" w:cs="宋体"/>
                <w:bCs/>
                <w:color w:val="auto"/>
                <w:sz w:val="24"/>
                <w:szCs w:val="24"/>
                <w:highlight w:val="none"/>
              </w:rPr>
              <w:t xml:space="preserve"> </w:t>
            </w:r>
          </w:p>
        </w:tc>
      </w:tr>
      <w:tr w14:paraId="3B520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8" w:type="dxa"/>
            <w:noWrap w:val="0"/>
            <w:vAlign w:val="center"/>
          </w:tcPr>
          <w:p w14:paraId="4AC8B242">
            <w:pPr>
              <w:spacing w:line="360" w:lineRule="auto"/>
              <w:ind w:left="21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w:t>
            </w:r>
          </w:p>
        </w:tc>
        <w:tc>
          <w:tcPr>
            <w:tcW w:w="9088" w:type="dxa"/>
            <w:noWrap w:val="0"/>
            <w:vAlign w:val="center"/>
          </w:tcPr>
          <w:p w14:paraId="7582D19E">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供应商的法定代表人或其授权人应当参加谈判，须提交以下资质及竞争性谈判文件要求的其他证明材料。</w:t>
            </w:r>
          </w:p>
          <w:p w14:paraId="3604A76E">
            <w:pPr>
              <w:adjustRightInd w:val="0"/>
              <w:snapToGrid w:val="0"/>
              <w:spacing w:line="360" w:lineRule="auto"/>
              <w:ind w:left="8" w:firstLine="410" w:firstLineChars="171"/>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（一）基本资格条件：符合《中华人民共和国政府采购法》第二十二条的规定。</w:t>
            </w:r>
          </w:p>
          <w:p w14:paraId="745DBBE3">
            <w:pPr>
              <w:pStyle w:val="8"/>
              <w:adjustRightInd w:val="0"/>
              <w:snapToGrid w:val="0"/>
              <w:spacing w:after="0" w:line="360" w:lineRule="auto"/>
              <w:ind w:firstLine="420" w:firstLineChars="175"/>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（二）特定资格条件：</w:t>
            </w:r>
          </w:p>
          <w:p w14:paraId="783C851E">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(1)供应商具有独立承担民事责任能力的法人、其他组织或自然人，并出具合法有效的营业执照或事业单位法人证书等国家规定的相关证明，自然人参与的提供其身份证明；</w:t>
            </w:r>
          </w:p>
          <w:p w14:paraId="03B71916">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(2)供应商须具有履行合同所必需的设备和专业技术能力（提供相关证明材料或承诺书）；</w:t>
            </w:r>
          </w:p>
          <w:p w14:paraId="02E77F38">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(3)税收缴纳证明：提供2025年09月至今已缴纳的至少一个月的纳税证明或完税证明，依法免税的单位应提供相关证明材料；</w:t>
            </w:r>
          </w:p>
          <w:p w14:paraId="7167383A">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(4)社会保障资金缴纳证明：提供2025年09月至今已缴存的至少一个月的社会保障资金缴存单据或社保机构开具的社会保险参保缴费情况证明，依法不需要缴纳社会保障资金的单位应提供相关证明材料；</w:t>
            </w:r>
          </w:p>
          <w:p w14:paraId="3B2EB6D5">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(5)财务状况报告：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或自然人提供银行出具的资信证明或财务报表；</w:t>
            </w:r>
          </w:p>
          <w:p w14:paraId="570D3732">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(6)供应商不得为“信用中国”网站（www.creditchina.gov.cn）中列入严重失信主体名单和重大税收违法失信主体名单的供应商，不得为中国政府采购网（www.ccgp.gov.cn）政府采购严重违法失信行为记录名单中被财政部门禁止参加政府采购活动的供应商；（提供查询结果网页截图并加盖供应商公章查询日期为从公告之日起至投标截止日前）有以上不良记录的不得参与评审活动，同时提供供应商信用承诺书；</w:t>
            </w:r>
          </w:p>
          <w:p w14:paraId="0786839E">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(7)参加政府采购活动前三年内，在经营活动中没有重大违法记录的书面声明；</w:t>
            </w:r>
          </w:p>
          <w:p w14:paraId="20A8A44C">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(8)本项目采用投标信用承诺书代替投标保证金，提供信用中国（陕西榆林）承诺网页截图；</w:t>
            </w:r>
          </w:p>
          <w:p w14:paraId="6A95CC1D">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(9)本项目专门面向中小企业采购（须提供中小企业声明函）；</w:t>
            </w:r>
          </w:p>
          <w:p w14:paraId="0533F973">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(10)供应商须具备相关行政主管部门颁发的【工程勘察综合资质甲级】或【工程勘察（岩土工程勘察）专业乙级】及以上资质和地质灾害评估和治理工程勘查设计乙级及以上资质；拟派项目负责人具备注册土木工程师（岩土）执业资格，并在本单位登记注册。</w:t>
            </w:r>
          </w:p>
          <w:p w14:paraId="3369D860">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注：本项目不接受联合体投标，单位负责人为同一人或者存在直接控股、管理关系的不同供应商，不得参加同一合同项下的政府采购活动。</w:t>
            </w:r>
          </w:p>
          <w:p w14:paraId="2270267A">
            <w:pPr>
              <w:adjustRightInd w:val="0"/>
              <w:snapToGrid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注：上述资质为必备资质，欠缺其中任何一项按无效响应文件处理。</w:t>
            </w:r>
          </w:p>
        </w:tc>
      </w:tr>
      <w:tr w14:paraId="0F94D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8" w:type="dxa"/>
            <w:noWrap w:val="0"/>
            <w:vAlign w:val="center"/>
          </w:tcPr>
          <w:p w14:paraId="3D7B8840">
            <w:pPr>
              <w:spacing w:line="360" w:lineRule="auto"/>
              <w:ind w:left="21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19</w:t>
            </w:r>
          </w:p>
        </w:tc>
        <w:tc>
          <w:tcPr>
            <w:tcW w:w="9088" w:type="dxa"/>
            <w:noWrap w:val="0"/>
            <w:vAlign w:val="center"/>
          </w:tcPr>
          <w:p w14:paraId="57FE3708">
            <w:pPr>
              <w:spacing w:line="360" w:lineRule="auto"/>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支持中小企业发展：</w:t>
            </w:r>
          </w:p>
          <w:p w14:paraId="091CF9F0">
            <w:pPr>
              <w:snapToGrid w:val="0"/>
              <w:spacing w:line="360" w:lineRule="auto"/>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eq \o\ac(□</w:instrText>
            </w:r>
            <w:r>
              <w:rPr>
                <w:rFonts w:hint="eastAsia" w:ascii="宋体" w:hAnsi="宋体" w:eastAsia="宋体" w:cs="宋体"/>
                <w:bCs/>
                <w:color w:val="auto"/>
                <w:sz w:val="24"/>
                <w:szCs w:val="24"/>
                <w:highlight w:val="none"/>
                <w:lang w:eastAsia="zh-CN"/>
              </w:rPr>
              <w:instrText xml:space="preserve">,</w:instrText>
            </w:r>
            <w:r>
              <w:rPr>
                <w:rFonts w:hint="eastAsia" w:ascii="宋体" w:hAnsi="宋体" w:eastAsia="宋体" w:cs="宋体"/>
                <w:bCs/>
                <w:color w:val="auto"/>
                <w:position w:val="2"/>
                <w:sz w:val="16"/>
                <w:szCs w:val="24"/>
                <w:highlight w:val="none"/>
                <w:lang w:eastAsia="zh-CN"/>
              </w:rPr>
              <w:instrText xml:space="preserve">√</w:instrText>
            </w:r>
            <w:r>
              <w:rPr>
                <w:rFonts w:hint="eastAsia" w:ascii="宋体" w:hAnsi="宋体" w:eastAsia="宋体" w:cs="宋体"/>
                <w:bCs/>
                <w:color w:val="auto"/>
                <w:sz w:val="24"/>
                <w:szCs w:val="24"/>
                <w:highlight w:val="none"/>
              </w:rPr>
              <w:instrText xml:space="preserve">)</w:instrTex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专门面向中小企业采购项目</w:t>
            </w:r>
          </w:p>
          <w:p w14:paraId="56F3F6E1">
            <w:pPr>
              <w:snapToGrid w:val="0"/>
              <w:spacing w:line="360" w:lineRule="auto"/>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eq \o\ac(□)</w:instrTex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非专门面向中小企业采购项目（价格扣除）：</w:t>
            </w:r>
          </w:p>
          <w:p w14:paraId="307FC92A">
            <w:pPr>
              <w:snapToGrid w:val="0"/>
              <w:spacing w:line="360" w:lineRule="auto"/>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sym w:font="Wingdings" w:char="F081"/>
            </w:r>
            <w:r>
              <w:rPr>
                <w:rFonts w:hint="eastAsia" w:ascii="宋体" w:hAnsi="宋体" w:eastAsia="宋体" w:cs="宋体"/>
                <w:bCs/>
                <w:color w:val="auto"/>
                <w:sz w:val="24"/>
                <w:szCs w:val="24"/>
                <w:highlight w:val="none"/>
              </w:rPr>
              <w:t>对小型和微型企业产品的价格给与10%~20%的扣除，用扣除后的价格参与评审。本项目的扣除比例为：小型企业扣除20%，微型企业扣除20%。</w:t>
            </w:r>
          </w:p>
          <w:p w14:paraId="1CADF10F">
            <w:pPr>
              <w:snapToGrid w:val="0"/>
              <w:spacing w:line="360" w:lineRule="auto"/>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sym w:font="Wingdings" w:char="F082"/>
            </w:r>
            <w:r>
              <w:rPr>
                <w:rFonts w:hint="eastAsia" w:ascii="宋体" w:hAnsi="宋体" w:eastAsia="宋体" w:cs="宋体"/>
                <w:bCs/>
                <w:color w:val="auto"/>
                <w:sz w:val="24"/>
                <w:szCs w:val="24"/>
                <w:highlight w:val="none"/>
              </w:rPr>
              <w:t>本项目接收受联合体投标的，若小型和微型企业的协议合同金额占到联合体协议合同金额30%以上的，可给予联合体 4% ~6%的扣除，用扣除后的价格参与评审。本项目的扣除比例为：6%。</w:t>
            </w:r>
          </w:p>
          <w:p w14:paraId="7544374F">
            <w:pPr>
              <w:pStyle w:val="17"/>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eq \o\ac(□)</w:instrTex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非专门面向中小企业采购项目</w:t>
            </w:r>
          </w:p>
        </w:tc>
      </w:tr>
      <w:tr w14:paraId="4FEF3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8" w:type="dxa"/>
            <w:noWrap w:val="0"/>
            <w:vAlign w:val="center"/>
          </w:tcPr>
          <w:p w14:paraId="6F13D0AC">
            <w:pPr>
              <w:spacing w:line="360" w:lineRule="auto"/>
              <w:ind w:left="21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20</w:t>
            </w:r>
          </w:p>
        </w:tc>
        <w:tc>
          <w:tcPr>
            <w:tcW w:w="9088" w:type="dxa"/>
            <w:noWrap w:val="0"/>
            <w:vAlign w:val="center"/>
          </w:tcPr>
          <w:p w14:paraId="53206A08">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各行业划分标准具体为</w:t>
            </w:r>
          </w:p>
          <w:p w14:paraId="3FDF3CCB">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1、农、林、牧、渔业。营业收入20000万元以下的为中小微型企业。其中，营业收入500万元及以上的为中型企业,营业收入50万元及以上的为小型企业，营业收入50万元以下的为微型企业。　　</w:t>
            </w:r>
          </w:p>
          <w:p w14:paraId="0C772922">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p>
          <w:p w14:paraId="4D5E1EB6">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p>
          <w:p w14:paraId="2A6B8862">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p>
          <w:p w14:paraId="2E89C098">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p>
          <w:p w14:paraId="0A6BAB78">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14:paraId="7D5AEDA4">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　　</w:t>
            </w:r>
          </w:p>
          <w:p w14:paraId="2C6ED1DC">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8、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p>
          <w:p w14:paraId="57994622">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503226EB">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10、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7375C0C5">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11、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p>
          <w:p w14:paraId="1DA707C7">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p>
          <w:p w14:paraId="1334B13D">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p>
          <w:p w14:paraId="3D62DDC7">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14、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6AF19E9C">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15、租赁和商务服务业。从业人员300人以下或资产总额120000万元以下的为中小微型企业.其中，从业人员100人及以上，且资产总额8000万元及以上的为中型企业；从业人员10人及以上，且资产总额100万元及以上的为小型企业。</w:t>
            </w:r>
          </w:p>
          <w:p w14:paraId="2E3B7B2A">
            <w:pPr>
              <w:adjustRightInd w:val="0"/>
              <w:snapToGrid w:val="0"/>
              <w:spacing w:line="360" w:lineRule="auto"/>
              <w:rPr>
                <w:rFonts w:hint="eastAsia" w:ascii="宋体" w:hAnsi="宋体" w:eastAsia="宋体" w:cs="宋体"/>
                <w:bCs/>
                <w:color w:val="auto"/>
                <w:highlight w:val="none"/>
              </w:rPr>
            </w:pPr>
            <w:r>
              <w:rPr>
                <w:rFonts w:hint="eastAsia" w:ascii="宋体" w:hAnsi="宋体" w:eastAsia="宋体" w:cs="宋体"/>
                <w:bCs/>
                <w:color w:val="auto"/>
                <w:sz w:val="24"/>
                <w:highlight w:val="none"/>
              </w:rPr>
              <w:t>16、其他未列明行业。从业人员300人以下的为中小微型企业。其中，从业人员100人及以上的为中型企业;从业人员10人及以上的为小型企业；从业人员10人以下的为微型企业。</w:t>
            </w:r>
          </w:p>
          <w:p w14:paraId="331FD174">
            <w:pPr>
              <w:adjustRightInd w:val="0"/>
              <w:snapToGrid w:val="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szCs w:val="24"/>
                <w:highlight w:val="none"/>
              </w:rPr>
              <w:t>本项目属于：其他未列明行业</w:t>
            </w:r>
            <w:r>
              <w:rPr>
                <w:rFonts w:hint="eastAsia" w:ascii="宋体" w:hAnsi="宋体" w:eastAsia="宋体" w:cs="宋体"/>
                <w:bCs/>
                <w:color w:val="auto"/>
                <w:sz w:val="24"/>
                <w:szCs w:val="24"/>
                <w:highlight w:val="none"/>
                <w:lang w:eastAsia="zh-CN"/>
              </w:rPr>
              <w:t>。</w:t>
            </w:r>
          </w:p>
        </w:tc>
      </w:tr>
      <w:tr w14:paraId="67720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8" w:type="dxa"/>
            <w:noWrap w:val="0"/>
            <w:vAlign w:val="center"/>
          </w:tcPr>
          <w:p w14:paraId="697D4BC4">
            <w:pPr>
              <w:spacing w:line="360" w:lineRule="auto"/>
              <w:ind w:left="21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21</w:t>
            </w:r>
          </w:p>
        </w:tc>
        <w:tc>
          <w:tcPr>
            <w:tcW w:w="9088" w:type="dxa"/>
            <w:noWrap w:val="0"/>
            <w:vAlign w:val="center"/>
          </w:tcPr>
          <w:p w14:paraId="4EF12C3B">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支持监狱企业发展：</w:t>
            </w:r>
          </w:p>
          <w:p w14:paraId="7EF9D249">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eq \o\ac(</w:instrText>
            </w:r>
            <w:r>
              <w:rPr>
                <w:rFonts w:hint="eastAsia" w:ascii="宋体" w:hAnsi="宋体" w:eastAsia="宋体" w:cs="宋体"/>
                <w:bCs/>
                <w:color w:val="auto"/>
                <w:position w:val="-4"/>
                <w:sz w:val="36"/>
                <w:szCs w:val="24"/>
                <w:highlight w:val="none"/>
              </w:rPr>
              <w:instrText xml:space="preserve">□</w:instrText>
            </w:r>
            <w:r>
              <w:rPr>
                <w:rFonts w:hint="eastAsia" w:ascii="宋体" w:hAnsi="宋体" w:eastAsia="宋体" w:cs="宋体"/>
                <w:bCs/>
                <w:color w:val="auto"/>
                <w:sz w:val="24"/>
                <w:szCs w:val="24"/>
                <w:highlight w:val="none"/>
              </w:rPr>
              <w:instrText xml:space="preserve">)</w:instrTex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专门面向监狱企业采购项目</w:t>
            </w:r>
          </w:p>
          <w:p w14:paraId="69E1EE02">
            <w:pPr>
              <w:adjustRightInd w:val="0"/>
              <w:snapToGrid w:val="0"/>
              <w:spacing w:line="360" w:lineRule="auto"/>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eq \o\ac(</w:instrText>
            </w:r>
            <w:r>
              <w:rPr>
                <w:rFonts w:hint="eastAsia" w:ascii="宋体" w:hAnsi="宋体" w:eastAsia="宋体" w:cs="宋体"/>
                <w:bCs/>
                <w:color w:val="auto"/>
                <w:position w:val="-4"/>
                <w:sz w:val="36"/>
                <w:szCs w:val="24"/>
                <w:highlight w:val="none"/>
              </w:rPr>
              <w:instrText xml:space="preserve">□,</w:instrText>
            </w:r>
            <w:r>
              <w:rPr>
                <w:rFonts w:hint="eastAsia" w:ascii="宋体" w:hAnsi="宋体" w:eastAsia="宋体" w:cs="宋体"/>
                <w:bCs/>
                <w:color w:val="auto"/>
                <w:sz w:val="25"/>
                <w:szCs w:val="24"/>
                <w:highlight w:val="none"/>
              </w:rPr>
              <w:instrText xml:space="preserve">√</w:instrText>
            </w:r>
            <w:r>
              <w:rPr>
                <w:rFonts w:hint="eastAsia" w:ascii="宋体" w:hAnsi="宋体" w:eastAsia="宋体" w:cs="宋体"/>
                <w:bCs/>
                <w:color w:val="auto"/>
                <w:sz w:val="24"/>
                <w:szCs w:val="24"/>
                <w:highlight w:val="none"/>
              </w:rPr>
              <w:instrText xml:space="preserve">)</w:instrTex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非专门面向监狱企业采购项目（价格扣除）：视同小微企业</w:t>
            </w:r>
          </w:p>
        </w:tc>
      </w:tr>
      <w:tr w14:paraId="250DD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8" w:type="dxa"/>
            <w:noWrap w:val="0"/>
            <w:vAlign w:val="center"/>
          </w:tcPr>
          <w:p w14:paraId="5DACED7F">
            <w:pPr>
              <w:spacing w:line="360" w:lineRule="auto"/>
              <w:ind w:left="21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22</w:t>
            </w:r>
          </w:p>
        </w:tc>
        <w:tc>
          <w:tcPr>
            <w:tcW w:w="9088" w:type="dxa"/>
            <w:noWrap w:val="0"/>
            <w:vAlign w:val="center"/>
          </w:tcPr>
          <w:p w14:paraId="4A3319E0">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踏勘现场:</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eq \o\ac(□,√)</w:instrTex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不组织</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eq \o\ac(□)</w:instrTex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组织，本项目采购人及代理机构不集中组织踏勘现场；需要现场踏勘的，由</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自行踏勘，安全责任由</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自负，费用自理。如需踏勘，请按招标公告中的联系方式联系采购人。</w:t>
            </w:r>
          </w:p>
        </w:tc>
      </w:tr>
      <w:tr w14:paraId="79649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8" w:type="dxa"/>
            <w:noWrap w:val="0"/>
            <w:vAlign w:val="center"/>
          </w:tcPr>
          <w:p w14:paraId="09148BD4">
            <w:pPr>
              <w:spacing w:line="360" w:lineRule="auto"/>
              <w:ind w:left="21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23</w:t>
            </w:r>
          </w:p>
        </w:tc>
        <w:tc>
          <w:tcPr>
            <w:tcW w:w="9088" w:type="dxa"/>
            <w:noWrap w:val="0"/>
            <w:vAlign w:val="center"/>
          </w:tcPr>
          <w:p w14:paraId="33A2A18C">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投标答疑会:</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eq \o\ac(□,√)</w:instrTex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不召开</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eq \o\ac(□)</w:instrTex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召开，招标代理机构将对供应商所提出的问题予以解答，并出具书面答疑纪要。答疑纪要为招标文件的组成部分，与招标文件具有同等法律效力。</w:t>
            </w:r>
          </w:p>
        </w:tc>
      </w:tr>
      <w:tr w14:paraId="5ADDC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noWrap w:val="0"/>
            <w:vAlign w:val="center"/>
          </w:tcPr>
          <w:p w14:paraId="44EC0EFF">
            <w:pPr>
              <w:spacing w:line="360" w:lineRule="auto"/>
              <w:ind w:left="21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24</w:t>
            </w:r>
          </w:p>
        </w:tc>
        <w:tc>
          <w:tcPr>
            <w:tcW w:w="9088" w:type="dxa"/>
            <w:noWrap w:val="0"/>
            <w:vAlign w:val="center"/>
          </w:tcPr>
          <w:p w14:paraId="753C510B">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分包：</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eq \o\ac(□,</w:instrText>
            </w:r>
            <w:r>
              <w:rPr>
                <w:rFonts w:hint="eastAsia" w:ascii="宋体" w:hAnsi="宋体" w:eastAsia="宋体" w:cs="宋体"/>
                <w:bCs/>
                <w:color w:val="auto"/>
                <w:position w:val="2"/>
                <w:sz w:val="16"/>
                <w:szCs w:val="24"/>
                <w:highlight w:val="none"/>
              </w:rPr>
              <w:instrText xml:space="preserve">√</w:instrText>
            </w:r>
            <w:r>
              <w:rPr>
                <w:rFonts w:hint="eastAsia" w:ascii="宋体" w:hAnsi="宋体" w:eastAsia="宋体" w:cs="宋体"/>
                <w:bCs/>
                <w:color w:val="auto"/>
                <w:sz w:val="24"/>
                <w:szCs w:val="24"/>
                <w:highlight w:val="none"/>
              </w:rPr>
              <w:instrText xml:space="preserve">)</w:instrTex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不允许:</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eq \o\ac(□)</w:instrTex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允许</w:t>
            </w:r>
          </w:p>
        </w:tc>
      </w:tr>
      <w:tr w14:paraId="0A6A1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98" w:type="dxa"/>
            <w:noWrap w:val="0"/>
            <w:vAlign w:val="center"/>
          </w:tcPr>
          <w:p w14:paraId="097CB2F7">
            <w:pPr>
              <w:spacing w:line="360" w:lineRule="auto"/>
              <w:ind w:left="21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25</w:t>
            </w:r>
          </w:p>
        </w:tc>
        <w:tc>
          <w:tcPr>
            <w:tcW w:w="9088" w:type="dxa"/>
            <w:noWrap w:val="0"/>
            <w:vAlign w:val="center"/>
          </w:tcPr>
          <w:p w14:paraId="21D4AF42">
            <w:pPr>
              <w:widowControl/>
              <w:wordWrap w:val="0"/>
              <w:topLinePunct/>
              <w:adjustRightInd w:val="0"/>
              <w:snapToGrid w:val="0"/>
              <w:spacing w:line="360" w:lineRule="auto"/>
              <w:jc w:val="left"/>
              <w:textAlignment w:val="center"/>
              <w:rPr>
                <w:rFonts w:hint="eastAsia" w:ascii="宋体" w:hAnsi="宋体" w:eastAsia="宋体" w:cs="宋体"/>
                <w:bCs/>
                <w:color w:val="auto"/>
                <w:sz w:val="24"/>
                <w:szCs w:val="24"/>
                <w:highlight w:val="none"/>
                <w:lang w:val="zh-TW"/>
              </w:rPr>
            </w:pPr>
            <w:r>
              <w:rPr>
                <w:rFonts w:hint="eastAsia" w:ascii="宋体" w:hAnsi="宋体" w:eastAsia="宋体" w:cs="宋体"/>
                <w:bCs/>
                <w:color w:val="auto"/>
                <w:sz w:val="24"/>
                <w:szCs w:val="24"/>
                <w:highlight w:val="none"/>
              </w:rPr>
              <w:t>公共资源信用承诺:</w:t>
            </w:r>
            <w:r>
              <w:rPr>
                <w:rFonts w:hint="eastAsia" w:ascii="宋体" w:hAnsi="宋体" w:eastAsia="宋体" w:cs="宋体"/>
                <w:bCs/>
                <w:color w:val="auto"/>
                <w:sz w:val="24"/>
                <w:szCs w:val="24"/>
                <w:highlight w:val="none"/>
                <w:lang w:val="zh-TW"/>
              </w:rPr>
              <w:t>进入公共资源交易平台的各</w:t>
            </w:r>
            <w:r>
              <w:rPr>
                <w:rFonts w:hint="eastAsia" w:ascii="宋体" w:hAnsi="宋体" w:eastAsia="宋体" w:cs="宋体"/>
                <w:bCs/>
                <w:color w:val="auto"/>
                <w:sz w:val="24"/>
                <w:szCs w:val="24"/>
                <w:highlight w:val="none"/>
                <w:lang w:val="zh-TW" w:eastAsia="zh-CN"/>
              </w:rPr>
              <w:t>供应商</w:t>
            </w:r>
            <w:r>
              <w:rPr>
                <w:rFonts w:hint="eastAsia" w:ascii="宋体" w:hAnsi="宋体" w:eastAsia="宋体" w:cs="宋体"/>
                <w:bCs/>
                <w:color w:val="auto"/>
                <w:sz w:val="24"/>
                <w:szCs w:val="24"/>
                <w:highlight w:val="none"/>
                <w:lang w:val="zh-TW"/>
              </w:rPr>
              <w:t>，均应在“信用中国（陕西榆林）”网站进行注册、登录、自主上报信用承诺书（网址：</w:t>
            </w: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HYPERLINK "https://credit.yl.gov.cn/）。各投标人注册、登录后根据承诺事项选择相应的模板填写《信用承诺书》，并载明承诺事由，投标人、投标人委托代理人员、投标信用的承诺事由为“项目名称及标段”。操作指南见附件。"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sz w:val="24"/>
                <w:szCs w:val="24"/>
                <w:highlight w:val="none"/>
              </w:rPr>
              <w:t>https://credit.yl.gov.cn/</w:t>
            </w:r>
            <w:r>
              <w:rPr>
                <w:rFonts w:hint="eastAsia" w:ascii="宋体" w:hAnsi="宋体" w:eastAsia="宋体" w:cs="宋体"/>
                <w:bCs/>
                <w:color w:val="auto"/>
                <w:sz w:val="24"/>
                <w:szCs w:val="24"/>
                <w:highlight w:val="none"/>
                <w:lang w:val="zh-TW"/>
              </w:rPr>
              <w:t>）。各</w:t>
            </w:r>
            <w:r>
              <w:rPr>
                <w:rFonts w:hint="eastAsia" w:ascii="宋体" w:hAnsi="宋体" w:eastAsia="宋体" w:cs="宋体"/>
                <w:bCs/>
                <w:color w:val="auto"/>
                <w:sz w:val="24"/>
                <w:szCs w:val="24"/>
                <w:highlight w:val="none"/>
                <w:lang w:val="zh-TW" w:eastAsia="zh-CN"/>
              </w:rPr>
              <w:t>供应商</w:t>
            </w:r>
            <w:r>
              <w:rPr>
                <w:rFonts w:hint="eastAsia" w:ascii="宋体" w:hAnsi="宋体" w:eastAsia="宋体" w:cs="宋体"/>
                <w:bCs/>
                <w:color w:val="auto"/>
                <w:sz w:val="24"/>
                <w:szCs w:val="24"/>
                <w:highlight w:val="none"/>
                <w:lang w:val="zh-TW"/>
              </w:rPr>
              <w:t>注册、登录后根据承诺事项选择相应的模板填写《信用承诺书》，并载明承诺事由，</w:t>
            </w:r>
            <w:r>
              <w:rPr>
                <w:rFonts w:hint="eastAsia" w:ascii="宋体" w:hAnsi="宋体" w:eastAsia="宋体" w:cs="宋体"/>
                <w:bCs/>
                <w:color w:val="auto"/>
                <w:sz w:val="24"/>
                <w:szCs w:val="24"/>
                <w:highlight w:val="none"/>
                <w:lang w:val="zh-TW" w:eastAsia="zh-CN"/>
              </w:rPr>
              <w:t>供应商</w:t>
            </w:r>
            <w:r>
              <w:rPr>
                <w:rFonts w:hint="eastAsia" w:ascii="宋体" w:hAnsi="宋体" w:eastAsia="宋体" w:cs="宋体"/>
                <w:bCs/>
                <w:color w:val="auto"/>
                <w:sz w:val="24"/>
                <w:szCs w:val="24"/>
                <w:highlight w:val="none"/>
                <w:lang w:val="zh-TW"/>
              </w:rPr>
              <w:t>、</w:t>
            </w:r>
            <w:r>
              <w:rPr>
                <w:rFonts w:hint="eastAsia" w:ascii="宋体" w:hAnsi="宋体" w:eastAsia="宋体" w:cs="宋体"/>
                <w:bCs/>
                <w:color w:val="auto"/>
                <w:sz w:val="24"/>
                <w:szCs w:val="24"/>
                <w:highlight w:val="none"/>
                <w:lang w:val="zh-TW" w:eastAsia="zh-CN"/>
              </w:rPr>
              <w:t>供应商</w:t>
            </w:r>
            <w:r>
              <w:rPr>
                <w:rFonts w:hint="eastAsia" w:ascii="宋体" w:hAnsi="宋体" w:eastAsia="宋体" w:cs="宋体"/>
                <w:bCs/>
                <w:color w:val="auto"/>
                <w:sz w:val="24"/>
                <w:szCs w:val="24"/>
                <w:highlight w:val="none"/>
                <w:lang w:val="zh-TW"/>
              </w:rPr>
              <w:t>委托代理人员、投标信用的承诺事由为“项目名称”。操作指南见附件。</w:t>
            </w:r>
            <w:r>
              <w:rPr>
                <w:rFonts w:hint="eastAsia" w:ascii="宋体" w:hAnsi="宋体" w:eastAsia="宋体" w:cs="宋体"/>
                <w:bCs/>
                <w:color w:val="auto"/>
                <w:sz w:val="24"/>
                <w:szCs w:val="24"/>
                <w:highlight w:val="none"/>
                <w:lang w:val="zh-TW"/>
              </w:rPr>
              <w:fldChar w:fldCharType="end"/>
            </w:r>
          </w:p>
          <w:p w14:paraId="51DF590B">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（供应商）请将申报截图附在谈判响应文件中。</w:t>
            </w:r>
          </w:p>
        </w:tc>
      </w:tr>
      <w:tr w14:paraId="626F9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8" w:type="dxa"/>
            <w:noWrap w:val="0"/>
            <w:vAlign w:val="center"/>
          </w:tcPr>
          <w:p w14:paraId="5986E4B0">
            <w:pPr>
              <w:spacing w:line="360" w:lineRule="auto"/>
              <w:ind w:left="21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26</w:t>
            </w:r>
          </w:p>
        </w:tc>
        <w:tc>
          <w:tcPr>
            <w:tcW w:w="9088" w:type="dxa"/>
            <w:noWrap w:val="0"/>
            <w:vAlign w:val="center"/>
          </w:tcPr>
          <w:p w14:paraId="61818E48">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谈判响应文件中的复印件（含扫描件）必须加盖供应商公章（鲜章），否则按无效文件处理。所有复印件应是最新、有效、清晰的。因复印件不清晰而可能导致资料无效，由投标供应商自行负责。</w:t>
            </w:r>
          </w:p>
        </w:tc>
      </w:tr>
      <w:tr w14:paraId="536F6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698" w:type="dxa"/>
            <w:noWrap w:val="0"/>
            <w:vAlign w:val="center"/>
          </w:tcPr>
          <w:p w14:paraId="45E025A9">
            <w:pPr>
              <w:spacing w:line="360" w:lineRule="auto"/>
              <w:ind w:left="21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27</w:t>
            </w:r>
          </w:p>
        </w:tc>
        <w:tc>
          <w:tcPr>
            <w:tcW w:w="9088" w:type="dxa"/>
            <w:noWrap w:val="0"/>
            <w:vAlign w:val="center"/>
          </w:tcPr>
          <w:p w14:paraId="5505E15D">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合同签订：成交供应商和采购人签订合同。</w:t>
            </w:r>
          </w:p>
        </w:tc>
      </w:tr>
      <w:tr w14:paraId="78DDF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noWrap w:val="0"/>
            <w:vAlign w:val="center"/>
          </w:tcPr>
          <w:p w14:paraId="6BC4AF3A">
            <w:pPr>
              <w:spacing w:line="360" w:lineRule="auto"/>
              <w:ind w:left="21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28</w:t>
            </w:r>
          </w:p>
        </w:tc>
        <w:tc>
          <w:tcPr>
            <w:tcW w:w="9088" w:type="dxa"/>
            <w:noWrap w:val="0"/>
            <w:vAlign w:val="center"/>
          </w:tcPr>
          <w:p w14:paraId="3ABBD106">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招标代理服务费：</w:t>
            </w:r>
          </w:p>
          <w:p w14:paraId="5BC97CAD">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代理机构参照国家计委关于印发《招标代理服务收费管理暂行办法》的通知（计价格〔2002〕1980号）、《国家发展和改革委员会办公厅关于招标代理服务收费有关问题的通知》（发改办价格〔2003〕857号）规定向中标（成交）供应商收取代理服务费</w:t>
            </w:r>
            <w:r>
              <w:rPr>
                <w:rFonts w:hint="eastAsia" w:ascii="宋体" w:hAnsi="宋体" w:eastAsia="宋体" w:cs="宋体"/>
                <w:bCs/>
                <w:color w:val="auto"/>
                <w:sz w:val="24"/>
                <w:highlight w:val="none"/>
              </w:rPr>
              <w:t>。</w:t>
            </w:r>
          </w:p>
          <w:p w14:paraId="04CAD3B9">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2、支付方式：成交供应商应在领取通知书的同时，向</w:t>
            </w:r>
            <w:r>
              <w:rPr>
                <w:rFonts w:hint="eastAsia" w:ascii="宋体" w:hAnsi="宋体" w:eastAsia="宋体" w:cs="宋体"/>
                <w:bCs/>
                <w:color w:val="auto"/>
                <w:sz w:val="24"/>
                <w:szCs w:val="24"/>
                <w:highlight w:val="none"/>
                <w:lang w:eastAsia="zh-CN"/>
              </w:rPr>
              <w:t>鹏泽项目管理有限公司</w:t>
            </w:r>
            <w:r>
              <w:rPr>
                <w:rFonts w:hint="eastAsia" w:ascii="宋体" w:hAnsi="宋体" w:eastAsia="宋体" w:cs="宋体"/>
                <w:bCs/>
                <w:color w:val="auto"/>
                <w:sz w:val="24"/>
                <w:szCs w:val="24"/>
                <w:highlight w:val="none"/>
              </w:rPr>
              <w:t>交纳本项目采购代理服务费。</w:t>
            </w:r>
          </w:p>
          <w:p w14:paraId="5320648F">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3、采购代理服务费按差额定率累进法计算：</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51"/>
              <w:gridCol w:w="1630"/>
              <w:gridCol w:w="1938"/>
              <w:gridCol w:w="1939"/>
            </w:tblGrid>
            <w:tr w14:paraId="5DC76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2751" w:type="dxa"/>
                  <w:noWrap w:val="0"/>
                  <w:vAlign w:val="top"/>
                </w:tcPr>
                <w:p w14:paraId="17F4830D">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服务类型/费率/中标金额（万元）</w:t>
                  </w:r>
                </w:p>
              </w:tc>
              <w:tc>
                <w:tcPr>
                  <w:tcW w:w="1630" w:type="dxa"/>
                  <w:noWrap w:val="0"/>
                  <w:vAlign w:val="center"/>
                </w:tcPr>
                <w:p w14:paraId="43BDE15B">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货物招标</w:t>
                  </w:r>
                </w:p>
              </w:tc>
              <w:tc>
                <w:tcPr>
                  <w:tcW w:w="1938" w:type="dxa"/>
                  <w:noWrap w:val="0"/>
                  <w:vAlign w:val="center"/>
                </w:tcPr>
                <w:p w14:paraId="0B7EF6DB">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服务招标</w:t>
                  </w:r>
                </w:p>
              </w:tc>
              <w:tc>
                <w:tcPr>
                  <w:tcW w:w="1939" w:type="dxa"/>
                  <w:noWrap w:val="0"/>
                  <w:vAlign w:val="center"/>
                </w:tcPr>
                <w:p w14:paraId="425D84DB">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工程招标</w:t>
                  </w:r>
                </w:p>
              </w:tc>
            </w:tr>
            <w:tr w14:paraId="6241E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2751" w:type="dxa"/>
                  <w:noWrap w:val="0"/>
                  <w:vAlign w:val="top"/>
                </w:tcPr>
                <w:p w14:paraId="6DCC9C6F">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100以下</w:t>
                  </w:r>
                </w:p>
              </w:tc>
              <w:tc>
                <w:tcPr>
                  <w:tcW w:w="1630" w:type="dxa"/>
                  <w:noWrap w:val="0"/>
                  <w:vAlign w:val="top"/>
                </w:tcPr>
                <w:p w14:paraId="0AF9F603">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w:t>
                  </w:r>
                </w:p>
              </w:tc>
              <w:tc>
                <w:tcPr>
                  <w:tcW w:w="1938" w:type="dxa"/>
                  <w:noWrap w:val="0"/>
                  <w:vAlign w:val="top"/>
                </w:tcPr>
                <w:p w14:paraId="3D3A14D0">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w:t>
                  </w:r>
                </w:p>
              </w:tc>
              <w:tc>
                <w:tcPr>
                  <w:tcW w:w="1939" w:type="dxa"/>
                  <w:noWrap w:val="0"/>
                  <w:vAlign w:val="top"/>
                </w:tcPr>
                <w:p w14:paraId="0CE2A6C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w:t>
                  </w:r>
                </w:p>
              </w:tc>
            </w:tr>
            <w:tr w14:paraId="0A3BD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2751" w:type="dxa"/>
                  <w:noWrap w:val="0"/>
                  <w:vAlign w:val="top"/>
                </w:tcPr>
                <w:p w14:paraId="4EE8E75F">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100-500</w:t>
                  </w:r>
                </w:p>
              </w:tc>
              <w:tc>
                <w:tcPr>
                  <w:tcW w:w="1630" w:type="dxa"/>
                  <w:noWrap w:val="0"/>
                  <w:vAlign w:val="top"/>
                </w:tcPr>
                <w:p w14:paraId="779BD22D">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w:t>
                  </w:r>
                </w:p>
              </w:tc>
              <w:tc>
                <w:tcPr>
                  <w:tcW w:w="1938" w:type="dxa"/>
                  <w:noWrap w:val="0"/>
                  <w:vAlign w:val="top"/>
                </w:tcPr>
                <w:p w14:paraId="08814BC4">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0.8%</w:t>
                  </w:r>
                </w:p>
              </w:tc>
              <w:tc>
                <w:tcPr>
                  <w:tcW w:w="1939" w:type="dxa"/>
                  <w:noWrap w:val="0"/>
                  <w:vAlign w:val="top"/>
                </w:tcPr>
                <w:p w14:paraId="7C79D733">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0.7%</w:t>
                  </w:r>
                </w:p>
              </w:tc>
            </w:tr>
            <w:tr w14:paraId="33C48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2751" w:type="dxa"/>
                  <w:noWrap w:val="0"/>
                  <w:vAlign w:val="top"/>
                </w:tcPr>
                <w:p w14:paraId="0C5DBB27">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500-1000</w:t>
                  </w:r>
                </w:p>
              </w:tc>
              <w:tc>
                <w:tcPr>
                  <w:tcW w:w="1630" w:type="dxa"/>
                  <w:noWrap w:val="0"/>
                  <w:vAlign w:val="top"/>
                </w:tcPr>
                <w:p w14:paraId="42A6D3BC">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0.8%</w:t>
                  </w:r>
                </w:p>
              </w:tc>
              <w:tc>
                <w:tcPr>
                  <w:tcW w:w="1938" w:type="dxa"/>
                  <w:noWrap w:val="0"/>
                  <w:vAlign w:val="top"/>
                </w:tcPr>
                <w:p w14:paraId="6BECFB28">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0.45%</w:t>
                  </w:r>
                </w:p>
              </w:tc>
              <w:tc>
                <w:tcPr>
                  <w:tcW w:w="1939" w:type="dxa"/>
                  <w:noWrap w:val="0"/>
                  <w:vAlign w:val="top"/>
                </w:tcPr>
                <w:p w14:paraId="02E4CC27">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0.55%</w:t>
                  </w:r>
                </w:p>
              </w:tc>
            </w:tr>
            <w:tr w14:paraId="01A2C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2751" w:type="dxa"/>
                  <w:noWrap w:val="0"/>
                  <w:vAlign w:val="top"/>
                </w:tcPr>
                <w:p w14:paraId="62CF049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1000-5000</w:t>
                  </w:r>
                </w:p>
              </w:tc>
              <w:tc>
                <w:tcPr>
                  <w:tcW w:w="1630" w:type="dxa"/>
                  <w:noWrap w:val="0"/>
                  <w:vAlign w:val="top"/>
                </w:tcPr>
                <w:p w14:paraId="03F3AA98">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0.5%</w:t>
                  </w:r>
                </w:p>
              </w:tc>
              <w:tc>
                <w:tcPr>
                  <w:tcW w:w="1938" w:type="dxa"/>
                  <w:noWrap w:val="0"/>
                  <w:vAlign w:val="top"/>
                </w:tcPr>
                <w:p w14:paraId="5A4F75AE">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0.25%</w:t>
                  </w:r>
                </w:p>
              </w:tc>
              <w:tc>
                <w:tcPr>
                  <w:tcW w:w="1939" w:type="dxa"/>
                  <w:noWrap w:val="0"/>
                  <w:vAlign w:val="top"/>
                </w:tcPr>
                <w:p w14:paraId="734A5C4A">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0.35%</w:t>
                  </w:r>
                </w:p>
              </w:tc>
            </w:tr>
            <w:tr w14:paraId="054B1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2751" w:type="dxa"/>
                  <w:noWrap w:val="0"/>
                  <w:vAlign w:val="top"/>
                </w:tcPr>
                <w:p w14:paraId="7C627442">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5000-10000</w:t>
                  </w:r>
                </w:p>
              </w:tc>
              <w:tc>
                <w:tcPr>
                  <w:tcW w:w="1630" w:type="dxa"/>
                  <w:noWrap w:val="0"/>
                  <w:vAlign w:val="top"/>
                </w:tcPr>
                <w:p w14:paraId="4670F2C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0.25%</w:t>
                  </w:r>
                </w:p>
              </w:tc>
              <w:tc>
                <w:tcPr>
                  <w:tcW w:w="1938" w:type="dxa"/>
                  <w:noWrap w:val="0"/>
                  <w:vAlign w:val="top"/>
                </w:tcPr>
                <w:p w14:paraId="3E0BBEAF">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0.1%</w:t>
                  </w:r>
                </w:p>
              </w:tc>
              <w:tc>
                <w:tcPr>
                  <w:tcW w:w="1939" w:type="dxa"/>
                  <w:noWrap w:val="0"/>
                  <w:vAlign w:val="top"/>
                </w:tcPr>
                <w:p w14:paraId="2C8AC68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0.2%</w:t>
                  </w:r>
                </w:p>
              </w:tc>
            </w:tr>
            <w:tr w14:paraId="3D846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2751" w:type="dxa"/>
                  <w:noWrap w:val="0"/>
                  <w:vAlign w:val="top"/>
                </w:tcPr>
                <w:p w14:paraId="70DED2F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10000-100000</w:t>
                  </w:r>
                </w:p>
              </w:tc>
              <w:tc>
                <w:tcPr>
                  <w:tcW w:w="1630" w:type="dxa"/>
                  <w:noWrap w:val="0"/>
                  <w:vAlign w:val="top"/>
                </w:tcPr>
                <w:p w14:paraId="159FE4DB">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0.05%</w:t>
                  </w:r>
                </w:p>
              </w:tc>
              <w:tc>
                <w:tcPr>
                  <w:tcW w:w="1938" w:type="dxa"/>
                  <w:noWrap w:val="0"/>
                  <w:vAlign w:val="top"/>
                </w:tcPr>
                <w:p w14:paraId="3EEE070C">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0.05%</w:t>
                  </w:r>
                </w:p>
              </w:tc>
              <w:tc>
                <w:tcPr>
                  <w:tcW w:w="1939" w:type="dxa"/>
                  <w:noWrap w:val="0"/>
                  <w:vAlign w:val="top"/>
                </w:tcPr>
                <w:p w14:paraId="6E1EEAF2">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0.05%</w:t>
                  </w:r>
                </w:p>
              </w:tc>
            </w:tr>
            <w:tr w14:paraId="58B03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2751" w:type="dxa"/>
                  <w:noWrap w:val="0"/>
                  <w:vAlign w:val="top"/>
                </w:tcPr>
                <w:p w14:paraId="3E7AE05F">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1000000以上</w:t>
                  </w:r>
                </w:p>
              </w:tc>
              <w:tc>
                <w:tcPr>
                  <w:tcW w:w="1630" w:type="dxa"/>
                  <w:noWrap w:val="0"/>
                  <w:vAlign w:val="top"/>
                </w:tcPr>
                <w:p w14:paraId="4272823A">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0.01%</w:t>
                  </w:r>
                </w:p>
              </w:tc>
              <w:tc>
                <w:tcPr>
                  <w:tcW w:w="1938" w:type="dxa"/>
                  <w:noWrap w:val="0"/>
                  <w:vAlign w:val="top"/>
                </w:tcPr>
                <w:p w14:paraId="201A9E6C">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0.01%</w:t>
                  </w:r>
                </w:p>
              </w:tc>
              <w:tc>
                <w:tcPr>
                  <w:tcW w:w="1939" w:type="dxa"/>
                  <w:noWrap w:val="0"/>
                  <w:vAlign w:val="top"/>
                </w:tcPr>
                <w:p w14:paraId="20AA5D40">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0.01%</w:t>
                  </w:r>
                </w:p>
              </w:tc>
            </w:tr>
          </w:tbl>
          <w:p w14:paraId="186A9A2D">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例如：某工程招标项目成交金额为678.2万元，采购代理服务费计算如下：</w:t>
            </w:r>
          </w:p>
          <w:p w14:paraId="547462F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100万元*1.0%=1.00万元 </w:t>
            </w:r>
          </w:p>
          <w:p w14:paraId="10E7709B">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(500-100)*0.7%=2.80万元</w:t>
            </w:r>
          </w:p>
          <w:p w14:paraId="51BB1F31">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(678.2-500)*0.55%=0.9801万元</w:t>
            </w:r>
          </w:p>
          <w:p w14:paraId="68C579F6">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服务费=1.00+2.80+0.9801=4.7801万元。</w:t>
            </w:r>
          </w:p>
          <w:p w14:paraId="08DC4A30">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（4）本项目项目属性：服务招标。</w:t>
            </w:r>
          </w:p>
        </w:tc>
      </w:tr>
      <w:tr w14:paraId="23863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698" w:type="dxa"/>
            <w:noWrap w:val="0"/>
            <w:vAlign w:val="center"/>
          </w:tcPr>
          <w:p w14:paraId="497BC3C0">
            <w:pPr>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29</w:t>
            </w:r>
          </w:p>
        </w:tc>
        <w:tc>
          <w:tcPr>
            <w:tcW w:w="9088" w:type="dxa"/>
            <w:noWrap w:val="0"/>
            <w:vAlign w:val="center"/>
          </w:tcPr>
          <w:p w14:paraId="2C69F744">
            <w:pPr>
              <w:pageBreakBefore w:val="0"/>
              <w:numPr>
                <w:ilvl w:val="0"/>
                <w:numId w:val="0"/>
              </w:numPr>
              <w:kinsoku/>
              <w:overflowPunct/>
              <w:topLinePunct w:val="0"/>
              <w:bidi w:val="0"/>
              <w:spacing w:line="360" w:lineRule="auto"/>
              <w:rPr>
                <w:rFonts w:hint="eastAsia" w:ascii="宋体" w:hAnsi="宋体" w:eastAsia="宋体" w:cs="宋体"/>
                <w:b w:val="0"/>
                <w:bCs w:val="0"/>
                <w:i w:val="0"/>
                <w:iCs w:val="0"/>
                <w:caps w:val="0"/>
                <w:color w:val="auto"/>
                <w:spacing w:val="0"/>
                <w:kern w:val="0"/>
                <w:sz w:val="24"/>
                <w:szCs w:val="24"/>
                <w:shd w:val="clear" w:fill="FFFFFF"/>
                <w:lang w:val="en-US" w:eastAsia="zh-CN" w:bidi="ar-SA"/>
              </w:rPr>
            </w:pPr>
            <w:r>
              <w:rPr>
                <w:rFonts w:hint="eastAsia" w:ascii="宋体" w:hAnsi="宋体" w:eastAsia="宋体" w:cs="宋体"/>
                <w:b w:val="0"/>
                <w:bCs w:val="0"/>
                <w:i w:val="0"/>
                <w:iCs w:val="0"/>
                <w:caps w:val="0"/>
                <w:color w:val="auto"/>
                <w:spacing w:val="0"/>
                <w:kern w:val="0"/>
                <w:sz w:val="24"/>
                <w:szCs w:val="24"/>
                <w:shd w:val="clear" w:fill="FFFFFF"/>
                <w:lang w:val="en-US" w:eastAsia="zh-CN" w:bidi="ar-SA"/>
              </w:rPr>
              <w:t>多轮（报价文件中报价为第一轮，谈判现场为第二轮）</w:t>
            </w:r>
          </w:p>
          <w:p w14:paraId="029234BC">
            <w:pPr>
              <w:pageBreakBefore w:val="0"/>
              <w:numPr>
                <w:ilvl w:val="0"/>
                <w:numId w:val="0"/>
              </w:numPr>
              <w:kinsoku/>
              <w:overflowPunct/>
              <w:topLinePunct w:val="0"/>
              <w:bidi w:val="0"/>
              <w:spacing w:line="360" w:lineRule="auto"/>
              <w:ind w:leftChars="0" w:firstLine="480" w:firstLineChars="200"/>
              <w:rPr>
                <w:rFonts w:hint="eastAsia" w:ascii="宋体" w:hAnsi="宋体" w:eastAsia="宋体" w:cs="宋体"/>
                <w:b w:val="0"/>
                <w:bCs w:val="0"/>
                <w:i w:val="0"/>
                <w:iCs w:val="0"/>
                <w:caps w:val="0"/>
                <w:color w:val="auto"/>
                <w:spacing w:val="0"/>
                <w:kern w:val="0"/>
                <w:sz w:val="24"/>
                <w:szCs w:val="24"/>
                <w:shd w:val="clear" w:fill="FFFFFF"/>
                <w:lang w:val="en-US" w:eastAsia="zh-CN" w:bidi="ar-SA"/>
              </w:rPr>
            </w:pPr>
            <w:r>
              <w:rPr>
                <w:rFonts w:hint="eastAsia" w:ascii="宋体" w:hAnsi="宋体" w:eastAsia="宋体" w:cs="宋体"/>
                <w:b w:val="0"/>
                <w:bCs w:val="0"/>
                <w:i w:val="0"/>
                <w:iCs w:val="0"/>
                <w:caps w:val="0"/>
                <w:color w:val="auto"/>
                <w:spacing w:val="0"/>
                <w:kern w:val="0"/>
                <w:sz w:val="24"/>
                <w:szCs w:val="24"/>
                <w:shd w:val="clear" w:fill="FFFFFF"/>
                <w:lang w:val="en-US" w:eastAsia="zh-CN" w:bidi="ar-SA"/>
              </w:rPr>
              <w:t>供应商保持在线直到评审结束多轮（谈判响应文件中报价为第一轮，谈判不见面开标会议为第二轮）不见面开标结束后，通过资格审查和符合性审查的供应商才有机会进入一对一谈判环节。依据财政部关于印发《政府采购竞争性谈判采购方式管理暂行办法》第十九条规定，评审小组所有成员应当集中与单一供应商分别进行谈判，并给予所有参加谈判的供应商平等的谈判机会。已提交响应文件的供应商，在提交最后报价之前，可以根据谈判情况退出谈判。具体谈判流程如下:</w:t>
            </w:r>
          </w:p>
          <w:p w14:paraId="268A8BA1">
            <w:pPr>
              <w:pageBreakBefore w:val="0"/>
              <w:numPr>
                <w:ilvl w:val="0"/>
                <w:numId w:val="0"/>
              </w:numPr>
              <w:kinsoku/>
              <w:overflowPunct/>
              <w:topLinePunct w:val="0"/>
              <w:bidi w:val="0"/>
              <w:spacing w:line="360" w:lineRule="auto"/>
              <w:ind w:leftChars="0"/>
              <w:rPr>
                <w:rFonts w:hint="eastAsia" w:ascii="宋体" w:hAnsi="宋体" w:eastAsia="宋体" w:cs="宋体"/>
                <w:b w:val="0"/>
                <w:bCs w:val="0"/>
                <w:i w:val="0"/>
                <w:iCs w:val="0"/>
                <w:caps w:val="0"/>
                <w:color w:val="auto"/>
                <w:spacing w:val="0"/>
                <w:kern w:val="0"/>
                <w:sz w:val="24"/>
                <w:szCs w:val="24"/>
                <w:shd w:val="clear" w:fill="FFFFFF"/>
                <w:lang w:val="en-US" w:eastAsia="zh-CN" w:bidi="ar-SA"/>
              </w:rPr>
            </w:pPr>
            <w:r>
              <w:rPr>
                <w:rFonts w:hint="eastAsia" w:ascii="宋体" w:hAnsi="宋体" w:eastAsia="宋体" w:cs="宋体"/>
                <w:b w:val="0"/>
                <w:bCs w:val="0"/>
                <w:i w:val="0"/>
                <w:iCs w:val="0"/>
                <w:caps w:val="0"/>
                <w:color w:val="auto"/>
                <w:spacing w:val="0"/>
                <w:kern w:val="0"/>
                <w:sz w:val="24"/>
                <w:szCs w:val="24"/>
                <w:shd w:val="clear" w:fill="FFFFFF"/>
                <w:lang w:val="en-US" w:eastAsia="zh-CN" w:bidi="ar-SA"/>
              </w:rPr>
              <w:t>1.一对一谈判将通过腾讯视频会议的方式进行，供应商应提前在手机或电脑终端上下载“腾讯会议”软件，开标现场由代理机构通知进入并告知腾讯视频会议号及会议密码。</w:t>
            </w:r>
          </w:p>
          <w:p w14:paraId="7CF972BD">
            <w:pPr>
              <w:pageBreakBefore w:val="0"/>
              <w:numPr>
                <w:ilvl w:val="0"/>
                <w:numId w:val="0"/>
              </w:numPr>
              <w:kinsoku/>
              <w:overflowPunct/>
              <w:topLinePunct w:val="0"/>
              <w:bidi w:val="0"/>
              <w:spacing w:line="360" w:lineRule="auto"/>
              <w:ind w:leftChars="0"/>
              <w:rPr>
                <w:rFonts w:hint="eastAsia" w:ascii="宋体" w:hAnsi="宋体" w:eastAsia="宋体" w:cs="宋体"/>
                <w:b w:val="0"/>
                <w:bCs w:val="0"/>
                <w:i w:val="0"/>
                <w:iCs w:val="0"/>
                <w:caps w:val="0"/>
                <w:color w:val="auto"/>
                <w:spacing w:val="0"/>
                <w:kern w:val="0"/>
                <w:sz w:val="24"/>
                <w:szCs w:val="24"/>
                <w:shd w:val="clear" w:fill="FFFFFF"/>
                <w:lang w:val="en-US" w:eastAsia="zh-CN" w:bidi="ar-SA"/>
              </w:rPr>
            </w:pPr>
            <w:r>
              <w:rPr>
                <w:rFonts w:hint="eastAsia" w:ascii="宋体" w:hAnsi="宋体" w:eastAsia="宋体" w:cs="宋体"/>
                <w:b w:val="0"/>
                <w:bCs w:val="0"/>
                <w:i w:val="0"/>
                <w:iCs w:val="0"/>
                <w:caps w:val="0"/>
                <w:color w:val="auto"/>
                <w:spacing w:val="0"/>
                <w:kern w:val="0"/>
                <w:sz w:val="24"/>
                <w:szCs w:val="24"/>
                <w:shd w:val="clear" w:fill="FFFFFF"/>
                <w:lang w:val="en-US" w:eastAsia="zh-CN" w:bidi="ar-SA"/>
              </w:rPr>
              <w:t>2.加入会议室的同时将各参与谈判的人员姓名修改为“供应商简称”，</w:t>
            </w:r>
          </w:p>
          <w:p w14:paraId="45731CD9">
            <w:pPr>
              <w:pageBreakBefore w:val="0"/>
              <w:numPr>
                <w:ilvl w:val="0"/>
                <w:numId w:val="0"/>
              </w:numPr>
              <w:kinsoku/>
              <w:overflowPunct/>
              <w:topLinePunct w:val="0"/>
              <w:bidi w:val="0"/>
              <w:spacing w:line="360" w:lineRule="auto"/>
              <w:ind w:leftChars="0"/>
              <w:rPr>
                <w:rFonts w:hint="eastAsia" w:ascii="宋体" w:hAnsi="宋体" w:eastAsia="宋体" w:cs="宋体"/>
                <w:b w:val="0"/>
                <w:bCs w:val="0"/>
                <w:i w:val="0"/>
                <w:iCs w:val="0"/>
                <w:caps w:val="0"/>
                <w:color w:val="auto"/>
                <w:spacing w:val="0"/>
                <w:kern w:val="0"/>
                <w:sz w:val="24"/>
                <w:szCs w:val="24"/>
                <w:shd w:val="clear" w:fill="FFFFFF"/>
                <w:lang w:val="en-US" w:eastAsia="zh-CN" w:bidi="ar-SA"/>
              </w:rPr>
            </w:pPr>
            <w:r>
              <w:rPr>
                <w:rFonts w:hint="eastAsia" w:ascii="宋体" w:hAnsi="宋体" w:eastAsia="宋体" w:cs="宋体"/>
                <w:b w:val="0"/>
                <w:bCs w:val="0"/>
                <w:i w:val="0"/>
                <w:iCs w:val="0"/>
                <w:caps w:val="0"/>
                <w:color w:val="auto"/>
                <w:spacing w:val="0"/>
                <w:kern w:val="0"/>
                <w:sz w:val="24"/>
                <w:szCs w:val="24"/>
                <w:shd w:val="clear" w:fill="FFFFFF"/>
                <w:lang w:val="en-US" w:eastAsia="zh-CN" w:bidi="ar-SA"/>
              </w:rPr>
              <w:t>3.谈判结束后，将进行提交最终报价的环节，各供应商应及时关注全国公共资源交易平台(陕西省·榆林市)(http://y1.sxggzyjy.cn/)的网上报价情况，应当在评审小组规定的时间内提交最终报价。</w:t>
            </w:r>
          </w:p>
          <w:p w14:paraId="63D36A83">
            <w:pPr>
              <w:spacing w:line="360" w:lineRule="auto"/>
              <w:rPr>
                <w:rFonts w:hint="eastAsia" w:ascii="宋体" w:hAnsi="宋体" w:eastAsia="宋体" w:cs="宋体"/>
                <w:bCs/>
                <w:color w:val="auto"/>
                <w:sz w:val="24"/>
                <w:szCs w:val="24"/>
                <w:highlight w:val="none"/>
              </w:rPr>
            </w:pPr>
            <w:r>
              <w:rPr>
                <w:rFonts w:hint="eastAsia" w:ascii="宋体" w:hAnsi="宋体" w:eastAsia="宋体" w:cs="宋体"/>
                <w:b w:val="0"/>
                <w:bCs w:val="0"/>
                <w:i w:val="0"/>
                <w:iCs w:val="0"/>
                <w:caps w:val="0"/>
                <w:color w:val="auto"/>
                <w:spacing w:val="0"/>
                <w:kern w:val="0"/>
                <w:sz w:val="24"/>
                <w:szCs w:val="24"/>
                <w:shd w:val="clear" w:fill="FFFFFF"/>
                <w:lang w:val="en-US" w:eastAsia="zh-CN" w:bidi="ar-SA"/>
              </w:rPr>
              <w:t>注:供应商未在规定时间内提交最终报价的将视为自动退出谈判，该供应商响应无效。</w:t>
            </w:r>
          </w:p>
        </w:tc>
      </w:tr>
      <w:tr w14:paraId="0F199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noWrap w:val="0"/>
            <w:vAlign w:val="center"/>
          </w:tcPr>
          <w:p w14:paraId="24F56B77">
            <w:pPr>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30</w:t>
            </w:r>
          </w:p>
        </w:tc>
        <w:tc>
          <w:tcPr>
            <w:tcW w:w="9088" w:type="dxa"/>
            <w:noWrap w:val="0"/>
            <w:vAlign w:val="center"/>
          </w:tcPr>
          <w:p w14:paraId="60362AD6">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号）、《陕西省财政厅关于加快推进我省中小企业政府采购信用融资工作的通知》（陕财办采[2020]15号）等有关规定，按照市场主导、财政引导、银企自愿、风险自担的原则，中标（成交 ） 供 应 商 可 根 据 自 身 资 金 需 求 ， 登 录 陕 西 省 政 府 采 购 信 用 融 资 平 台（http://www.ccgp-shaanxi.gov.cn/zcdservice/zcd/shanxi/）在线申请，依法参加政府采购信用融资活动。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6AC39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noWrap w:val="0"/>
            <w:vAlign w:val="center"/>
          </w:tcPr>
          <w:p w14:paraId="455088E0">
            <w:pPr>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31</w:t>
            </w:r>
          </w:p>
        </w:tc>
        <w:tc>
          <w:tcPr>
            <w:tcW w:w="9088" w:type="dxa"/>
            <w:noWrap w:val="0"/>
            <w:vAlign w:val="center"/>
          </w:tcPr>
          <w:p w14:paraId="716AB358">
            <w:pPr>
              <w:widowControl/>
              <w:spacing w:line="360" w:lineRule="auto"/>
              <w:jc w:val="left"/>
              <w:rPr>
                <w:rFonts w:hint="eastAsia" w:ascii="宋体" w:hAnsi="宋体" w:eastAsia="宋体" w:cs="宋体"/>
                <w:bCs/>
                <w:color w:val="auto"/>
                <w:highlight w:val="none"/>
              </w:rPr>
            </w:pPr>
            <w:r>
              <w:rPr>
                <w:rFonts w:hint="eastAsia" w:ascii="宋体" w:hAnsi="宋体" w:eastAsia="宋体" w:cs="宋体"/>
                <w:bCs/>
                <w:color w:val="auto"/>
                <w:kern w:val="0"/>
                <w:sz w:val="24"/>
                <w:szCs w:val="24"/>
                <w:highlight w:val="none"/>
                <w:lang w:bidi="ar"/>
              </w:rPr>
              <w:t>特别提醒：本项目采用电子化谈判响应文件与纸质谈判响应文件并行的方式。</w:t>
            </w:r>
          </w:p>
          <w:p w14:paraId="39939268">
            <w:pPr>
              <w:widowControl/>
              <w:spacing w:line="360" w:lineRule="auto"/>
              <w:ind w:firstLine="480" w:firstLineChars="200"/>
              <w:jc w:val="left"/>
              <w:rPr>
                <w:rFonts w:hint="eastAsia" w:ascii="宋体" w:hAnsi="宋体" w:eastAsia="宋体" w:cs="宋体"/>
                <w:bCs/>
                <w:color w:val="auto"/>
                <w:highlight w:val="none"/>
              </w:rPr>
            </w:pPr>
            <w:r>
              <w:rPr>
                <w:rFonts w:hint="eastAsia" w:ascii="宋体" w:hAnsi="宋体" w:eastAsia="宋体" w:cs="宋体"/>
                <w:bCs/>
                <w:color w:val="auto"/>
                <w:kern w:val="0"/>
                <w:sz w:val="24"/>
                <w:szCs w:val="24"/>
                <w:highlight w:val="none"/>
                <w:lang w:bidi="ar"/>
              </w:rPr>
              <w:t>1、</w:t>
            </w:r>
            <w:r>
              <w:rPr>
                <w:rFonts w:hint="eastAsia" w:ascii="宋体" w:hAnsi="宋体" w:eastAsia="宋体" w:cs="宋体"/>
                <w:bCs/>
                <w:color w:val="auto"/>
                <w:kern w:val="0"/>
                <w:sz w:val="24"/>
                <w:szCs w:val="24"/>
                <w:highlight w:val="none"/>
                <w:lang w:eastAsia="zh-CN" w:bidi="ar"/>
              </w:rPr>
              <w:t>供应商</w:t>
            </w:r>
            <w:r>
              <w:rPr>
                <w:rFonts w:hint="eastAsia" w:ascii="宋体" w:hAnsi="宋体" w:eastAsia="宋体" w:cs="宋体"/>
                <w:bCs/>
                <w:color w:val="auto"/>
                <w:kern w:val="0"/>
                <w:sz w:val="24"/>
                <w:szCs w:val="24"/>
                <w:highlight w:val="none"/>
                <w:lang w:bidi="ar"/>
              </w:rPr>
              <w:t>须使用数字认证证书对电子谈判响应文件进行签章、加密、递交及开标时解密等相关招投标事宜。如</w:t>
            </w:r>
            <w:r>
              <w:rPr>
                <w:rFonts w:hint="eastAsia" w:ascii="宋体" w:hAnsi="宋体" w:eastAsia="宋体" w:cs="宋体"/>
                <w:bCs/>
                <w:color w:val="auto"/>
                <w:kern w:val="0"/>
                <w:sz w:val="24"/>
                <w:szCs w:val="24"/>
                <w:highlight w:val="none"/>
                <w:lang w:eastAsia="zh-CN" w:bidi="ar"/>
              </w:rPr>
              <w:t>供应商</w:t>
            </w:r>
            <w:r>
              <w:rPr>
                <w:rFonts w:hint="eastAsia" w:ascii="宋体" w:hAnsi="宋体" w:eastAsia="宋体" w:cs="宋体"/>
                <w:bCs/>
                <w:color w:val="auto"/>
                <w:kern w:val="0"/>
                <w:sz w:val="24"/>
                <w:szCs w:val="24"/>
                <w:highlight w:val="none"/>
                <w:lang w:bidi="ar"/>
              </w:rPr>
              <w:t xml:space="preserve">数字认证证书无法解密谈判响应文件，按无效投标对待。 </w:t>
            </w:r>
          </w:p>
          <w:p w14:paraId="06515E67">
            <w:pPr>
              <w:widowControl/>
              <w:spacing w:line="360" w:lineRule="auto"/>
              <w:ind w:firstLine="480" w:firstLineChars="200"/>
              <w:jc w:val="left"/>
              <w:rPr>
                <w:rFonts w:hint="eastAsia" w:ascii="宋体" w:hAnsi="宋体" w:eastAsia="宋体" w:cs="宋体"/>
                <w:bCs/>
                <w:color w:val="auto"/>
                <w:highlight w:val="none"/>
              </w:rPr>
            </w:pPr>
            <w:r>
              <w:rPr>
                <w:rFonts w:hint="eastAsia" w:ascii="宋体" w:hAnsi="宋体" w:eastAsia="宋体" w:cs="宋体"/>
                <w:bCs/>
                <w:color w:val="auto"/>
                <w:kern w:val="0"/>
                <w:sz w:val="24"/>
                <w:szCs w:val="24"/>
                <w:highlight w:val="none"/>
                <w:lang w:bidi="ar"/>
              </w:rPr>
              <w:t>2、制作电子谈判响应文件。</w:t>
            </w:r>
            <w:r>
              <w:rPr>
                <w:rFonts w:hint="eastAsia" w:ascii="宋体" w:hAnsi="宋体" w:eastAsia="宋体" w:cs="宋体"/>
                <w:bCs/>
                <w:color w:val="auto"/>
                <w:kern w:val="0"/>
                <w:sz w:val="24"/>
                <w:szCs w:val="24"/>
                <w:highlight w:val="none"/>
                <w:lang w:eastAsia="zh-CN" w:bidi="ar"/>
              </w:rPr>
              <w:t>供应商</w:t>
            </w:r>
            <w:r>
              <w:rPr>
                <w:rFonts w:hint="eastAsia" w:ascii="宋体" w:hAnsi="宋体" w:eastAsia="宋体" w:cs="宋体"/>
                <w:bCs/>
                <w:color w:val="auto"/>
                <w:kern w:val="0"/>
                <w:sz w:val="24"/>
                <w:szCs w:val="24"/>
                <w:highlight w:val="none"/>
                <w:lang w:bidi="ar"/>
              </w:rPr>
              <w:t>须在“全国公共资源交易中心平台（陕西省）（http://www.sxggzyjy.cn/）”的“服务指南”栏目“下载专区”中，免费下载“陕西省公共资源交易平台政府采购电子标书制作工具”及“政府采购投标单位操作手册”，并使用该客户端制作电子谈判响应文件，制作扩展名为“</w:t>
            </w:r>
            <w:r>
              <w:rPr>
                <w:rFonts w:hint="eastAsia" w:ascii="宋体" w:hAnsi="宋体" w:eastAsia="宋体" w:cs="宋体"/>
                <w:bCs/>
                <w:color w:val="auto"/>
                <w:kern w:val="0"/>
                <w:sz w:val="24"/>
                <w:szCs w:val="24"/>
                <w:highlight w:val="none"/>
                <w:lang w:eastAsia="zh-CN" w:bidi="ar"/>
              </w:rPr>
              <w:t>.SXSCF</w:t>
            </w:r>
            <w:r>
              <w:rPr>
                <w:rFonts w:hint="eastAsia" w:ascii="宋体" w:hAnsi="宋体" w:eastAsia="宋体" w:cs="宋体"/>
                <w:bCs/>
                <w:color w:val="auto"/>
                <w:kern w:val="0"/>
                <w:sz w:val="24"/>
                <w:szCs w:val="24"/>
                <w:highlight w:val="none"/>
                <w:lang w:bidi="ar"/>
              </w:rPr>
              <w:t xml:space="preserve">”的电子谈判响应文件。 </w:t>
            </w:r>
          </w:p>
          <w:p w14:paraId="4D0F5B73">
            <w:pPr>
              <w:widowControl/>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kern w:val="0"/>
                <w:sz w:val="24"/>
                <w:szCs w:val="24"/>
                <w:highlight w:val="none"/>
                <w:lang w:bidi="ar"/>
              </w:rPr>
              <w:t xml:space="preserve">3、递交电子谈判响应文件。登录陕西省公共资源交易中心平台（http://xxxq.sxggzyjy.cn/），选择“电子交易平台-陕西政府采购交易系统-陕西省公共资源交易平台-供应商”进行登录，登录后选择“交易乙方”身份进入，选择“上传谈判响应文件”菜单页面，上传加密的电子谈判响应文件。上传成功后，电子化平台将予以记录。 </w:t>
            </w:r>
          </w:p>
          <w:p w14:paraId="5B253CEA">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bidi="ar"/>
              </w:rPr>
              <w:t>4、谈判响应文件中所有涉及签字、盖章的，各投标单位须将所有签字盖章完成后上传。</w:t>
            </w:r>
          </w:p>
        </w:tc>
      </w:tr>
    </w:tbl>
    <w:p w14:paraId="290389E4">
      <w:pPr>
        <w:rPr>
          <w:rFonts w:hint="eastAsia" w:ascii="宋体" w:hAnsi="宋体" w:eastAsia="宋体" w:cs="宋体"/>
          <w:bCs/>
          <w:color w:val="auto"/>
          <w:sz w:val="24"/>
          <w:szCs w:val="24"/>
          <w:highlight w:val="none"/>
        </w:rPr>
        <w:sectPr>
          <w:footnotePr>
            <w:pos w:val="beneathText"/>
          </w:footnotePr>
          <w:pgSz w:w="11906" w:h="16838"/>
          <w:pgMar w:top="1440" w:right="1080" w:bottom="1440" w:left="1080" w:header="851" w:footer="1361" w:gutter="0"/>
          <w:pgNumType w:fmt="decimal"/>
          <w:cols w:space="720" w:num="1"/>
          <w:docGrid w:type="lines" w:linePitch="312" w:charSpace="0"/>
        </w:sectPr>
      </w:pPr>
    </w:p>
    <w:bookmarkEnd w:id="7"/>
    <w:bookmarkEnd w:id="29"/>
    <w:bookmarkEnd w:id="30"/>
    <w:bookmarkEnd w:id="31"/>
    <w:bookmarkEnd w:id="32"/>
    <w:p w14:paraId="0E6CFA23">
      <w:pPr>
        <w:pStyle w:val="2"/>
        <w:spacing w:line="240" w:lineRule="auto"/>
        <w:jc w:val="center"/>
        <w:rPr>
          <w:rFonts w:hint="eastAsia" w:ascii="宋体" w:hAnsi="宋体" w:eastAsia="宋体" w:cs="宋体"/>
          <w:b w:val="0"/>
          <w:bCs/>
          <w:color w:val="auto"/>
          <w:sz w:val="40"/>
          <w:szCs w:val="18"/>
          <w:highlight w:val="none"/>
          <w:lang w:val="en-US" w:eastAsia="zh-CN"/>
        </w:rPr>
      </w:pPr>
      <w:bookmarkStart w:id="45" w:name="_Toc17129"/>
      <w:bookmarkStart w:id="46" w:name="_Toc11351"/>
      <w:bookmarkStart w:id="47" w:name="_Toc29457"/>
      <w:bookmarkStart w:id="48" w:name="_Toc465958087"/>
      <w:bookmarkStart w:id="49" w:name="_Toc31369"/>
      <w:bookmarkStart w:id="50" w:name="_Toc246928894"/>
      <w:bookmarkStart w:id="51" w:name="_Toc8259"/>
      <w:bookmarkStart w:id="52" w:name="_Toc4754"/>
      <w:bookmarkStart w:id="53" w:name="_Toc428"/>
      <w:bookmarkStart w:id="54" w:name="_Toc16531"/>
      <w:bookmarkStart w:id="55" w:name="_Toc12300"/>
      <w:bookmarkStart w:id="56" w:name="_Toc30436"/>
      <w:bookmarkStart w:id="57" w:name="_Toc29085"/>
      <w:bookmarkStart w:id="58" w:name="_Toc23518"/>
      <w:bookmarkStart w:id="59" w:name="_Toc27457"/>
      <w:bookmarkStart w:id="60" w:name="_Toc7404"/>
      <w:r>
        <w:rPr>
          <w:rFonts w:hint="eastAsia" w:ascii="宋体" w:hAnsi="宋体" w:eastAsia="宋体" w:cs="宋体"/>
          <w:b w:val="0"/>
          <w:bCs/>
          <w:color w:val="auto"/>
          <w:sz w:val="40"/>
          <w:szCs w:val="18"/>
          <w:highlight w:val="none"/>
          <w:lang w:val="en-US" w:eastAsia="zh-CN"/>
        </w:rPr>
        <w:t>第三部分  供应商须知</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p w14:paraId="0AB9A401">
      <w:pPr>
        <w:pStyle w:val="3"/>
        <w:spacing w:before="0" w:after="0" w:line="460" w:lineRule="exact"/>
        <w:jc w:val="center"/>
        <w:rPr>
          <w:rFonts w:hint="eastAsia" w:ascii="宋体" w:hAnsi="宋体" w:eastAsia="宋体" w:cs="宋体"/>
          <w:b w:val="0"/>
          <w:bCs/>
          <w:color w:val="auto"/>
          <w:sz w:val="36"/>
          <w:szCs w:val="24"/>
          <w:highlight w:val="none"/>
        </w:rPr>
      </w:pPr>
      <w:bookmarkStart w:id="61" w:name="_Toc246928895"/>
      <w:bookmarkStart w:id="62" w:name="_Toc31058"/>
      <w:bookmarkStart w:id="63" w:name="_Toc23623"/>
      <w:bookmarkStart w:id="64" w:name="_Toc27773"/>
      <w:bookmarkStart w:id="65" w:name="_Toc3174"/>
      <w:bookmarkStart w:id="66" w:name="_Toc30345"/>
      <w:bookmarkStart w:id="67" w:name="_Toc13243"/>
      <w:bookmarkStart w:id="68" w:name="_Toc465958088"/>
      <w:bookmarkStart w:id="69" w:name="_Toc2490"/>
      <w:bookmarkStart w:id="70" w:name="_Toc25114"/>
      <w:bookmarkStart w:id="71" w:name="_Toc10690"/>
      <w:bookmarkStart w:id="72" w:name="_Toc32198"/>
      <w:bookmarkStart w:id="73" w:name="_Toc1381"/>
      <w:r>
        <w:rPr>
          <w:rFonts w:hint="eastAsia" w:ascii="宋体" w:hAnsi="宋体" w:eastAsia="宋体" w:cs="宋体"/>
          <w:b w:val="0"/>
          <w:bCs/>
          <w:color w:val="auto"/>
          <w:sz w:val="36"/>
          <w:szCs w:val="24"/>
          <w:highlight w:val="none"/>
        </w:rPr>
        <w:t>A 总则</w:t>
      </w:r>
      <w:bookmarkEnd w:id="61"/>
      <w:bookmarkEnd w:id="62"/>
      <w:bookmarkEnd w:id="63"/>
      <w:bookmarkEnd w:id="64"/>
      <w:bookmarkEnd w:id="65"/>
      <w:bookmarkEnd w:id="66"/>
      <w:bookmarkEnd w:id="67"/>
      <w:bookmarkEnd w:id="68"/>
      <w:bookmarkEnd w:id="69"/>
      <w:bookmarkEnd w:id="70"/>
      <w:bookmarkEnd w:id="71"/>
      <w:bookmarkEnd w:id="72"/>
      <w:bookmarkEnd w:id="73"/>
    </w:p>
    <w:p w14:paraId="6C8ECDBB">
      <w:pPr>
        <w:pStyle w:val="4"/>
        <w:spacing w:before="156" w:beforeLines="50" w:after="156" w:afterLines="50" w:line="460" w:lineRule="exact"/>
        <w:rPr>
          <w:rFonts w:hint="eastAsia" w:ascii="宋体" w:hAnsi="宋体" w:eastAsia="宋体" w:cs="宋体"/>
          <w:b w:val="0"/>
          <w:bCs/>
          <w:color w:val="auto"/>
          <w:szCs w:val="24"/>
          <w:highlight w:val="none"/>
        </w:rPr>
      </w:pPr>
      <w:bookmarkStart w:id="74" w:name="_Toc7587"/>
      <w:bookmarkStart w:id="75" w:name="_Toc18752"/>
      <w:bookmarkStart w:id="76" w:name="_Toc465958089"/>
      <w:bookmarkStart w:id="77" w:name="_Toc13194"/>
      <w:bookmarkStart w:id="78" w:name="_Toc30424"/>
      <w:bookmarkStart w:id="79" w:name="_Toc21639"/>
      <w:bookmarkStart w:id="80" w:name="_Toc31417"/>
      <w:bookmarkStart w:id="81" w:name="_Toc4811"/>
      <w:bookmarkStart w:id="82" w:name="_Toc15325"/>
      <w:bookmarkStart w:id="83" w:name="_Toc246928896"/>
      <w:r>
        <w:rPr>
          <w:rFonts w:hint="eastAsia" w:ascii="宋体" w:hAnsi="宋体" w:eastAsia="宋体" w:cs="宋体"/>
          <w:b w:val="0"/>
          <w:bCs/>
          <w:color w:val="auto"/>
          <w:szCs w:val="24"/>
          <w:highlight w:val="none"/>
        </w:rPr>
        <w:t>1 适用范围</w:t>
      </w:r>
      <w:bookmarkEnd w:id="74"/>
      <w:bookmarkEnd w:id="75"/>
      <w:bookmarkEnd w:id="76"/>
      <w:bookmarkEnd w:id="77"/>
      <w:bookmarkEnd w:id="78"/>
      <w:bookmarkEnd w:id="79"/>
      <w:bookmarkEnd w:id="80"/>
      <w:bookmarkEnd w:id="81"/>
      <w:bookmarkEnd w:id="82"/>
      <w:bookmarkEnd w:id="83"/>
    </w:p>
    <w:p w14:paraId="378DCC77">
      <w:pPr>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1.1本竞争性谈判文件仅适用于本谈判公告中所叙述项目的</w:t>
      </w:r>
      <w:r>
        <w:rPr>
          <w:rFonts w:hint="eastAsia" w:ascii="宋体" w:hAnsi="宋体" w:eastAsia="宋体" w:cs="宋体"/>
          <w:bCs/>
          <w:color w:val="auto"/>
          <w:sz w:val="24"/>
          <w:highlight w:val="none"/>
        </w:rPr>
        <w:t>服务采购</w:t>
      </w:r>
      <w:r>
        <w:rPr>
          <w:rFonts w:hint="eastAsia" w:ascii="宋体" w:hAnsi="宋体" w:eastAsia="宋体" w:cs="宋体"/>
          <w:bCs/>
          <w:color w:val="auto"/>
          <w:sz w:val="24"/>
          <w:szCs w:val="24"/>
          <w:highlight w:val="none"/>
        </w:rPr>
        <w:t>。</w:t>
      </w:r>
    </w:p>
    <w:p w14:paraId="501F0A89">
      <w:pPr>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1.2本次采购属政府采购，采购人，代理机构、供应商、</w:t>
      </w:r>
      <w:r>
        <w:rPr>
          <w:rFonts w:hint="eastAsia" w:ascii="宋体" w:hAnsi="宋体" w:eastAsia="宋体" w:cs="宋体"/>
          <w:bCs/>
          <w:color w:val="auto"/>
          <w:sz w:val="24"/>
          <w:szCs w:val="24"/>
          <w:highlight w:val="none"/>
          <w:lang w:eastAsia="zh-CN"/>
        </w:rPr>
        <w:t>评审小组</w:t>
      </w:r>
      <w:r>
        <w:rPr>
          <w:rFonts w:hint="eastAsia" w:ascii="宋体" w:hAnsi="宋体" w:eastAsia="宋体" w:cs="宋体"/>
          <w:bCs/>
          <w:color w:val="auto"/>
          <w:sz w:val="24"/>
          <w:szCs w:val="24"/>
          <w:highlight w:val="none"/>
        </w:rPr>
        <w:t>的相关行为均受《中华人民共和国政府采购法》、财政部规章及政府采购项目所在地有关法规、规章的约束，其权利受到上述法律法规的保护。</w:t>
      </w:r>
    </w:p>
    <w:p w14:paraId="5A0132EA">
      <w:pPr>
        <w:pStyle w:val="4"/>
        <w:spacing w:before="156" w:beforeLines="50" w:after="156" w:afterLines="50" w:line="460" w:lineRule="exact"/>
        <w:rPr>
          <w:rFonts w:hint="eastAsia" w:ascii="宋体" w:hAnsi="宋体" w:eastAsia="宋体" w:cs="宋体"/>
          <w:b w:val="0"/>
          <w:bCs/>
          <w:color w:val="auto"/>
          <w:szCs w:val="24"/>
          <w:highlight w:val="none"/>
        </w:rPr>
      </w:pPr>
      <w:bookmarkStart w:id="84" w:name="_Toc6698"/>
      <w:bookmarkStart w:id="85" w:name="_Toc20999"/>
      <w:bookmarkStart w:id="86" w:name="_Toc10329"/>
      <w:bookmarkStart w:id="87" w:name="_Toc18894"/>
      <w:bookmarkStart w:id="88" w:name="_Toc31636"/>
      <w:bookmarkStart w:id="89" w:name="_Toc14299"/>
      <w:bookmarkStart w:id="90" w:name="_Toc246928897"/>
      <w:bookmarkStart w:id="91" w:name="_Toc9614"/>
      <w:bookmarkStart w:id="92" w:name="_Toc28727"/>
      <w:bookmarkStart w:id="93" w:name="_Toc465958090"/>
      <w:r>
        <w:rPr>
          <w:rFonts w:hint="eastAsia" w:ascii="宋体" w:hAnsi="宋体" w:eastAsia="宋体" w:cs="宋体"/>
          <w:b w:val="0"/>
          <w:bCs/>
          <w:color w:val="auto"/>
          <w:szCs w:val="24"/>
          <w:highlight w:val="none"/>
        </w:rPr>
        <w:t>2 定义</w:t>
      </w:r>
      <w:bookmarkEnd w:id="84"/>
      <w:bookmarkEnd w:id="85"/>
      <w:bookmarkEnd w:id="86"/>
      <w:bookmarkEnd w:id="87"/>
      <w:bookmarkEnd w:id="88"/>
      <w:bookmarkEnd w:id="89"/>
      <w:bookmarkEnd w:id="90"/>
      <w:bookmarkEnd w:id="91"/>
      <w:bookmarkEnd w:id="92"/>
      <w:bookmarkEnd w:id="93"/>
      <w:r>
        <w:rPr>
          <w:rFonts w:hint="eastAsia" w:ascii="宋体" w:hAnsi="宋体" w:eastAsia="宋体" w:cs="宋体"/>
          <w:b w:val="0"/>
          <w:bCs/>
          <w:color w:val="auto"/>
          <w:szCs w:val="24"/>
          <w:highlight w:val="none"/>
        </w:rPr>
        <w:t xml:space="preserve"> </w:t>
      </w:r>
    </w:p>
    <w:p w14:paraId="475B8677">
      <w:pPr>
        <w:spacing w:line="360" w:lineRule="auto"/>
        <w:ind w:firstLine="480" w:firstLineChars="200"/>
        <w:rPr>
          <w:rFonts w:hint="eastAsia" w:ascii="宋体" w:hAnsi="宋体" w:eastAsia="宋体" w:cs="宋体"/>
          <w:bCs/>
          <w:color w:val="auto"/>
          <w:sz w:val="24"/>
          <w:szCs w:val="24"/>
          <w:highlight w:val="none"/>
        </w:rPr>
      </w:pPr>
      <w:bookmarkStart w:id="94" w:name="_Toc16727"/>
      <w:bookmarkStart w:id="95" w:name="_Toc26952"/>
      <w:bookmarkStart w:id="96" w:name="_Toc20739"/>
      <w:bookmarkStart w:id="97" w:name="_Toc465958091"/>
      <w:bookmarkStart w:id="98" w:name="_Toc19646"/>
      <w:bookmarkStart w:id="99" w:name="_Toc27989"/>
      <w:bookmarkStart w:id="100" w:name="_Toc5419"/>
      <w:bookmarkStart w:id="101" w:name="_Toc875"/>
      <w:r>
        <w:rPr>
          <w:rFonts w:hint="eastAsia" w:ascii="宋体" w:hAnsi="宋体" w:eastAsia="宋体" w:cs="宋体"/>
          <w:bCs/>
          <w:color w:val="auto"/>
          <w:sz w:val="24"/>
          <w:szCs w:val="24"/>
          <w:highlight w:val="none"/>
        </w:rPr>
        <w:t>2.1 “采购人”系指依法进行政府采购的国家机关、事业单位、团体组织。本采购项目的采购人名称、地址、电话、联系人见供应商须知前附表。</w:t>
      </w:r>
    </w:p>
    <w:p w14:paraId="16AC7563">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 “采购代理机构”系指接受采购人委托，代理采购项目的集中采购机构和经财政部门认定资格的其他采购代理机构。本采购项目的采购代理机构名称、地址、电话、联系人见供应商须知前附表。</w:t>
      </w:r>
    </w:p>
    <w:p w14:paraId="2DA5EA0A">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2.3 “供应商”系指响应招标、参加投标竞争的法人、其他组织或自然人。</w:t>
      </w:r>
    </w:p>
    <w:p w14:paraId="5C477B05">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2.4 “</w:t>
      </w:r>
      <w:r>
        <w:rPr>
          <w:rFonts w:hint="eastAsia" w:ascii="宋体" w:hAnsi="宋体" w:eastAsia="宋体" w:cs="宋体"/>
          <w:bCs/>
          <w:color w:val="auto"/>
          <w:sz w:val="24"/>
          <w:szCs w:val="24"/>
          <w:highlight w:val="none"/>
          <w:lang w:eastAsia="zh-CN"/>
        </w:rPr>
        <w:t>评审小组</w:t>
      </w:r>
      <w:r>
        <w:rPr>
          <w:rFonts w:hint="eastAsia" w:ascii="宋体" w:hAnsi="宋体" w:eastAsia="宋体" w:cs="宋体"/>
          <w:bCs/>
          <w:color w:val="auto"/>
          <w:sz w:val="24"/>
          <w:szCs w:val="24"/>
          <w:highlight w:val="none"/>
        </w:rPr>
        <w:t>” 是指依据《中华人民共和国政府采购法》、《政府采购非招标采购方式管理办法》（财政部令第 74 号）有关规定组建，依法依规履行其职责和义务的评审机构。</w:t>
      </w:r>
    </w:p>
    <w:p w14:paraId="2821B6E4">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2.5 “货物”系指供应商按竞争性谈判文件要求,向采购人提供的各种形态和种类的物品，包括原材料、设备、产品(包括软件)及相关的其备品备件、工具、手册及其它技术资料和材料。</w:t>
      </w:r>
    </w:p>
    <w:p w14:paraId="0856B6B8">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 “工程”是指建设工程，包括建筑物和构筑物的新建、改建、扩建、装修、拆除、修缮等，详见《政府采购品目分类目录》。</w:t>
      </w:r>
    </w:p>
    <w:p w14:paraId="652528E3">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2.7 “服务”是政府自身需要的服务和政府向社会公众提供的服务，详见《政府采购品目分类目录》。</w:t>
      </w:r>
    </w:p>
    <w:p w14:paraId="142B2045">
      <w:pPr>
        <w:pStyle w:val="4"/>
        <w:spacing w:before="156" w:beforeLines="50" w:after="156" w:afterLines="50" w:line="460" w:lineRule="exact"/>
        <w:rPr>
          <w:rFonts w:hint="eastAsia" w:ascii="宋体" w:hAnsi="宋体" w:eastAsia="宋体" w:cs="宋体"/>
          <w:b w:val="0"/>
          <w:bCs/>
          <w:color w:val="auto"/>
          <w:szCs w:val="24"/>
          <w:highlight w:val="none"/>
        </w:rPr>
      </w:pPr>
      <w:bookmarkStart w:id="102" w:name="_Toc22833"/>
      <w:r>
        <w:rPr>
          <w:rFonts w:hint="eastAsia" w:ascii="宋体" w:hAnsi="宋体" w:eastAsia="宋体" w:cs="宋体"/>
          <w:b w:val="0"/>
          <w:bCs/>
          <w:color w:val="auto"/>
          <w:szCs w:val="24"/>
          <w:highlight w:val="none"/>
        </w:rPr>
        <w:t>3 合格的</w:t>
      </w:r>
      <w:bookmarkEnd w:id="94"/>
      <w:bookmarkEnd w:id="95"/>
      <w:bookmarkEnd w:id="96"/>
      <w:bookmarkEnd w:id="97"/>
      <w:bookmarkEnd w:id="98"/>
      <w:bookmarkEnd w:id="99"/>
      <w:r>
        <w:rPr>
          <w:rFonts w:hint="eastAsia" w:ascii="宋体" w:hAnsi="宋体" w:eastAsia="宋体" w:cs="宋体"/>
          <w:b w:val="0"/>
          <w:bCs/>
          <w:color w:val="auto"/>
          <w:szCs w:val="24"/>
          <w:highlight w:val="none"/>
        </w:rPr>
        <w:t>供应商</w:t>
      </w:r>
      <w:bookmarkEnd w:id="100"/>
      <w:bookmarkEnd w:id="101"/>
      <w:bookmarkEnd w:id="102"/>
    </w:p>
    <w:p w14:paraId="5336831E">
      <w:pPr>
        <w:adjustRightInd w:val="0"/>
        <w:snapToGrid w:val="0"/>
        <w:spacing w:line="360" w:lineRule="auto"/>
        <w:ind w:firstLine="480" w:firstLineChars="200"/>
        <w:jc w:val="left"/>
        <w:rPr>
          <w:rFonts w:hint="eastAsia" w:ascii="宋体" w:hAnsi="宋体" w:eastAsia="宋体" w:cs="宋体"/>
          <w:bCs/>
          <w:color w:val="auto"/>
          <w:sz w:val="24"/>
          <w:highlight w:val="none"/>
        </w:rPr>
      </w:pPr>
      <w:bookmarkStart w:id="103" w:name="_Toc18171"/>
      <w:bookmarkStart w:id="104" w:name="_Toc246928899"/>
      <w:bookmarkStart w:id="105" w:name="_Toc21286"/>
      <w:bookmarkStart w:id="106" w:name="_Toc18683"/>
      <w:bookmarkStart w:id="107" w:name="_Toc3389"/>
      <w:bookmarkStart w:id="108" w:name="_Toc465958092"/>
      <w:bookmarkStart w:id="109" w:name="_Toc9563"/>
      <w:r>
        <w:rPr>
          <w:rFonts w:hint="eastAsia" w:ascii="宋体" w:hAnsi="宋体" w:eastAsia="宋体" w:cs="宋体"/>
          <w:bCs/>
          <w:color w:val="auto"/>
          <w:sz w:val="24"/>
          <w:highlight w:val="none"/>
        </w:rPr>
        <w:t>3.1 合格的供应商：满足下列资格条件且有能力提供项目所需服务的供应商。</w:t>
      </w:r>
    </w:p>
    <w:p w14:paraId="575DCCE4">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3.2资格条件</w:t>
      </w:r>
    </w:p>
    <w:p w14:paraId="1C2CF232">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3.2.1供应商应当符合《中华人民共和国政府采购法》第二十二条第一款规定的</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基本资格条件；以及竞争性谈判文件规定的供应商特定资格条件。</w:t>
      </w:r>
    </w:p>
    <w:p w14:paraId="1DF307B2">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3.3供应商必须从陕西省公共资源交易平台获取竞争性谈判文件，供应商自行转让或复制的竞争性谈判文件视为无效文件，此文件仅作为本次谈判使用。</w:t>
      </w:r>
    </w:p>
    <w:p w14:paraId="2A900E10">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3.4法定代表人或者负责人为同一人或者存在控股、管理关系的两个以上供应商，不得参加同一政府采购项目投标。</w:t>
      </w:r>
    </w:p>
    <w:p w14:paraId="0CBFA315">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3.5是否接受联合体投标：见</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须知前附表。</w:t>
      </w:r>
    </w:p>
    <w:p w14:paraId="4A696669">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3.6供应商应参照《中华人民共和国政府采购法》及其它有关的中国法律和法规。</w:t>
      </w:r>
    </w:p>
    <w:p w14:paraId="01701E13">
      <w:pPr>
        <w:pStyle w:val="4"/>
        <w:spacing w:line="460" w:lineRule="exact"/>
        <w:rPr>
          <w:rFonts w:hint="eastAsia" w:ascii="宋体" w:hAnsi="宋体" w:eastAsia="宋体" w:cs="宋体"/>
          <w:b w:val="0"/>
          <w:bCs/>
          <w:color w:val="auto"/>
          <w:highlight w:val="none"/>
        </w:rPr>
      </w:pPr>
      <w:bookmarkStart w:id="110" w:name="_Toc15074"/>
      <w:bookmarkStart w:id="111" w:name="_Toc13775"/>
      <w:bookmarkStart w:id="112" w:name="_Toc8995"/>
      <w:r>
        <w:rPr>
          <w:rFonts w:hint="eastAsia" w:ascii="宋体" w:hAnsi="宋体" w:eastAsia="宋体" w:cs="宋体"/>
          <w:b w:val="0"/>
          <w:bCs/>
          <w:color w:val="auto"/>
          <w:highlight w:val="none"/>
        </w:rPr>
        <w:t>4 费用</w:t>
      </w:r>
      <w:bookmarkEnd w:id="103"/>
      <w:bookmarkEnd w:id="104"/>
      <w:bookmarkEnd w:id="105"/>
      <w:bookmarkEnd w:id="106"/>
      <w:bookmarkEnd w:id="107"/>
      <w:bookmarkEnd w:id="108"/>
      <w:bookmarkEnd w:id="109"/>
      <w:bookmarkEnd w:id="110"/>
      <w:bookmarkEnd w:id="111"/>
      <w:bookmarkEnd w:id="112"/>
    </w:p>
    <w:p w14:paraId="3B6EE458">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4.1 供应商应承担所有与编写和提交竞争性谈判响应文件有关的费用，无论谈判过程中的做法和结果如何，供应商自行承担参加谈判相关的全部费用。</w:t>
      </w:r>
    </w:p>
    <w:p w14:paraId="1942CA69">
      <w:pPr>
        <w:pStyle w:val="3"/>
        <w:spacing w:line="460" w:lineRule="exact"/>
        <w:jc w:val="center"/>
        <w:rPr>
          <w:rFonts w:hint="eastAsia" w:ascii="宋体" w:hAnsi="宋体" w:eastAsia="宋体" w:cs="宋体"/>
          <w:b w:val="0"/>
          <w:bCs/>
          <w:color w:val="auto"/>
          <w:sz w:val="44"/>
          <w:highlight w:val="none"/>
        </w:rPr>
      </w:pPr>
      <w:bookmarkStart w:id="113" w:name="_Toc465958093"/>
      <w:bookmarkStart w:id="114" w:name="_Toc25467"/>
      <w:bookmarkStart w:id="115" w:name="_Toc9289"/>
      <w:bookmarkStart w:id="116" w:name="_Toc1383"/>
      <w:bookmarkStart w:id="117" w:name="_Toc6958"/>
      <w:bookmarkStart w:id="118" w:name="_Toc17078"/>
      <w:bookmarkStart w:id="119" w:name="_Toc3331"/>
      <w:bookmarkStart w:id="120" w:name="_Toc4175"/>
      <w:bookmarkStart w:id="121" w:name="_Toc26140"/>
      <w:bookmarkStart w:id="122" w:name="_Toc246928900"/>
      <w:bookmarkStart w:id="123" w:name="_Toc11194"/>
      <w:bookmarkStart w:id="124" w:name="_Toc29877"/>
      <w:bookmarkStart w:id="125" w:name="_Toc24227"/>
      <w:r>
        <w:rPr>
          <w:rFonts w:hint="eastAsia" w:ascii="宋体" w:hAnsi="宋体" w:eastAsia="宋体" w:cs="宋体"/>
          <w:b w:val="0"/>
          <w:bCs/>
          <w:color w:val="auto"/>
          <w:sz w:val="44"/>
          <w:highlight w:val="none"/>
        </w:rPr>
        <w:t>B 竞争性谈判文件说明</w:t>
      </w:r>
      <w:bookmarkEnd w:id="113"/>
      <w:bookmarkEnd w:id="114"/>
      <w:bookmarkEnd w:id="115"/>
      <w:bookmarkEnd w:id="116"/>
      <w:bookmarkEnd w:id="117"/>
      <w:bookmarkEnd w:id="118"/>
      <w:bookmarkEnd w:id="119"/>
      <w:bookmarkEnd w:id="120"/>
      <w:bookmarkEnd w:id="121"/>
      <w:bookmarkEnd w:id="122"/>
      <w:bookmarkEnd w:id="123"/>
      <w:bookmarkEnd w:id="124"/>
      <w:bookmarkEnd w:id="125"/>
    </w:p>
    <w:p w14:paraId="365CC356">
      <w:pPr>
        <w:pStyle w:val="4"/>
        <w:spacing w:line="460" w:lineRule="exact"/>
        <w:rPr>
          <w:rFonts w:hint="eastAsia" w:ascii="宋体" w:hAnsi="宋体" w:eastAsia="宋体" w:cs="宋体"/>
          <w:b w:val="0"/>
          <w:bCs/>
          <w:color w:val="auto"/>
          <w:highlight w:val="none"/>
        </w:rPr>
      </w:pPr>
      <w:bookmarkStart w:id="126" w:name="_Toc5335"/>
      <w:bookmarkStart w:id="127" w:name="_Toc16142"/>
      <w:bookmarkStart w:id="128" w:name="_Toc15639"/>
      <w:bookmarkStart w:id="129" w:name="_Toc5791"/>
      <w:bookmarkStart w:id="130" w:name="_Toc21132"/>
      <w:bookmarkStart w:id="131" w:name="_Toc23175"/>
      <w:bookmarkStart w:id="132" w:name="_Toc7327"/>
      <w:bookmarkStart w:id="133" w:name="_Toc246928901"/>
      <w:bookmarkStart w:id="134" w:name="_Toc6287"/>
      <w:bookmarkStart w:id="135" w:name="_Toc465958094"/>
      <w:r>
        <w:rPr>
          <w:rFonts w:hint="eastAsia" w:ascii="宋体" w:hAnsi="宋体" w:eastAsia="宋体" w:cs="宋体"/>
          <w:b w:val="0"/>
          <w:bCs/>
          <w:color w:val="auto"/>
          <w:highlight w:val="none"/>
        </w:rPr>
        <w:t>5 竞争性谈判文件的构成</w:t>
      </w:r>
      <w:bookmarkEnd w:id="126"/>
      <w:bookmarkEnd w:id="127"/>
      <w:bookmarkEnd w:id="128"/>
      <w:bookmarkEnd w:id="129"/>
      <w:bookmarkEnd w:id="130"/>
      <w:bookmarkEnd w:id="131"/>
      <w:bookmarkEnd w:id="132"/>
      <w:bookmarkEnd w:id="133"/>
      <w:bookmarkEnd w:id="134"/>
      <w:bookmarkEnd w:id="135"/>
    </w:p>
    <w:p w14:paraId="0A8B3933">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5.1 竞争性谈判文件以阐明所需提供的采购、谈判程序和合同条件。竞争性谈判文件包括：</w:t>
      </w:r>
    </w:p>
    <w:p w14:paraId="66BA67DF">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5.1.1 竞争性谈判公告；</w:t>
      </w:r>
    </w:p>
    <w:p w14:paraId="5E8830CB">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5.1.2 供应商须知前附表；</w:t>
      </w:r>
    </w:p>
    <w:p w14:paraId="4EE75A1B">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5.1.3 供应商须知；</w:t>
      </w:r>
    </w:p>
    <w:p w14:paraId="2266194E">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5.1.4 政府采购合同；</w:t>
      </w:r>
      <w:r>
        <w:rPr>
          <w:rFonts w:hint="eastAsia" w:ascii="宋体" w:hAnsi="宋体" w:eastAsia="宋体" w:cs="宋体"/>
          <w:bCs/>
          <w:color w:val="auto"/>
          <w:sz w:val="24"/>
          <w:highlight w:val="none"/>
        </w:rPr>
        <w:tab/>
      </w:r>
    </w:p>
    <w:p w14:paraId="48B34C50">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5.1.5 商务要求；</w:t>
      </w:r>
    </w:p>
    <w:p w14:paraId="62CE4B65">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5.1.6 采购内容及技术要求； </w:t>
      </w:r>
    </w:p>
    <w:p w14:paraId="62A0B301">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5.1.7 评审方法；</w:t>
      </w:r>
    </w:p>
    <w:p w14:paraId="68A67866">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5.1.8 竞争性谈判响应文件格式；</w:t>
      </w:r>
    </w:p>
    <w:p w14:paraId="46F35841">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5.1.9 附件；</w:t>
      </w:r>
    </w:p>
    <w:p w14:paraId="2C59A947">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5.2 供应商应认真阅读竞争性谈判文件中所有的事项、格式、条款和规范要求等。</w:t>
      </w:r>
    </w:p>
    <w:p w14:paraId="0978F6E2">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5.2.1 供应商下载竞争性谈判文件后应仔细阅读检查竞争性谈判文件中的所有内容，按照竞争性谈判文件中所列事项、条款、规范要求及格式，在谈判响应文件中对竞争性谈判文件做出全面的响应，并按竞争性谈判文件的要求提交全部资料。如果供应商没有按照竞争性谈判文件要求提交全部资料，或者谈判响应文件没有对竞争性谈判文件在各方面都做出实质性响应，由此带来不利于供应商的谈判结果，其风险由供应商承担。</w:t>
      </w:r>
    </w:p>
    <w:p w14:paraId="557AA3E4">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5.4采购项目需要落实的政府采购政策：国务院财政部门会同有关部门制定的采购需求标准、预留采购份额、价格评审优惠、优先采购等措施，实现节约能源、保护环境、扶持不发达地区和少数民族地区、促进中小企业发展等目标的政府采购政策。</w:t>
      </w:r>
    </w:p>
    <w:p w14:paraId="255A9434">
      <w:pPr>
        <w:adjustRightInd w:val="0"/>
        <w:snapToGrid w:val="0"/>
        <w:spacing w:line="360" w:lineRule="auto"/>
        <w:ind w:firstLine="480" w:firstLineChars="200"/>
        <w:jc w:val="left"/>
        <w:rPr>
          <w:rFonts w:hint="eastAsia" w:ascii="宋体" w:hAnsi="宋体" w:eastAsia="宋体" w:cs="宋体"/>
          <w:bCs/>
          <w:color w:val="auto"/>
          <w:sz w:val="24"/>
          <w:highlight w:val="none"/>
        </w:rPr>
      </w:pPr>
      <w:bookmarkStart w:id="136" w:name="_Toc23102"/>
      <w:bookmarkStart w:id="137" w:name="_Toc9452"/>
      <w:bookmarkStart w:id="138" w:name="_Toc2275"/>
      <w:bookmarkStart w:id="139" w:name="_Toc29090"/>
      <w:bookmarkStart w:id="140" w:name="_Toc7858"/>
      <w:bookmarkStart w:id="141" w:name="_Toc246928902"/>
      <w:bookmarkStart w:id="142" w:name="_Toc29347"/>
      <w:bookmarkStart w:id="143" w:name="_Toc32248"/>
      <w:bookmarkStart w:id="144" w:name="_Toc465958095"/>
      <w:r>
        <w:rPr>
          <w:rFonts w:hint="eastAsia" w:ascii="宋体" w:hAnsi="宋体" w:eastAsia="宋体" w:cs="宋体"/>
          <w:bCs/>
          <w:color w:val="auto"/>
          <w:sz w:val="24"/>
          <w:highlight w:val="none"/>
        </w:rPr>
        <w:t>5.4.1 根据《政府采购促进中小企业发展管理办法》（财库〔2020〕46号）、《财政部关于进一步加大政府采购支持中小企业力度的通知》（财库〔2022〕19号），本项目严格落实中小企业扶持政策，对符合规定的小微企业给予相应价格扣除。</w:t>
      </w:r>
    </w:p>
    <w:p w14:paraId="1E30715C">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5.4.2 根据《陕西省财政厅关于进一步加大政府采购支持中小企业力度的通知》（陕财办采〔2022〕5号），加大对本省中小企业扶持力度，优化中小企业参与政府采购活动营商环境。</w:t>
      </w:r>
    </w:p>
    <w:p w14:paraId="6992AB44">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5.4.3 根据《榆林市财政局关于进一步加大政府采购支持中小企业力度的通知》（榆政财采发〔2022〕10号），落实本市中小企业价格扣除、合同预付款、信用融资等惠企政策。</w:t>
      </w:r>
    </w:p>
    <w:p w14:paraId="1AD6A936">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5.4.4 根据《财政部 司法部关于政府采购支持监狱企业发展有关问题的通知》（财库〔2014〕68号），监狱企业参与政府采购活动视同小型、微型企业，享受同等扶持政策。</w:t>
      </w:r>
    </w:p>
    <w:p w14:paraId="256421BB">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5.4.5 根据《国务院办公厅关于建立政府强制采购节能产品制度的通知》（国办发〔2007〕51号）、《财政部 发展改革委 生态环境部 市场监管总局关于调整优化节能产品、环境标志产品政府采购执行机制的通知》（财库〔2019〕9号），本项目涉及节能产品应当优先采购、清单内产品实行强制采购。</w:t>
      </w:r>
    </w:p>
    <w:p w14:paraId="755BD3ED">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5.4.6 根据《财政部 发展改革委 生态环境部 市场监管总局关于调整优化节能产品、环境标志产品政府采购执行机制的通知》（财库〔2019〕9号）及《节能产品政府采购品目清单》，供应商所投节能产品须符合国家节能认证要求。</w:t>
      </w:r>
    </w:p>
    <w:p w14:paraId="5924BB26">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5.4.7 根据《财政部 发展改革委 生态环境部 市场监管总局关于调整优化节能产品、环境标志产品政府采购执行机制的通知》（财库〔2019〕9号）及《环境标志产品政府采购品目清单》，供应商所投产品应优先选择财政部公布的环境标志产品政府采购清单目录内的产品（须提供节能、环保认证证书复印件并加盖公章）。</w:t>
      </w:r>
    </w:p>
    <w:p w14:paraId="5D6C3799">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5.4.8 根据《财政部 民政部 中国残疾人联合会关于促进残疾人就业政府采购政策的通知》（财库〔2017〕141号），符合条件的残疾人集中就业企业享受政府采购扶持优惠政策。</w:t>
      </w:r>
    </w:p>
    <w:p w14:paraId="7A22F8E0">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5.4.9 根据《财政部 农业农村部 国家乡村振兴局 中华全国供销合作总社关于深入开展政府采购脱贫地区农副产品工作推进乡村产业振兴的实施意见》（财库〔2021〕20号），采购人优先采购脱贫地区农副产品，落实乡村振兴采购政策。</w:t>
      </w:r>
    </w:p>
    <w:p w14:paraId="1187E74C">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5.4.10 根据《关于在政府采购活动中查询及使用信用记录有关问题的通知》（财库〔2016〕125号），采购人、采购代理机构将在开标前查询供应商信用记录，存在失信记录的供应商不得参与本次采购活动。</w:t>
      </w:r>
    </w:p>
    <w:p w14:paraId="0C147975">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5.4.11 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政府采购促进中小企业发展管理办法》（财库〔2020〕46号）、《陕西省中小企业政府采购信用融资办法》（陕财办采〔2018〕23号）、《陕西省财政厅关于加快推进我省中小企业政府采购信用融资工作的通知》（陕财办采〔2020〕15号）、《陕西省财政厅 中国人民银行西安分行关于深入推进政府采购信用融资业务的通知》（陕财办采〔2023〕5号）等有关规定，按照市场主导、财政引导、银企自愿、风险自担的原则，中标（成交）供应商可根据自身资金需求，登录陕西省政府采购信用融资平台（http://www.ccgp-shaanxi.gov.cn/zcdservice/zcd/shanxi/）在线申请，依法参加政府采购信用融资活动，可办理纯信用贷款、电子投标保函、电子履约保函，降低企业资金占用成本。</w:t>
      </w:r>
    </w:p>
    <w:p w14:paraId="1AEFBE5B">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p w14:paraId="1C4BC2A2">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rPr>
        <w:t xml:space="preserve"> 如本项目废标后需重新组织招标，采购代理机构将重新编制、发布新版谈判文件，供应商应按新版竞争性谈判文件重新编制谈判响应文件。原竞争性谈判文件及谈判响应文件失效。</w:t>
      </w:r>
    </w:p>
    <w:p w14:paraId="13A1ADC6">
      <w:pPr>
        <w:adjustRightInd w:val="0"/>
        <w:snapToGrid w:val="0"/>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6</w:t>
      </w:r>
      <w:r>
        <w:rPr>
          <w:rFonts w:hint="eastAsia" w:ascii="宋体" w:hAnsi="宋体" w:eastAsia="宋体" w:cs="宋体"/>
          <w:bCs/>
          <w:color w:val="auto"/>
          <w:sz w:val="24"/>
          <w:highlight w:val="none"/>
        </w:rPr>
        <w:t xml:space="preserve"> 谈判响应文件封面、响应函以及法定代表人授权委托书三处的项目名称、项目编号、标段(如有)应当与最新发布的竞争性谈判文件保持一致，否则将被视为无效谈判响应文件。</w:t>
      </w:r>
    </w:p>
    <w:p w14:paraId="333015FF">
      <w:pPr>
        <w:pStyle w:val="4"/>
        <w:spacing w:line="460" w:lineRule="exact"/>
        <w:rPr>
          <w:rFonts w:hint="eastAsia" w:ascii="宋体" w:hAnsi="宋体" w:eastAsia="宋体" w:cs="宋体"/>
          <w:b w:val="0"/>
          <w:bCs/>
          <w:color w:val="auto"/>
          <w:highlight w:val="none"/>
        </w:rPr>
      </w:pPr>
      <w:bookmarkStart w:id="145" w:name="_Toc6190"/>
      <w:r>
        <w:rPr>
          <w:rFonts w:hint="eastAsia" w:ascii="宋体" w:hAnsi="宋体" w:eastAsia="宋体" w:cs="宋体"/>
          <w:b w:val="0"/>
          <w:bCs/>
          <w:color w:val="auto"/>
          <w:highlight w:val="none"/>
        </w:rPr>
        <w:t>6 竞争性谈判文件的澄清</w:t>
      </w:r>
      <w:bookmarkEnd w:id="136"/>
      <w:bookmarkEnd w:id="137"/>
      <w:bookmarkEnd w:id="138"/>
      <w:bookmarkEnd w:id="139"/>
      <w:bookmarkEnd w:id="140"/>
      <w:bookmarkEnd w:id="141"/>
      <w:bookmarkEnd w:id="142"/>
      <w:bookmarkEnd w:id="143"/>
      <w:bookmarkEnd w:id="144"/>
      <w:bookmarkEnd w:id="145"/>
    </w:p>
    <w:p w14:paraId="16A48546">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6.1 任何要求对竞争性谈判文件澄清的供应商，均应以书面形式在谈判截止时间2日前通知代理机构。代理机构将以书面形式予以答复，并在其认为必要时，将不标明查询来源的书面答复通知竞争性谈判文件收受人。</w:t>
      </w:r>
    </w:p>
    <w:p w14:paraId="549D5E3C">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6.2 供应商收到上述通知后，应当立即向代理机构发出回函予以确认。</w:t>
      </w:r>
    </w:p>
    <w:p w14:paraId="63D46D21">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6.3 该澄清的内容为竞争性谈判文件的组成部分。</w:t>
      </w:r>
    </w:p>
    <w:p w14:paraId="20E634A9">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6.4当澄清或修改的内容影响谈判响应文件编制时，将在交易平台上同步发布答疑文件，此时供应商应从“项目流程·〉答疑文件下载”下载最新发布的答疑文件（*.SXSCF格式），并使用该文件重新编制电子谈判响应文件（*</w:t>
      </w:r>
      <w:r>
        <w:rPr>
          <w:rFonts w:hint="eastAsia" w:ascii="宋体" w:hAnsi="宋体" w:eastAsia="宋体" w:cs="宋体"/>
          <w:bCs/>
          <w:color w:val="auto"/>
          <w:sz w:val="24"/>
          <w:highlight w:val="none"/>
          <w:lang w:eastAsia="zh-CN"/>
        </w:rPr>
        <w:t>.SXSCF</w:t>
      </w:r>
      <w:r>
        <w:rPr>
          <w:rFonts w:hint="eastAsia" w:ascii="宋体" w:hAnsi="宋体" w:eastAsia="宋体" w:cs="宋体"/>
          <w:bCs/>
          <w:color w:val="auto"/>
          <w:sz w:val="24"/>
          <w:highlight w:val="none"/>
        </w:rPr>
        <w:t>格式），使用旧版电子招标文件或旧版答疑文件制作的电子谈判响应文件，系统将拒绝接收。</w:t>
      </w:r>
    </w:p>
    <w:p w14:paraId="481FB613">
      <w:pPr>
        <w:pStyle w:val="4"/>
        <w:spacing w:line="460" w:lineRule="exact"/>
        <w:rPr>
          <w:rFonts w:hint="eastAsia" w:ascii="宋体" w:hAnsi="宋体" w:eastAsia="宋体" w:cs="宋体"/>
          <w:b w:val="0"/>
          <w:bCs/>
          <w:color w:val="auto"/>
          <w:highlight w:val="none"/>
        </w:rPr>
      </w:pPr>
      <w:bookmarkStart w:id="146" w:name="_Toc936"/>
      <w:bookmarkStart w:id="147" w:name="_Toc843"/>
      <w:bookmarkStart w:id="148" w:name="_Toc25100"/>
      <w:bookmarkStart w:id="149" w:name="_Toc30004"/>
      <w:bookmarkStart w:id="150" w:name="_Toc11107"/>
      <w:bookmarkStart w:id="151" w:name="_Toc246928903"/>
      <w:bookmarkStart w:id="152" w:name="_Toc465958096"/>
      <w:bookmarkStart w:id="153" w:name="_Toc29244"/>
      <w:bookmarkStart w:id="154" w:name="_Toc15394"/>
      <w:bookmarkStart w:id="155" w:name="_Toc28323"/>
      <w:r>
        <w:rPr>
          <w:rFonts w:hint="eastAsia" w:ascii="宋体" w:hAnsi="宋体" w:eastAsia="宋体" w:cs="宋体"/>
          <w:b w:val="0"/>
          <w:bCs/>
          <w:color w:val="auto"/>
          <w:highlight w:val="none"/>
        </w:rPr>
        <w:t>7 竞争性谈判文件的修改</w:t>
      </w:r>
      <w:bookmarkEnd w:id="146"/>
      <w:bookmarkEnd w:id="147"/>
      <w:bookmarkEnd w:id="148"/>
      <w:bookmarkEnd w:id="149"/>
      <w:bookmarkEnd w:id="150"/>
      <w:bookmarkEnd w:id="151"/>
      <w:bookmarkEnd w:id="152"/>
      <w:bookmarkEnd w:id="153"/>
      <w:bookmarkEnd w:id="154"/>
      <w:bookmarkEnd w:id="155"/>
    </w:p>
    <w:p w14:paraId="18E4FD51">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7.1 在竞争性谈判截止期前，无论出于何种原因，采购人可主动地或在解答供应商要求澄清的问题时对竞争性谈判文件进行修改。</w:t>
      </w:r>
    </w:p>
    <w:p w14:paraId="6A418201">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7.2 竞争性谈判文件的修改将以书面形式通知所有竞争性谈判文件的收受人，供应商在收到该通知后应立即以书面形式予以确认。</w:t>
      </w:r>
    </w:p>
    <w:p w14:paraId="3FFABE78">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7.3 为使供应商在准备竞争性谈判响应文件时，有充分的时间对竞争性谈判文件的修改进行研究考虑，采购人可自行决定，酌情推迟竞争性谈判响应文件截止日期和谈判时间，并以书面形式通知所有已领取竞争性谈判文件的供应商。</w:t>
      </w:r>
    </w:p>
    <w:p w14:paraId="692B985C">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7.4 竞争性谈判文件修改书将构成竞争性谈判文件的一部分，对采购人和供应商都具有约束力。</w:t>
      </w:r>
    </w:p>
    <w:p w14:paraId="63C96B15">
      <w:pPr>
        <w:pStyle w:val="4"/>
        <w:spacing w:line="460" w:lineRule="exact"/>
        <w:rPr>
          <w:rFonts w:hint="eastAsia" w:ascii="宋体" w:hAnsi="宋体" w:eastAsia="宋体" w:cs="宋体"/>
          <w:b w:val="0"/>
          <w:bCs/>
          <w:color w:val="auto"/>
          <w:szCs w:val="24"/>
          <w:highlight w:val="none"/>
        </w:rPr>
      </w:pPr>
      <w:bookmarkStart w:id="156" w:name="_Toc25938"/>
      <w:bookmarkStart w:id="157" w:name="_Toc7688"/>
      <w:bookmarkStart w:id="158" w:name="_Toc2447"/>
      <w:r>
        <w:rPr>
          <w:rFonts w:hint="eastAsia" w:ascii="宋体" w:hAnsi="宋体" w:eastAsia="宋体" w:cs="宋体"/>
          <w:b w:val="0"/>
          <w:bCs/>
          <w:color w:val="auto"/>
          <w:szCs w:val="32"/>
          <w:highlight w:val="none"/>
        </w:rPr>
        <w:t>8 竞争性谈判文件的获取</w:t>
      </w:r>
      <w:bookmarkEnd w:id="156"/>
      <w:bookmarkEnd w:id="157"/>
      <w:bookmarkEnd w:id="158"/>
    </w:p>
    <w:p w14:paraId="09657256">
      <w:pPr>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招标采购公告发布后，有意向的</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应从陕西省公共资源交易平台获取竞争性谈判文件并下载谈判文件，仅作为本次招标使用。投标单位自行转让或复制的竞争性谈判文件视为无效文件。</w:t>
      </w:r>
    </w:p>
    <w:p w14:paraId="727986E0">
      <w:pPr>
        <w:pStyle w:val="4"/>
        <w:spacing w:line="460" w:lineRule="exact"/>
        <w:rPr>
          <w:rFonts w:hint="eastAsia" w:ascii="宋体" w:hAnsi="宋体" w:eastAsia="宋体" w:cs="宋体"/>
          <w:b w:val="0"/>
          <w:bCs/>
          <w:color w:val="auto"/>
          <w:sz w:val="24"/>
          <w:szCs w:val="24"/>
          <w:highlight w:val="none"/>
        </w:rPr>
      </w:pPr>
      <w:bookmarkStart w:id="159" w:name="_Toc26223"/>
      <w:bookmarkStart w:id="160" w:name="_Toc27608"/>
      <w:bookmarkStart w:id="161" w:name="_Toc28863"/>
      <w:r>
        <w:rPr>
          <w:rFonts w:hint="eastAsia" w:ascii="宋体" w:hAnsi="宋体" w:eastAsia="宋体" w:cs="宋体"/>
          <w:b w:val="0"/>
          <w:bCs/>
          <w:color w:val="auto"/>
          <w:szCs w:val="32"/>
          <w:highlight w:val="none"/>
        </w:rPr>
        <w:t>9 解释权归属</w:t>
      </w:r>
      <w:bookmarkEnd w:id="159"/>
      <w:bookmarkEnd w:id="160"/>
      <w:bookmarkEnd w:id="161"/>
    </w:p>
    <w:p w14:paraId="14B6D3CE">
      <w:pPr>
        <w:spacing w:line="460" w:lineRule="exact"/>
        <w:ind w:firstLine="566" w:firstLineChars="236"/>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本次竞争性谈判文件的解释权归代理机构。 </w:t>
      </w:r>
    </w:p>
    <w:p w14:paraId="54C8C9CE">
      <w:pPr>
        <w:pStyle w:val="3"/>
        <w:spacing w:line="460" w:lineRule="exact"/>
        <w:jc w:val="center"/>
        <w:rPr>
          <w:rFonts w:hint="eastAsia" w:ascii="宋体" w:hAnsi="宋体" w:eastAsia="宋体" w:cs="宋体"/>
          <w:b w:val="0"/>
          <w:bCs/>
          <w:color w:val="auto"/>
          <w:sz w:val="36"/>
          <w:highlight w:val="none"/>
        </w:rPr>
      </w:pPr>
      <w:bookmarkStart w:id="162" w:name="_Toc1006"/>
      <w:bookmarkStart w:id="163" w:name="_Toc19669"/>
      <w:bookmarkStart w:id="164" w:name="_Toc28020"/>
      <w:bookmarkStart w:id="165" w:name="_Toc8710"/>
      <w:bookmarkStart w:id="166" w:name="_Toc585"/>
      <w:bookmarkStart w:id="167" w:name="_Toc246928904"/>
      <w:bookmarkStart w:id="168" w:name="_Toc30520"/>
      <w:bookmarkStart w:id="169" w:name="_Toc18461"/>
      <w:bookmarkStart w:id="170" w:name="_Toc16894"/>
      <w:bookmarkStart w:id="171" w:name="_Toc30501"/>
      <w:bookmarkStart w:id="172" w:name="_Toc465958097"/>
      <w:bookmarkStart w:id="173" w:name="_Toc30368"/>
      <w:bookmarkStart w:id="174" w:name="_Toc32127"/>
      <w:r>
        <w:rPr>
          <w:rFonts w:hint="eastAsia" w:ascii="宋体" w:hAnsi="宋体" w:eastAsia="宋体" w:cs="宋体"/>
          <w:b w:val="0"/>
          <w:bCs/>
          <w:color w:val="auto"/>
          <w:sz w:val="36"/>
          <w:highlight w:val="none"/>
        </w:rPr>
        <w:t>C 竞争性谈判响应文件的编写</w:t>
      </w:r>
      <w:bookmarkEnd w:id="162"/>
      <w:bookmarkEnd w:id="163"/>
      <w:bookmarkEnd w:id="164"/>
      <w:bookmarkEnd w:id="165"/>
      <w:bookmarkEnd w:id="166"/>
      <w:bookmarkEnd w:id="167"/>
      <w:bookmarkEnd w:id="168"/>
      <w:bookmarkEnd w:id="169"/>
      <w:bookmarkEnd w:id="170"/>
      <w:bookmarkEnd w:id="171"/>
      <w:bookmarkEnd w:id="172"/>
      <w:bookmarkEnd w:id="173"/>
      <w:bookmarkEnd w:id="174"/>
    </w:p>
    <w:p w14:paraId="033CDFA9">
      <w:pPr>
        <w:pStyle w:val="4"/>
        <w:spacing w:line="460" w:lineRule="exact"/>
        <w:rPr>
          <w:rFonts w:hint="eastAsia" w:ascii="宋体" w:hAnsi="宋体" w:eastAsia="宋体" w:cs="宋体"/>
          <w:b w:val="0"/>
          <w:bCs/>
          <w:color w:val="auto"/>
          <w:highlight w:val="none"/>
        </w:rPr>
      </w:pPr>
      <w:bookmarkStart w:id="175" w:name="_Toc29305"/>
      <w:bookmarkStart w:id="176" w:name="_Toc17820"/>
      <w:bookmarkStart w:id="177" w:name="_Toc20725"/>
      <w:bookmarkStart w:id="178" w:name="_Toc25916"/>
      <w:bookmarkStart w:id="179" w:name="_Toc25855"/>
      <w:bookmarkStart w:id="180" w:name="_Toc32164"/>
      <w:bookmarkStart w:id="181" w:name="_Toc3361"/>
      <w:bookmarkStart w:id="182" w:name="_Toc9502"/>
      <w:bookmarkStart w:id="183" w:name="_Toc246928905"/>
      <w:bookmarkStart w:id="184" w:name="_Toc465958098"/>
      <w:r>
        <w:rPr>
          <w:rFonts w:hint="eastAsia" w:ascii="宋体" w:hAnsi="宋体" w:eastAsia="宋体" w:cs="宋体"/>
          <w:b w:val="0"/>
          <w:bCs/>
          <w:color w:val="auto"/>
          <w:highlight w:val="none"/>
        </w:rPr>
        <w:t>10 谈判语言</w:t>
      </w:r>
      <w:bookmarkEnd w:id="175"/>
      <w:bookmarkEnd w:id="176"/>
      <w:bookmarkEnd w:id="177"/>
      <w:bookmarkEnd w:id="178"/>
      <w:bookmarkEnd w:id="179"/>
      <w:bookmarkEnd w:id="180"/>
      <w:bookmarkEnd w:id="181"/>
      <w:bookmarkEnd w:id="182"/>
      <w:bookmarkEnd w:id="183"/>
      <w:bookmarkEnd w:id="184"/>
    </w:p>
    <w:p w14:paraId="366D37B2">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10.1 由供应商编写的竞争性谈判响应文件和往来信件应以中文书写。</w:t>
      </w:r>
    </w:p>
    <w:p w14:paraId="07D67E2C">
      <w:pPr>
        <w:pStyle w:val="4"/>
        <w:spacing w:line="460" w:lineRule="exact"/>
        <w:rPr>
          <w:rFonts w:hint="eastAsia" w:ascii="宋体" w:hAnsi="宋体" w:eastAsia="宋体" w:cs="宋体"/>
          <w:b w:val="0"/>
          <w:bCs/>
          <w:color w:val="auto"/>
          <w:highlight w:val="none"/>
        </w:rPr>
      </w:pPr>
      <w:bookmarkStart w:id="185" w:name="_Toc26252"/>
      <w:bookmarkStart w:id="186" w:name="_Toc31749"/>
      <w:bookmarkStart w:id="187" w:name="_Toc23931"/>
      <w:bookmarkStart w:id="188" w:name="_Toc14629"/>
      <w:bookmarkStart w:id="189" w:name="_Toc465958099"/>
      <w:bookmarkStart w:id="190" w:name="_Toc2679"/>
      <w:bookmarkStart w:id="191" w:name="_Toc6421"/>
      <w:bookmarkStart w:id="192" w:name="_Toc30244"/>
      <w:bookmarkStart w:id="193" w:name="_Toc12423"/>
      <w:bookmarkStart w:id="194" w:name="_Toc246928906"/>
      <w:r>
        <w:rPr>
          <w:rFonts w:hint="eastAsia" w:ascii="宋体" w:hAnsi="宋体" w:eastAsia="宋体" w:cs="宋体"/>
          <w:b w:val="0"/>
          <w:bCs/>
          <w:color w:val="auto"/>
          <w:highlight w:val="none"/>
        </w:rPr>
        <w:t>11 计量单位</w:t>
      </w:r>
      <w:bookmarkEnd w:id="185"/>
      <w:bookmarkEnd w:id="186"/>
      <w:bookmarkEnd w:id="187"/>
      <w:bookmarkEnd w:id="188"/>
      <w:bookmarkEnd w:id="189"/>
      <w:bookmarkEnd w:id="190"/>
      <w:bookmarkEnd w:id="191"/>
      <w:bookmarkEnd w:id="192"/>
      <w:bookmarkEnd w:id="193"/>
      <w:bookmarkEnd w:id="194"/>
    </w:p>
    <w:p w14:paraId="7EDEAA0C">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11.1 除在竞争性谈判文件中有特殊要求外，计量单位应使用中华人民共和国法定计量单位及通用图形符号。</w:t>
      </w:r>
    </w:p>
    <w:p w14:paraId="4E05CA13">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11.2 本次采购、谈判报价、谈判、评审和合同授予均以项目为单位，供应商必须就整个项目进行响应，不得将整个项目中的内容拆开谈判。拆开谈判的，按无效竞争性谈判响应文件处理。</w:t>
      </w:r>
    </w:p>
    <w:p w14:paraId="1F95CCC1">
      <w:pPr>
        <w:pStyle w:val="4"/>
        <w:spacing w:line="460" w:lineRule="exact"/>
        <w:rPr>
          <w:rFonts w:hint="eastAsia" w:ascii="宋体" w:hAnsi="宋体" w:eastAsia="宋体" w:cs="宋体"/>
          <w:b w:val="0"/>
          <w:bCs/>
          <w:color w:val="auto"/>
          <w:highlight w:val="none"/>
        </w:rPr>
      </w:pPr>
      <w:bookmarkStart w:id="195" w:name="_Toc1098"/>
      <w:bookmarkStart w:id="196" w:name="_Toc27123"/>
      <w:bookmarkStart w:id="197" w:name="_Toc13655"/>
      <w:bookmarkStart w:id="198" w:name="_Toc246928907"/>
      <w:bookmarkStart w:id="199" w:name="_Toc465958100"/>
      <w:bookmarkStart w:id="200" w:name="_Toc26388"/>
      <w:bookmarkStart w:id="201" w:name="_Toc7209"/>
      <w:bookmarkStart w:id="202" w:name="_Toc18592"/>
      <w:bookmarkStart w:id="203" w:name="_Toc16285"/>
      <w:bookmarkStart w:id="204" w:name="_Toc3415"/>
      <w:r>
        <w:rPr>
          <w:rFonts w:hint="eastAsia" w:ascii="宋体" w:hAnsi="宋体" w:eastAsia="宋体" w:cs="宋体"/>
          <w:b w:val="0"/>
          <w:bCs/>
          <w:color w:val="auto"/>
          <w:highlight w:val="none"/>
        </w:rPr>
        <w:t>12 竞争性谈判响应文件的构成</w:t>
      </w:r>
      <w:bookmarkEnd w:id="195"/>
      <w:bookmarkEnd w:id="196"/>
      <w:bookmarkEnd w:id="197"/>
      <w:bookmarkEnd w:id="198"/>
      <w:bookmarkEnd w:id="199"/>
      <w:bookmarkEnd w:id="200"/>
      <w:bookmarkEnd w:id="201"/>
      <w:bookmarkEnd w:id="202"/>
      <w:bookmarkEnd w:id="203"/>
      <w:bookmarkEnd w:id="204"/>
    </w:p>
    <w:p w14:paraId="46171DAA">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12.1 供应商编写的竞争性谈判响应文件应包括下列部分：</w:t>
      </w:r>
    </w:p>
    <w:p w14:paraId="7E538F31">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12.1.1 响应函（格式）；</w:t>
      </w:r>
    </w:p>
    <w:p w14:paraId="48E03978">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12.1.2 第一次谈判报价表；</w:t>
      </w:r>
    </w:p>
    <w:p w14:paraId="535EFF65">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12.1.3 竞争性谈判响应文件格式的所有内容。具体见竞争性谈判响应文件格式；</w:t>
      </w:r>
    </w:p>
    <w:p w14:paraId="42132E30">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12.2 供应商的所有资格证明文件均应当为合法、有效文件，否则将被视为该文件未递交。</w:t>
      </w:r>
    </w:p>
    <w:p w14:paraId="7CD458B0">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12.3 上述文件应当按照竞争性谈判文件规定的格式填写、签署和盖章。</w:t>
      </w:r>
    </w:p>
    <w:p w14:paraId="1A23551E">
      <w:pPr>
        <w:pStyle w:val="4"/>
        <w:spacing w:line="460" w:lineRule="exact"/>
        <w:rPr>
          <w:rFonts w:hint="eastAsia" w:ascii="宋体" w:hAnsi="宋体" w:eastAsia="宋体" w:cs="宋体"/>
          <w:b w:val="0"/>
          <w:bCs/>
          <w:color w:val="auto"/>
          <w:highlight w:val="none"/>
        </w:rPr>
      </w:pPr>
      <w:bookmarkStart w:id="205" w:name="_Toc465958101"/>
      <w:bookmarkStart w:id="206" w:name="_Toc27931"/>
      <w:bookmarkStart w:id="207" w:name="_Toc246928909"/>
      <w:bookmarkStart w:id="208" w:name="_Toc25279"/>
      <w:bookmarkStart w:id="209" w:name="_Toc285"/>
      <w:bookmarkStart w:id="210" w:name="_Toc31865"/>
      <w:bookmarkStart w:id="211" w:name="_Toc11448"/>
      <w:bookmarkStart w:id="212" w:name="_Toc11558"/>
      <w:bookmarkStart w:id="213" w:name="_Toc7488"/>
      <w:bookmarkStart w:id="214" w:name="_Toc23839"/>
      <w:r>
        <w:rPr>
          <w:rFonts w:hint="eastAsia" w:ascii="宋体" w:hAnsi="宋体" w:eastAsia="宋体" w:cs="宋体"/>
          <w:b w:val="0"/>
          <w:bCs/>
          <w:color w:val="auto"/>
          <w:highlight w:val="none"/>
        </w:rPr>
        <w:t>13 谈判报价</w:t>
      </w:r>
      <w:bookmarkEnd w:id="205"/>
      <w:bookmarkEnd w:id="206"/>
      <w:bookmarkEnd w:id="207"/>
      <w:bookmarkEnd w:id="208"/>
      <w:bookmarkEnd w:id="209"/>
      <w:bookmarkEnd w:id="210"/>
      <w:bookmarkEnd w:id="211"/>
      <w:bookmarkEnd w:id="212"/>
      <w:bookmarkEnd w:id="213"/>
      <w:bookmarkEnd w:id="214"/>
    </w:p>
    <w:p w14:paraId="66478819">
      <w:pPr>
        <w:adjustRightInd w:val="0"/>
        <w:snapToGrid w:val="0"/>
        <w:spacing w:line="360" w:lineRule="auto"/>
        <w:ind w:firstLine="480" w:firstLineChars="200"/>
        <w:rPr>
          <w:rFonts w:hint="eastAsia" w:ascii="宋体" w:hAnsi="宋体" w:eastAsia="宋体" w:cs="宋体"/>
          <w:bCs/>
          <w:color w:val="auto"/>
          <w:sz w:val="24"/>
          <w:highlight w:val="none"/>
        </w:rPr>
      </w:pPr>
      <w:bookmarkStart w:id="215" w:name="_Toc6481"/>
      <w:bookmarkStart w:id="216" w:name="_Toc5734"/>
      <w:bookmarkStart w:id="217" w:name="_Toc28059"/>
      <w:bookmarkStart w:id="218" w:name="_Toc30975"/>
      <w:bookmarkStart w:id="219" w:name="_Toc465958102"/>
      <w:bookmarkStart w:id="220" w:name="_Toc10046"/>
      <w:bookmarkStart w:id="221" w:name="_Toc246928911"/>
      <w:bookmarkStart w:id="222" w:name="_Toc14151"/>
      <w:bookmarkStart w:id="223" w:name="_Toc7647"/>
      <w:r>
        <w:rPr>
          <w:rFonts w:hint="eastAsia" w:ascii="宋体" w:hAnsi="宋体" w:eastAsia="宋体" w:cs="宋体"/>
          <w:bCs/>
          <w:color w:val="auto"/>
          <w:sz w:val="24"/>
          <w:highlight w:val="none"/>
        </w:rPr>
        <w:t>13.1 所有谈判均以人民币报价。</w:t>
      </w:r>
    </w:p>
    <w:p w14:paraId="7B99DABE">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13.2 供应商依据竞争性谈判文件提供的货物及服务要求等资料并自行考虑风险因素计算谈判报价，一旦成交，谈判报价将不会因国家政策调整及市场变化因素而得到调整。</w:t>
      </w:r>
    </w:p>
    <w:p w14:paraId="00C52FAF">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13.3 供应商应对所列的所有服务进行响应，不得将采购内容拆开谈判。</w:t>
      </w:r>
    </w:p>
    <w:p w14:paraId="4864C831">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13.4 采购人只接受供应商提供的唯一谈判响应方案，不接受备选方案。</w:t>
      </w:r>
    </w:p>
    <w:p w14:paraId="5188C94E">
      <w:pPr>
        <w:pStyle w:val="4"/>
        <w:spacing w:line="460" w:lineRule="exact"/>
        <w:rPr>
          <w:rFonts w:hint="eastAsia" w:ascii="宋体" w:hAnsi="宋体" w:eastAsia="宋体" w:cs="宋体"/>
          <w:b w:val="0"/>
          <w:bCs/>
          <w:color w:val="auto"/>
          <w:highlight w:val="none"/>
        </w:rPr>
      </w:pPr>
      <w:bookmarkStart w:id="224" w:name="_Toc30190"/>
      <w:r>
        <w:rPr>
          <w:rFonts w:hint="eastAsia" w:ascii="宋体" w:hAnsi="宋体" w:eastAsia="宋体" w:cs="宋体"/>
          <w:b w:val="0"/>
          <w:bCs/>
          <w:color w:val="auto"/>
          <w:highlight w:val="none"/>
        </w:rPr>
        <w:t>14 证明供应商资格的证明文件</w:t>
      </w:r>
      <w:bookmarkEnd w:id="215"/>
      <w:bookmarkEnd w:id="216"/>
      <w:bookmarkEnd w:id="217"/>
      <w:bookmarkEnd w:id="218"/>
      <w:bookmarkEnd w:id="219"/>
      <w:bookmarkEnd w:id="220"/>
      <w:bookmarkEnd w:id="221"/>
      <w:bookmarkEnd w:id="222"/>
      <w:bookmarkEnd w:id="223"/>
      <w:bookmarkEnd w:id="224"/>
    </w:p>
    <w:p w14:paraId="2D6CCDBD">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14.1 供应商必须按要求提交证明文件，以证明其有资格参加谈判和成交后有履行合同的能力，并作为其竞争性谈判响应文件的一部分。</w:t>
      </w:r>
    </w:p>
    <w:p w14:paraId="0D047B4F">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14.2供应商应具有履行合同所需的财务、技术和生产能力；</w:t>
      </w:r>
    </w:p>
    <w:p w14:paraId="21CFA673">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14.3供应商应有能力履行竞争性谈判文件所规定的由供应商在服务地点提供服务的人员及技术支持和服务；</w:t>
      </w:r>
    </w:p>
    <w:p w14:paraId="7A79A14B">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14.4供应商认为能够证明供应商及其提供服务的等其他文件。</w:t>
      </w:r>
    </w:p>
    <w:p w14:paraId="1807C2EE">
      <w:pPr>
        <w:pStyle w:val="4"/>
        <w:spacing w:line="460" w:lineRule="exact"/>
        <w:rPr>
          <w:rFonts w:hint="eastAsia" w:ascii="宋体" w:hAnsi="宋体" w:eastAsia="宋体" w:cs="宋体"/>
          <w:b w:val="0"/>
          <w:bCs/>
          <w:color w:val="auto"/>
          <w:highlight w:val="none"/>
        </w:rPr>
      </w:pPr>
      <w:bookmarkStart w:id="225" w:name="_Toc246928912"/>
      <w:bookmarkStart w:id="226" w:name="_Toc465958103"/>
      <w:bookmarkStart w:id="227" w:name="_Toc27296"/>
      <w:bookmarkStart w:id="228" w:name="_Toc19118"/>
      <w:bookmarkStart w:id="229" w:name="_Toc23372"/>
      <w:bookmarkStart w:id="230" w:name="_Toc31855"/>
      <w:bookmarkStart w:id="231" w:name="_Toc24592"/>
      <w:bookmarkStart w:id="232" w:name="_Toc7233"/>
      <w:bookmarkStart w:id="233" w:name="_Toc28780"/>
      <w:bookmarkStart w:id="234" w:name="_Toc32534"/>
      <w:r>
        <w:rPr>
          <w:rFonts w:hint="eastAsia" w:ascii="宋体" w:hAnsi="宋体" w:eastAsia="宋体" w:cs="宋体"/>
          <w:b w:val="0"/>
          <w:bCs/>
          <w:color w:val="auto"/>
          <w:highlight w:val="none"/>
        </w:rPr>
        <w:t>15 证明</w:t>
      </w:r>
      <w:r>
        <w:rPr>
          <w:rFonts w:hint="eastAsia" w:ascii="宋体" w:hAnsi="宋体" w:eastAsia="宋体" w:cs="宋体"/>
          <w:b w:val="0"/>
          <w:bCs/>
          <w:color w:val="auto"/>
          <w:highlight w:val="none"/>
          <w:lang w:val="en-US" w:eastAsia="zh-CN"/>
        </w:rPr>
        <w:t>服务</w:t>
      </w:r>
      <w:r>
        <w:rPr>
          <w:rFonts w:hint="eastAsia" w:ascii="宋体" w:hAnsi="宋体" w:eastAsia="宋体" w:cs="宋体"/>
          <w:b w:val="0"/>
          <w:bCs/>
          <w:color w:val="auto"/>
          <w:highlight w:val="none"/>
        </w:rPr>
        <w:t>符合竞争性谈判文件规定的文件</w:t>
      </w:r>
      <w:bookmarkEnd w:id="225"/>
      <w:bookmarkEnd w:id="226"/>
      <w:bookmarkEnd w:id="227"/>
      <w:bookmarkEnd w:id="228"/>
      <w:bookmarkEnd w:id="229"/>
      <w:bookmarkEnd w:id="230"/>
      <w:bookmarkEnd w:id="231"/>
      <w:bookmarkEnd w:id="232"/>
      <w:bookmarkEnd w:id="233"/>
      <w:bookmarkEnd w:id="234"/>
    </w:p>
    <w:p w14:paraId="079601A8">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15.1 供应商所提供的服务须符合法律、法规、相关规章及国家强制性技术标准和竞争性谈判文件的规定。</w:t>
      </w:r>
    </w:p>
    <w:p w14:paraId="25CADFC8">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15.2 供应商应对竞争性谈判文件中的各项条款做出清晰准确的答复。</w:t>
      </w:r>
    </w:p>
    <w:p w14:paraId="0B5D4BD6">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15.3 提交文件可以是文字资料也可以是图纸、图片等资料。</w:t>
      </w:r>
    </w:p>
    <w:p w14:paraId="47580836">
      <w:pPr>
        <w:pStyle w:val="4"/>
        <w:spacing w:line="460" w:lineRule="exact"/>
        <w:rPr>
          <w:rFonts w:hint="eastAsia" w:ascii="宋体" w:hAnsi="宋体" w:eastAsia="宋体" w:cs="宋体"/>
          <w:b w:val="0"/>
          <w:bCs/>
          <w:color w:val="auto"/>
          <w:highlight w:val="none"/>
        </w:rPr>
      </w:pPr>
      <w:bookmarkStart w:id="235" w:name="_Toc28706"/>
      <w:bookmarkStart w:id="236" w:name="_Toc4194"/>
      <w:bookmarkStart w:id="237" w:name="_Toc21933"/>
      <w:bookmarkStart w:id="238" w:name="_Toc29259"/>
      <w:bookmarkStart w:id="239" w:name="_Toc465958104"/>
      <w:bookmarkStart w:id="240" w:name="_Toc27673"/>
      <w:bookmarkStart w:id="241" w:name="_Toc22564"/>
      <w:bookmarkStart w:id="242" w:name="_Toc246928913"/>
      <w:bookmarkStart w:id="243" w:name="_Toc21962"/>
      <w:bookmarkStart w:id="244" w:name="_Toc6620"/>
      <w:r>
        <w:rPr>
          <w:rFonts w:hint="eastAsia" w:ascii="宋体" w:hAnsi="宋体" w:eastAsia="宋体" w:cs="宋体"/>
          <w:b w:val="0"/>
          <w:bCs/>
          <w:color w:val="auto"/>
          <w:highlight w:val="none"/>
        </w:rPr>
        <w:t>16 谈判保证金</w:t>
      </w:r>
      <w:bookmarkEnd w:id="235"/>
      <w:bookmarkEnd w:id="236"/>
      <w:bookmarkEnd w:id="237"/>
      <w:bookmarkEnd w:id="238"/>
      <w:bookmarkEnd w:id="239"/>
      <w:bookmarkEnd w:id="240"/>
      <w:bookmarkEnd w:id="241"/>
      <w:bookmarkEnd w:id="242"/>
      <w:bookmarkEnd w:id="243"/>
      <w:bookmarkEnd w:id="244"/>
    </w:p>
    <w:p w14:paraId="379874D5">
      <w:pPr>
        <w:adjustRightInd w:val="0"/>
        <w:snapToGrid w:val="0"/>
        <w:spacing w:line="360" w:lineRule="auto"/>
        <w:ind w:firstLine="480" w:firstLineChars="200"/>
        <w:rPr>
          <w:rFonts w:hint="eastAsia" w:ascii="宋体" w:hAnsi="宋体" w:eastAsia="宋体" w:cs="宋体"/>
          <w:bCs/>
          <w:color w:val="auto"/>
          <w:sz w:val="24"/>
          <w:szCs w:val="24"/>
          <w:highlight w:val="none"/>
        </w:rPr>
      </w:pPr>
      <w:bookmarkStart w:id="245" w:name="_Toc22789"/>
      <w:bookmarkStart w:id="246" w:name="_Toc4413"/>
      <w:bookmarkStart w:id="247" w:name="_Toc20201"/>
      <w:bookmarkStart w:id="248" w:name="_Toc9535"/>
      <w:bookmarkStart w:id="249" w:name="_Toc4576"/>
      <w:bookmarkStart w:id="250" w:name="_Toc26603"/>
      <w:bookmarkStart w:id="251" w:name="_Toc246928914"/>
      <w:bookmarkStart w:id="252" w:name="_Toc465958105"/>
      <w:bookmarkStart w:id="253" w:name="_Toc8022"/>
      <w:r>
        <w:rPr>
          <w:rFonts w:hint="eastAsia" w:ascii="宋体" w:hAnsi="宋体" w:eastAsia="宋体" w:cs="宋体"/>
          <w:bCs/>
          <w:color w:val="auto"/>
          <w:sz w:val="24"/>
          <w:highlight w:val="none"/>
        </w:rPr>
        <w:t xml:space="preserve">16.1 </w:t>
      </w:r>
      <w:r>
        <w:rPr>
          <w:rFonts w:hint="eastAsia" w:ascii="宋体" w:hAnsi="宋体" w:eastAsia="宋体" w:cs="宋体"/>
          <w:bCs/>
          <w:color w:val="auto"/>
          <w:sz w:val="24"/>
          <w:szCs w:val="24"/>
          <w:highlight w:val="none"/>
        </w:rPr>
        <w:t>根据榆林市财政局下发的榆政财采发【2023】8号文件规定实行信用承诺代替保证金。</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可签署“投标信用承诺书”代替保证金。</w:t>
      </w:r>
    </w:p>
    <w:p w14:paraId="170DB7AB">
      <w:pPr>
        <w:adjustRightInd w:val="0"/>
        <w:snapToGrid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16.2 </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须将“投标信用承诺书”按要求签字盖章后上传至信用中国（陕西榆林）进行公示，将公示后的截图附在谈判响应文件中（截图须体现项目名称），格式详见招标文件第九部分附件3。</w:t>
      </w:r>
    </w:p>
    <w:p w14:paraId="27D77852">
      <w:pPr>
        <w:adjustRightInd w:val="0"/>
        <w:snapToGrid w:val="0"/>
        <w:spacing w:line="360" w:lineRule="auto"/>
        <w:ind w:firstLine="480" w:firstLineChars="200"/>
        <w:rPr>
          <w:rFonts w:hint="eastAsia" w:ascii="宋体" w:hAnsi="宋体" w:eastAsia="宋体" w:cs="宋体"/>
          <w:bCs/>
          <w:color w:val="auto"/>
          <w:sz w:val="24"/>
          <w:szCs w:val="22"/>
          <w:highlight w:val="none"/>
        </w:rPr>
      </w:pPr>
      <w:r>
        <w:rPr>
          <w:rFonts w:hint="eastAsia" w:ascii="宋体" w:hAnsi="宋体" w:eastAsia="宋体" w:cs="宋体"/>
          <w:bCs/>
          <w:color w:val="auto"/>
          <w:sz w:val="24"/>
          <w:highlight w:val="none"/>
        </w:rPr>
        <w:t>16.3 投标单位已在信用中国网站承诺并公示的</w:t>
      </w:r>
      <w:r>
        <w:rPr>
          <w:rFonts w:hint="eastAsia" w:ascii="宋体" w:hAnsi="宋体" w:eastAsia="宋体" w:cs="宋体"/>
          <w:bCs/>
          <w:color w:val="auto"/>
          <w:sz w:val="24"/>
          <w:szCs w:val="24"/>
          <w:highlight w:val="none"/>
        </w:rPr>
        <w:t>“投标信用承诺书”</w:t>
      </w:r>
      <w:r>
        <w:rPr>
          <w:rFonts w:hint="eastAsia" w:ascii="宋体" w:hAnsi="宋体" w:eastAsia="宋体" w:cs="宋体"/>
          <w:bCs/>
          <w:color w:val="auto"/>
          <w:sz w:val="24"/>
          <w:highlight w:val="none"/>
        </w:rPr>
        <w:t xml:space="preserve">而自动放弃投标权利的，需在开标之前提交《弃标函》。 </w:t>
      </w:r>
    </w:p>
    <w:p w14:paraId="358D2710">
      <w:pPr>
        <w:pStyle w:val="4"/>
        <w:spacing w:line="460" w:lineRule="exact"/>
        <w:rPr>
          <w:rFonts w:hint="eastAsia" w:ascii="宋体" w:hAnsi="宋体" w:eastAsia="宋体" w:cs="宋体"/>
          <w:b w:val="0"/>
          <w:bCs/>
          <w:color w:val="auto"/>
          <w:highlight w:val="none"/>
        </w:rPr>
      </w:pPr>
      <w:bookmarkStart w:id="254" w:name="_Toc13118"/>
      <w:r>
        <w:rPr>
          <w:rFonts w:hint="eastAsia" w:ascii="宋体" w:hAnsi="宋体" w:eastAsia="宋体" w:cs="宋体"/>
          <w:b w:val="0"/>
          <w:bCs/>
          <w:color w:val="auto"/>
          <w:highlight w:val="none"/>
        </w:rPr>
        <w:t>17 谈判有效期</w:t>
      </w:r>
      <w:bookmarkEnd w:id="245"/>
      <w:bookmarkEnd w:id="246"/>
      <w:bookmarkEnd w:id="247"/>
      <w:bookmarkEnd w:id="248"/>
      <w:bookmarkEnd w:id="249"/>
      <w:bookmarkEnd w:id="250"/>
      <w:bookmarkEnd w:id="251"/>
      <w:bookmarkEnd w:id="252"/>
      <w:bookmarkEnd w:id="253"/>
      <w:bookmarkEnd w:id="254"/>
    </w:p>
    <w:p w14:paraId="44102279">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17.1竞争性谈判响应文件从开标之日起，谈判有效期为</w:t>
      </w:r>
      <w:r>
        <w:rPr>
          <w:rFonts w:hint="eastAsia" w:ascii="宋体" w:hAnsi="宋体" w:eastAsia="宋体" w:cs="宋体"/>
          <w:bCs/>
          <w:color w:val="auto"/>
          <w:sz w:val="24"/>
          <w:highlight w:val="none"/>
          <w:lang w:val="en-US" w:eastAsia="zh-CN"/>
        </w:rPr>
        <w:t>90</w:t>
      </w:r>
      <w:r>
        <w:rPr>
          <w:rFonts w:hint="eastAsia" w:ascii="宋体" w:hAnsi="宋体" w:eastAsia="宋体" w:cs="宋体"/>
          <w:bCs/>
          <w:color w:val="auto"/>
          <w:sz w:val="24"/>
          <w:highlight w:val="none"/>
        </w:rPr>
        <w:t>日历天。谈判有效期不满足要求的谈判属于无效谈判情形。</w:t>
      </w:r>
    </w:p>
    <w:p w14:paraId="20863D17">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17.2成交供应商的竞争性谈判响应文件有效期延长至合同执行完毕。</w:t>
      </w:r>
    </w:p>
    <w:p w14:paraId="6DAD56FF">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17.3特殊情况下，采购人可于谈判有效期满之前要求供应商同意延长有效期，要求与答复均应为书面形式。</w:t>
      </w:r>
    </w:p>
    <w:p w14:paraId="363C9C87">
      <w:pPr>
        <w:pStyle w:val="4"/>
        <w:spacing w:before="120" w:after="120" w:line="460" w:lineRule="exact"/>
        <w:rPr>
          <w:rFonts w:hint="eastAsia" w:ascii="宋体" w:hAnsi="宋体" w:eastAsia="宋体" w:cs="宋体"/>
          <w:b w:val="0"/>
          <w:bCs/>
          <w:color w:val="auto"/>
          <w:highlight w:val="none"/>
        </w:rPr>
      </w:pPr>
      <w:bookmarkStart w:id="255" w:name="_Toc246928915"/>
      <w:bookmarkStart w:id="256" w:name="_Toc15795"/>
      <w:bookmarkStart w:id="257" w:name="_Toc282"/>
      <w:bookmarkStart w:id="258" w:name="_Toc17754"/>
      <w:bookmarkStart w:id="259" w:name="_Toc465958106"/>
      <w:bookmarkStart w:id="260" w:name="_Toc18885"/>
      <w:bookmarkStart w:id="261" w:name="_Toc22552"/>
      <w:bookmarkStart w:id="262" w:name="_Toc3576"/>
      <w:bookmarkStart w:id="263" w:name="_Toc14012"/>
      <w:bookmarkStart w:id="264" w:name="_Toc27007"/>
      <w:r>
        <w:rPr>
          <w:rFonts w:hint="eastAsia" w:ascii="宋体" w:hAnsi="宋体" w:eastAsia="宋体" w:cs="宋体"/>
          <w:b w:val="0"/>
          <w:bCs/>
          <w:color w:val="auto"/>
          <w:highlight w:val="none"/>
        </w:rPr>
        <w:t>18 竞争性谈判响应文件的签署及</w:t>
      </w:r>
      <w:bookmarkEnd w:id="255"/>
      <w:r>
        <w:rPr>
          <w:rFonts w:hint="eastAsia" w:ascii="宋体" w:hAnsi="宋体" w:eastAsia="宋体" w:cs="宋体"/>
          <w:b w:val="0"/>
          <w:bCs/>
          <w:color w:val="auto"/>
          <w:highlight w:val="none"/>
        </w:rPr>
        <w:t>规定</w:t>
      </w:r>
      <w:bookmarkEnd w:id="256"/>
      <w:bookmarkEnd w:id="257"/>
      <w:bookmarkEnd w:id="258"/>
      <w:bookmarkEnd w:id="259"/>
      <w:bookmarkEnd w:id="260"/>
      <w:bookmarkEnd w:id="261"/>
      <w:bookmarkEnd w:id="262"/>
      <w:bookmarkEnd w:id="263"/>
      <w:bookmarkEnd w:id="264"/>
    </w:p>
    <w:p w14:paraId="293BD9F5">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18.1 谈判响应文件正本和所有副本均需用A4幅面纸张打印或用不褪色的蓝(黑)色墨水(汁)书写,并由</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法定代表人或经法定代表人正式授权的代表签字。谈判响应文件若由授权代表签署，须按招标文件规定的格式提供的“法定代表人授权委托书”原件附在谈判响应文件中。所有要求签字（名）处，均须由签字（名）者本人用不褪色的蓝(黑)色墨水(汁)书写，不得用任何形式的图章代替。所有谈判响应文件正本和副本须按规定的顺序编排、并应编制三级及以上目录、逐页标注连续页码，每一页的正下方清楚标明页码，并统一装订（胶装）成册。</w:t>
      </w:r>
    </w:p>
    <w:p w14:paraId="67AA276B">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18.2  除</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 xml:space="preserve">对错处作必要修改外，谈判响应文件中不许有加行、涂抹或改写。若有修改须由授权代表或法定代表人在修改处签字。 </w:t>
      </w:r>
    </w:p>
    <w:p w14:paraId="32CAA15A">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18.3  </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名称应填写全称，谈判响应文件正本必须逐页加盖</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公章。</w:t>
      </w:r>
    </w:p>
    <w:p w14:paraId="7BC47BC8">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18.4本项目采用电子化谈判响应文件与纸质谈判响应文件并行的方式。</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须使用数字认证证书对电子化谈判响应文件进行签章、加密、递交及开标时解密等相关招投标事宜。</w:t>
      </w:r>
    </w:p>
    <w:p w14:paraId="26447C95">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18.5采购人拒绝接受以电报、电话、传真、电子邮件形式的投标。</w:t>
      </w:r>
    </w:p>
    <w:p w14:paraId="607ACD23">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18.6未按上述要求编制及签署的谈判响应文件视为无效谈判响应文件。</w:t>
      </w:r>
    </w:p>
    <w:p w14:paraId="17ADFCDF">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18.7电子谈判文件下载。供应商登录全国公共资源交易平台（陕西省） 网站〖首页·〉电子交易平台·〉企业端〗后，选择项目点击“我要投标”，参与投标活动。然后即可在〖我的项目〗中点击“项目流程&gt;交易文件下载”下载电子谈判文件。 </w:t>
      </w:r>
    </w:p>
    <w:p w14:paraId="23E5506B">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18.8 电子谈判文件需要使用专用软件打开、浏览。供应商可在全国公共资源交易平台（陕西省）网站〖首页·〉服务指南·〉下载专区〗免费下载“陕西省公共资源交易平台政府采购电子标书制作工具(V8.0.0.2)”，并升级至最新版本，使用该客户端可以打开电子谈判响应文件。软件操作手册详见全国公共资源交易平台（陕西省）网站〖首页·〉服务指南·〉下载专区〗中的《陕西省公共资源交易（政府采购类）响应文件制作软件操作手册》。 </w:t>
      </w:r>
    </w:p>
    <w:p w14:paraId="039CC270">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18.9 制作电子谈判响应文件。电子谈判响应文件同样需要使用上述软件进行编制。在编制过程中，如有技术性问题，请先翻阅操作手册，或致电软件开发商。 </w:t>
      </w:r>
    </w:p>
    <w:p w14:paraId="08B8B2D1">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技术支持热线：4009280095、4009980000 </w:t>
      </w:r>
    </w:p>
    <w:p w14:paraId="4966C793">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CA 锁购买：</w:t>
      </w:r>
      <w:r>
        <w:rPr>
          <w:rFonts w:hint="eastAsia" w:ascii="宋体" w:hAnsi="宋体" w:eastAsia="宋体" w:cs="宋体"/>
          <w:bCs/>
          <w:color w:val="auto"/>
          <w:sz w:val="24"/>
          <w:szCs w:val="24"/>
          <w:highlight w:val="none"/>
        </w:rPr>
        <w:t>榆林市市民大厦三楼窗口,电话：0912-3515031</w:t>
      </w:r>
    </w:p>
    <w:p w14:paraId="5BB0F155">
      <w:pPr>
        <w:pStyle w:val="3"/>
        <w:spacing w:before="120" w:after="120" w:line="460" w:lineRule="exact"/>
        <w:jc w:val="center"/>
        <w:rPr>
          <w:rFonts w:hint="eastAsia" w:ascii="宋体" w:hAnsi="宋体" w:eastAsia="宋体" w:cs="宋体"/>
          <w:b w:val="0"/>
          <w:bCs/>
          <w:color w:val="auto"/>
          <w:sz w:val="36"/>
          <w:highlight w:val="none"/>
        </w:rPr>
      </w:pPr>
      <w:bookmarkStart w:id="265" w:name="_Toc17673"/>
      <w:bookmarkStart w:id="266" w:name="_Toc26918"/>
      <w:bookmarkStart w:id="267" w:name="_Toc28385"/>
      <w:bookmarkStart w:id="268" w:name="_Toc31588"/>
      <w:bookmarkStart w:id="269" w:name="_Toc246928916"/>
      <w:bookmarkStart w:id="270" w:name="_Toc12671"/>
      <w:bookmarkStart w:id="271" w:name="_Toc30045"/>
      <w:bookmarkStart w:id="272" w:name="_Toc465958107"/>
      <w:bookmarkStart w:id="273" w:name="_Toc2037"/>
      <w:bookmarkStart w:id="274" w:name="_Toc22925"/>
      <w:bookmarkStart w:id="275" w:name="_Toc28593"/>
      <w:bookmarkStart w:id="276" w:name="_Toc29881"/>
      <w:bookmarkStart w:id="277" w:name="_Toc12354"/>
      <w:r>
        <w:rPr>
          <w:rFonts w:hint="eastAsia" w:ascii="宋体" w:hAnsi="宋体" w:eastAsia="宋体" w:cs="宋体"/>
          <w:b w:val="0"/>
          <w:bCs/>
          <w:color w:val="auto"/>
          <w:sz w:val="36"/>
          <w:highlight w:val="none"/>
        </w:rPr>
        <w:t>D 竞争性谈判响应文件的递交</w:t>
      </w:r>
      <w:bookmarkEnd w:id="265"/>
      <w:bookmarkEnd w:id="266"/>
      <w:bookmarkEnd w:id="267"/>
      <w:bookmarkEnd w:id="268"/>
      <w:bookmarkEnd w:id="269"/>
      <w:bookmarkEnd w:id="270"/>
      <w:bookmarkEnd w:id="271"/>
      <w:bookmarkEnd w:id="272"/>
      <w:bookmarkEnd w:id="273"/>
      <w:bookmarkEnd w:id="274"/>
      <w:bookmarkEnd w:id="275"/>
      <w:bookmarkEnd w:id="276"/>
      <w:bookmarkEnd w:id="277"/>
    </w:p>
    <w:p w14:paraId="65DC1B9E">
      <w:pPr>
        <w:pStyle w:val="4"/>
        <w:spacing w:before="120" w:after="120" w:line="460" w:lineRule="exact"/>
        <w:rPr>
          <w:rFonts w:hint="eastAsia" w:ascii="宋体" w:hAnsi="宋体" w:eastAsia="宋体" w:cs="宋体"/>
          <w:b w:val="0"/>
          <w:bCs/>
          <w:color w:val="auto"/>
          <w:highlight w:val="none"/>
        </w:rPr>
      </w:pPr>
      <w:bookmarkStart w:id="278" w:name="_Toc5378"/>
      <w:bookmarkStart w:id="279" w:name="_Toc20693"/>
      <w:bookmarkStart w:id="280" w:name="_Toc17004"/>
      <w:bookmarkStart w:id="281" w:name="_Toc22531"/>
      <w:bookmarkStart w:id="282" w:name="_Toc465958108"/>
      <w:bookmarkStart w:id="283" w:name="_Toc246928917"/>
      <w:bookmarkStart w:id="284" w:name="_Toc14296"/>
      <w:bookmarkStart w:id="285" w:name="_Toc15221"/>
      <w:bookmarkStart w:id="286" w:name="_Toc14360"/>
      <w:bookmarkStart w:id="287" w:name="_Toc11038"/>
      <w:r>
        <w:rPr>
          <w:rFonts w:hint="eastAsia" w:ascii="宋体" w:hAnsi="宋体" w:eastAsia="宋体" w:cs="宋体"/>
          <w:b w:val="0"/>
          <w:bCs/>
          <w:color w:val="auto"/>
          <w:highlight w:val="none"/>
        </w:rPr>
        <w:t>19 竞争性谈判响应文件的</w:t>
      </w:r>
      <w:bookmarkEnd w:id="278"/>
      <w:bookmarkEnd w:id="279"/>
      <w:bookmarkEnd w:id="280"/>
      <w:bookmarkEnd w:id="281"/>
      <w:bookmarkEnd w:id="282"/>
      <w:bookmarkEnd w:id="283"/>
      <w:bookmarkEnd w:id="284"/>
      <w:r>
        <w:rPr>
          <w:rFonts w:hint="eastAsia" w:ascii="宋体" w:hAnsi="宋体" w:eastAsia="宋体" w:cs="宋体"/>
          <w:b w:val="0"/>
          <w:bCs/>
          <w:color w:val="auto"/>
          <w:highlight w:val="none"/>
        </w:rPr>
        <w:t>邮寄</w:t>
      </w:r>
      <w:bookmarkEnd w:id="285"/>
      <w:bookmarkEnd w:id="286"/>
      <w:bookmarkEnd w:id="287"/>
    </w:p>
    <w:p w14:paraId="201856C6">
      <w:pPr>
        <w:adjustRightInd w:val="0"/>
        <w:snapToGrid w:val="0"/>
        <w:spacing w:line="360" w:lineRule="auto"/>
        <w:ind w:firstLine="480" w:firstLineChars="200"/>
        <w:rPr>
          <w:rFonts w:hint="eastAsia" w:ascii="宋体" w:hAnsi="宋体" w:eastAsia="宋体" w:cs="宋体"/>
          <w:bCs/>
          <w:color w:val="auto"/>
          <w:sz w:val="24"/>
          <w:highlight w:val="none"/>
        </w:rPr>
      </w:pPr>
      <w:bookmarkStart w:id="288" w:name="_Toc27827"/>
      <w:bookmarkStart w:id="289" w:name="_Toc27391"/>
      <w:bookmarkStart w:id="290" w:name="_Toc8940"/>
      <w:bookmarkStart w:id="291" w:name="_Toc246928918"/>
      <w:bookmarkStart w:id="292" w:name="_Toc465958109"/>
      <w:bookmarkStart w:id="293" w:name="_Toc10052"/>
      <w:bookmarkStart w:id="294" w:name="_Toc32635"/>
      <w:bookmarkStart w:id="295" w:name="_Toc4222"/>
      <w:bookmarkStart w:id="296" w:name="_Toc2644"/>
      <w:r>
        <w:rPr>
          <w:rFonts w:hint="eastAsia" w:ascii="宋体" w:hAnsi="宋体" w:eastAsia="宋体" w:cs="宋体"/>
          <w:bCs/>
          <w:color w:val="auto"/>
          <w:sz w:val="24"/>
          <w:highlight w:val="none"/>
        </w:rPr>
        <w:t>19.1为便于采购人归档和向监管部门备案，中标（成交）供应商人需按以下要求递交纸质版谈判响应文件，谈判响应文件可采用系统上传的电子谈判响应文件的打印件，正本、副本分别装订成册，每份谈判响应文件封皮须清楚地标明“正本”或“副本”：</w:t>
      </w:r>
    </w:p>
    <w:p w14:paraId="3C57CD9B">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谈判响应文件：正本：1 份、副本：2 份； </w:t>
      </w:r>
    </w:p>
    <w:p w14:paraId="0B724180">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谈判响应文件电子版U盘1份（谈判响应文件word版及上传电子谈判响应文件签字盖章的PDF版本的U盘）。</w:t>
      </w:r>
    </w:p>
    <w:p w14:paraId="133D195B">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19.2递交方式：纸质版谈判响应文件在开标时无需提交，待开标结束后，需邮寄补交一正两幅纸质谈判响应文件及电子版U盘1份（谈判响应文件word版及上传电子谈判响应文件签字盖章的PDF版本的U盘），以电报、传真、电子邮件形式递交的谈判响应文件将不予接受。</w:t>
      </w:r>
    </w:p>
    <w:p w14:paraId="4A42210D">
      <w:pPr>
        <w:spacing w:line="360" w:lineRule="auto"/>
        <w:ind w:firstLine="480" w:firstLineChars="20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收件人：</w:t>
      </w:r>
      <w:r>
        <w:rPr>
          <w:rFonts w:hint="eastAsia" w:ascii="宋体" w:hAnsi="宋体" w:eastAsia="宋体" w:cs="宋体"/>
          <w:bCs/>
          <w:color w:val="auto"/>
          <w:sz w:val="24"/>
          <w:szCs w:val="22"/>
          <w:highlight w:val="none"/>
          <w:lang w:eastAsia="zh-CN"/>
        </w:rPr>
        <w:t>鹏泽项目管理有限公司</w:t>
      </w:r>
      <w:r>
        <w:rPr>
          <w:rFonts w:hint="eastAsia" w:ascii="宋体" w:hAnsi="宋体" w:eastAsia="宋体" w:cs="宋体"/>
          <w:bCs/>
          <w:color w:val="auto"/>
          <w:sz w:val="24"/>
          <w:szCs w:val="22"/>
          <w:highlight w:val="none"/>
        </w:rPr>
        <w:t xml:space="preserve">                       </w:t>
      </w:r>
    </w:p>
    <w:p w14:paraId="4E3AB700">
      <w:pPr>
        <w:spacing w:line="360" w:lineRule="auto"/>
        <w:ind w:firstLine="480" w:firstLineChars="200"/>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收件电话：</w:t>
      </w:r>
      <w:r>
        <w:rPr>
          <w:rFonts w:hint="eastAsia" w:ascii="宋体" w:hAnsi="宋体" w:eastAsia="宋体" w:cs="宋体"/>
          <w:bCs/>
          <w:color w:val="auto"/>
          <w:sz w:val="24"/>
          <w:szCs w:val="22"/>
          <w:highlight w:val="none"/>
          <w:lang w:eastAsia="zh-CN"/>
        </w:rPr>
        <w:t>18392098590</w:t>
      </w:r>
    </w:p>
    <w:p w14:paraId="0121EC3C">
      <w:pPr>
        <w:pStyle w:val="2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2"/>
          <w:highlight w:val="none"/>
        </w:rPr>
        <w:t>收件地址：</w:t>
      </w:r>
      <w:r>
        <w:rPr>
          <w:rFonts w:hint="eastAsia" w:ascii="宋体" w:hAnsi="宋体" w:eastAsia="宋体" w:cs="宋体"/>
          <w:bCs/>
          <w:color w:val="auto"/>
          <w:kern w:val="2"/>
          <w:sz w:val="24"/>
          <w:szCs w:val="22"/>
          <w:highlight w:val="none"/>
          <w:lang w:eastAsia="zh-CN"/>
        </w:rPr>
        <w:t>陕西省汉中市南郑区陕西省汉中市南郑区中所营街道办董家营村一组（董家营十字）</w:t>
      </w:r>
      <w:r>
        <w:rPr>
          <w:rFonts w:hint="eastAsia" w:ascii="宋体" w:hAnsi="宋体" w:eastAsia="宋体" w:cs="宋体"/>
          <w:bCs/>
          <w:color w:val="auto"/>
          <w:sz w:val="24"/>
          <w:szCs w:val="24"/>
          <w:highlight w:val="none"/>
        </w:rPr>
        <w:t xml:space="preserve"> </w:t>
      </w:r>
    </w:p>
    <w:p w14:paraId="18A82D71">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19.3投标单位未按要求递交以上要求谈判响应文件的，由此产生的后果均由投标单位自行承担。</w:t>
      </w:r>
    </w:p>
    <w:p w14:paraId="5E639EF8">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19.4代理机构项目接收人只负责竞争性谈判响应文件的接收、清点、递交文件登记工作，对其有效性不负任何责任；</w:t>
      </w:r>
    </w:p>
    <w:p w14:paraId="170B3B90">
      <w:pPr>
        <w:pStyle w:val="4"/>
        <w:spacing w:line="460" w:lineRule="exact"/>
        <w:rPr>
          <w:rFonts w:hint="eastAsia" w:ascii="宋体" w:hAnsi="宋体" w:eastAsia="宋体" w:cs="宋体"/>
          <w:b w:val="0"/>
          <w:bCs/>
          <w:color w:val="auto"/>
          <w:highlight w:val="none"/>
        </w:rPr>
      </w:pPr>
      <w:bookmarkStart w:id="297" w:name="_Toc6566"/>
      <w:r>
        <w:rPr>
          <w:rFonts w:hint="eastAsia" w:ascii="宋体" w:hAnsi="宋体" w:eastAsia="宋体" w:cs="宋体"/>
          <w:b w:val="0"/>
          <w:bCs/>
          <w:color w:val="auto"/>
          <w:highlight w:val="none"/>
        </w:rPr>
        <w:t>20 竞争性谈判响应文件的递交</w:t>
      </w:r>
      <w:bookmarkEnd w:id="288"/>
      <w:bookmarkEnd w:id="289"/>
      <w:bookmarkEnd w:id="290"/>
      <w:bookmarkEnd w:id="291"/>
      <w:bookmarkEnd w:id="292"/>
      <w:bookmarkEnd w:id="293"/>
      <w:bookmarkEnd w:id="294"/>
      <w:bookmarkEnd w:id="295"/>
      <w:bookmarkEnd w:id="296"/>
      <w:bookmarkEnd w:id="297"/>
    </w:p>
    <w:p w14:paraId="257ECBC4">
      <w:pPr>
        <w:pStyle w:val="14"/>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20.1 电子竞争性谈判响应文件递交方</w:t>
      </w:r>
      <w:r>
        <w:rPr>
          <w:rFonts w:hint="eastAsia" w:ascii="宋体" w:hAnsi="宋体" w:eastAsia="宋体" w:cs="宋体"/>
          <w:bCs/>
          <w:color w:val="auto"/>
          <w:sz w:val="24"/>
          <w:szCs w:val="24"/>
          <w:highlight w:val="none"/>
        </w:rPr>
        <w:t>式</w:t>
      </w:r>
    </w:p>
    <w:p w14:paraId="7862E917">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20.1.1电子响应文件可于提交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响应文件”，上传加密的电子响应文件。上传成功后，电子化平台将予以记录。</w:t>
      </w:r>
    </w:p>
    <w:p w14:paraId="6C131143">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20.1.2本项目采用“不见面”开标形式，供应商可登录榆林交易平台〖首页〉不见面开标〗在线参与开评标过程，详见招标文件以及交易平台〖首页〉服务指南〉下载专区〗中的《榆林市不见面开标大厅操作手册（</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w:t>
      </w:r>
    </w:p>
    <w:p w14:paraId="112A95A5">
      <w:pPr>
        <w:pStyle w:val="14"/>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20.2纸质竞争性谈判响应文件递交方式</w:t>
      </w:r>
    </w:p>
    <w:p w14:paraId="55DC560A">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20.2.1供应商通过邮寄的方式递交将全部竞争性谈判响应文件和谈判资料，递交至代理机构接收人处，具体收件地址、接收人、电话详见19.2；</w:t>
      </w:r>
    </w:p>
    <w:p w14:paraId="05ED2247">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20.2.2 代理机构项目接收人只负责竞争性谈判响应文件的接收、清点、递交文件登记工作，对其有效性不负任何责任；</w:t>
      </w:r>
    </w:p>
    <w:p w14:paraId="4A0CC98B">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20.2.3 无论供应商成交与否，其竞争性谈判响应文件和谈判文件要求的资料都必须邮寄，邮寄资料收到后上结果公告，成交供应商邮寄的资料收到的时间直接影响结果公告时间。</w:t>
      </w:r>
    </w:p>
    <w:p w14:paraId="145950F7">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20.3 采购人或代理机构有权按本须知的规定，通过修改竞争性谈判文件延长谈判截止时间。在此情况下，采购人和供应商受谈判截止时间制约的所有权利和义务均应当延长至新的截止日期。</w:t>
      </w:r>
    </w:p>
    <w:p w14:paraId="163CD855">
      <w:pPr>
        <w:pStyle w:val="4"/>
        <w:spacing w:line="460" w:lineRule="exact"/>
        <w:rPr>
          <w:rFonts w:hint="eastAsia" w:ascii="宋体" w:hAnsi="宋体" w:eastAsia="宋体" w:cs="宋体"/>
          <w:b w:val="0"/>
          <w:bCs/>
          <w:color w:val="auto"/>
          <w:highlight w:val="none"/>
        </w:rPr>
      </w:pPr>
      <w:bookmarkStart w:id="298" w:name="_Toc23992"/>
      <w:bookmarkStart w:id="299" w:name="_Toc13225"/>
      <w:bookmarkStart w:id="300" w:name="_Toc25563"/>
      <w:bookmarkStart w:id="301" w:name="_Toc465958110"/>
      <w:bookmarkStart w:id="302" w:name="_Toc7672"/>
      <w:bookmarkStart w:id="303" w:name="_Toc6834"/>
      <w:bookmarkStart w:id="304" w:name="_Toc10103"/>
      <w:bookmarkStart w:id="305" w:name="_Toc29885"/>
      <w:bookmarkStart w:id="306" w:name="_Toc4701"/>
      <w:r>
        <w:rPr>
          <w:rFonts w:hint="eastAsia" w:ascii="宋体" w:hAnsi="宋体" w:eastAsia="宋体" w:cs="宋体"/>
          <w:b w:val="0"/>
          <w:bCs/>
          <w:color w:val="auto"/>
          <w:highlight w:val="none"/>
        </w:rPr>
        <w:t>21 竞争性谈判响应文件的修改与撤回</w:t>
      </w:r>
      <w:bookmarkEnd w:id="298"/>
      <w:bookmarkEnd w:id="299"/>
      <w:bookmarkEnd w:id="300"/>
      <w:bookmarkEnd w:id="301"/>
      <w:bookmarkEnd w:id="302"/>
      <w:bookmarkEnd w:id="303"/>
      <w:bookmarkEnd w:id="304"/>
      <w:bookmarkEnd w:id="305"/>
      <w:bookmarkEnd w:id="306"/>
    </w:p>
    <w:p w14:paraId="34B5971A">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21.1 供应商在谈判截止时间前，可以对所递交的竞争性谈判响应文件进行补充、修改或者撤回，并书面通知代理机构。补充、修改的内容应当按竞争性谈判文件要求签署、盖章，并作为竞争性谈判响应文件的组成部分。</w:t>
      </w:r>
    </w:p>
    <w:p w14:paraId="453560E8">
      <w:pPr>
        <w:pStyle w:val="20"/>
        <w:spacing w:line="460" w:lineRule="exact"/>
        <w:ind w:firstLine="480" w:firstLineChars="200"/>
        <w:rPr>
          <w:rFonts w:hint="eastAsia" w:ascii="宋体" w:hAnsi="宋体" w:eastAsia="宋体" w:cs="宋体"/>
          <w:bCs/>
          <w:color w:val="auto"/>
          <w:highlight w:val="none"/>
        </w:rPr>
      </w:pPr>
      <w:r>
        <w:rPr>
          <w:rFonts w:hint="eastAsia" w:ascii="宋体" w:hAnsi="宋体" w:eastAsia="宋体" w:cs="宋体"/>
          <w:bCs/>
          <w:color w:val="auto"/>
          <w:sz w:val="24"/>
          <w:highlight w:val="none"/>
        </w:rPr>
        <w:t>21.2</w:t>
      </w:r>
      <w:r>
        <w:rPr>
          <w:rFonts w:hint="eastAsia" w:ascii="宋体" w:hAnsi="宋体" w:eastAsia="宋体" w:cs="宋体"/>
          <w:bCs/>
          <w:color w:val="auto"/>
          <w:kern w:val="2"/>
          <w:sz w:val="24"/>
          <w:highlight w:val="none"/>
        </w:rPr>
        <w:t>当修改的内容影响谈判响应文件编制时，将在交易平台上同步发布答疑文件，此时供应商应从“项目流程·〉答疑文件下载”下载最新发布的答疑文件（*.SXSCF格式），并使用该文件重新编制电子谈判响应文件（*</w:t>
      </w:r>
      <w:r>
        <w:rPr>
          <w:rFonts w:hint="eastAsia" w:ascii="宋体" w:hAnsi="宋体" w:eastAsia="宋体" w:cs="宋体"/>
          <w:bCs/>
          <w:color w:val="auto"/>
          <w:kern w:val="2"/>
          <w:sz w:val="24"/>
          <w:highlight w:val="none"/>
          <w:lang w:eastAsia="zh-CN"/>
        </w:rPr>
        <w:t>.SXSCF</w:t>
      </w:r>
      <w:r>
        <w:rPr>
          <w:rFonts w:hint="eastAsia" w:ascii="宋体" w:hAnsi="宋体" w:eastAsia="宋体" w:cs="宋体"/>
          <w:bCs/>
          <w:color w:val="auto"/>
          <w:kern w:val="2"/>
          <w:sz w:val="24"/>
          <w:highlight w:val="none"/>
        </w:rPr>
        <w:t>格式），使用旧版电子招标文件或旧版答疑文件制作的电子谈判响应文件，系统将拒绝接收。</w:t>
      </w:r>
    </w:p>
    <w:p w14:paraId="73F0F271">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21.3 谈判截止时间后，供应商不得对其竞争性谈判响应文件做任何修改。</w:t>
      </w:r>
    </w:p>
    <w:p w14:paraId="7299D8B5">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21.4 从谈判截止期至供应商在响应函格式中确定的谈判有效期之间，供应商不得撤销其谈判。</w:t>
      </w:r>
    </w:p>
    <w:p w14:paraId="43354C11">
      <w:pPr>
        <w:pStyle w:val="3"/>
        <w:spacing w:line="460" w:lineRule="exact"/>
        <w:jc w:val="center"/>
        <w:rPr>
          <w:rFonts w:hint="eastAsia" w:ascii="宋体" w:hAnsi="宋体" w:eastAsia="宋体" w:cs="宋体"/>
          <w:b w:val="0"/>
          <w:bCs/>
          <w:color w:val="auto"/>
          <w:sz w:val="36"/>
          <w:highlight w:val="none"/>
        </w:rPr>
      </w:pPr>
      <w:bookmarkStart w:id="307" w:name="_Toc21818"/>
      <w:bookmarkStart w:id="308" w:name="_Toc7641"/>
      <w:bookmarkStart w:id="309" w:name="_Toc3199"/>
      <w:bookmarkStart w:id="310" w:name="_Toc11152"/>
      <w:bookmarkStart w:id="311" w:name="_Toc465958111"/>
      <w:bookmarkStart w:id="312" w:name="_Toc24049"/>
      <w:bookmarkStart w:id="313" w:name="_Toc14112"/>
      <w:bookmarkStart w:id="314" w:name="_Toc22666"/>
      <w:bookmarkStart w:id="315" w:name="_Toc8960"/>
      <w:bookmarkStart w:id="316" w:name="_Toc10045"/>
      <w:bookmarkStart w:id="317" w:name="_Toc9087"/>
      <w:bookmarkStart w:id="318" w:name="_Toc31311"/>
      <w:bookmarkStart w:id="319" w:name="_Toc246928919"/>
      <w:r>
        <w:rPr>
          <w:rFonts w:hint="eastAsia" w:ascii="宋体" w:hAnsi="宋体" w:eastAsia="宋体" w:cs="宋体"/>
          <w:b w:val="0"/>
          <w:bCs/>
          <w:color w:val="auto"/>
          <w:sz w:val="36"/>
          <w:highlight w:val="none"/>
        </w:rPr>
        <w:t>E 开标与评审</w:t>
      </w:r>
      <w:bookmarkEnd w:id="307"/>
      <w:bookmarkEnd w:id="308"/>
      <w:bookmarkEnd w:id="309"/>
      <w:bookmarkEnd w:id="310"/>
      <w:bookmarkEnd w:id="311"/>
      <w:bookmarkEnd w:id="312"/>
      <w:bookmarkEnd w:id="313"/>
      <w:bookmarkEnd w:id="314"/>
      <w:bookmarkEnd w:id="315"/>
      <w:bookmarkEnd w:id="316"/>
      <w:bookmarkEnd w:id="317"/>
      <w:bookmarkEnd w:id="318"/>
      <w:bookmarkEnd w:id="319"/>
    </w:p>
    <w:p w14:paraId="07667E5B">
      <w:pPr>
        <w:pStyle w:val="4"/>
        <w:spacing w:line="460" w:lineRule="exact"/>
        <w:rPr>
          <w:rFonts w:hint="eastAsia" w:ascii="宋体" w:hAnsi="宋体" w:eastAsia="宋体" w:cs="宋体"/>
          <w:b w:val="0"/>
          <w:bCs/>
          <w:color w:val="auto"/>
          <w:highlight w:val="none"/>
        </w:rPr>
      </w:pPr>
      <w:bookmarkStart w:id="320" w:name="_Toc6346"/>
      <w:bookmarkStart w:id="321" w:name="_Toc28426"/>
      <w:bookmarkStart w:id="322" w:name="_Toc25438"/>
      <w:bookmarkStart w:id="323" w:name="_Toc246928920"/>
      <w:bookmarkStart w:id="324" w:name="_Toc11145"/>
      <w:bookmarkStart w:id="325" w:name="_Toc465958112"/>
      <w:bookmarkStart w:id="326" w:name="_Toc15292"/>
      <w:bookmarkStart w:id="327" w:name="_Toc21093"/>
      <w:bookmarkStart w:id="328" w:name="_Toc15345"/>
      <w:bookmarkStart w:id="329" w:name="_Toc8037"/>
      <w:bookmarkStart w:id="330" w:name="_Toc6609"/>
      <w:bookmarkStart w:id="331" w:name="_Toc2865"/>
      <w:bookmarkStart w:id="332" w:name="_Toc25350"/>
      <w:bookmarkStart w:id="333" w:name="_Toc246928924"/>
      <w:bookmarkStart w:id="334" w:name="_Toc12911"/>
      <w:bookmarkStart w:id="335" w:name="_Toc465958116"/>
      <w:r>
        <w:rPr>
          <w:rFonts w:hint="eastAsia" w:ascii="宋体" w:hAnsi="宋体" w:eastAsia="宋体" w:cs="宋体"/>
          <w:b w:val="0"/>
          <w:bCs/>
          <w:color w:val="auto"/>
          <w:highlight w:val="none"/>
        </w:rPr>
        <w:t xml:space="preserve">22 </w:t>
      </w:r>
      <w:bookmarkEnd w:id="320"/>
      <w:bookmarkEnd w:id="321"/>
      <w:bookmarkEnd w:id="322"/>
      <w:bookmarkEnd w:id="323"/>
      <w:bookmarkEnd w:id="324"/>
      <w:bookmarkEnd w:id="325"/>
      <w:bookmarkEnd w:id="326"/>
      <w:r>
        <w:rPr>
          <w:rFonts w:hint="eastAsia" w:ascii="宋体" w:hAnsi="宋体" w:eastAsia="宋体" w:cs="宋体"/>
          <w:b w:val="0"/>
          <w:bCs/>
          <w:color w:val="auto"/>
          <w:highlight w:val="none"/>
        </w:rPr>
        <w:t>开标</w:t>
      </w:r>
      <w:bookmarkEnd w:id="327"/>
      <w:bookmarkEnd w:id="328"/>
    </w:p>
    <w:p w14:paraId="72C25385">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22.1 代理机构在规定的时间和地点组织谈判。各供应商在开标截止时间前至少提前半小时登录“不见面”开标系统登录，供应商应按要求及时签到（签到时间为投标截止时间前1小时内，如果未签到将视为放弃投标资格），评审过程中，</w:t>
      </w:r>
      <w:r>
        <w:rPr>
          <w:rFonts w:hint="eastAsia" w:ascii="宋体" w:hAnsi="宋体" w:eastAsia="宋体" w:cs="宋体"/>
          <w:bCs/>
          <w:color w:val="auto"/>
          <w:sz w:val="24"/>
          <w:szCs w:val="24"/>
          <w:highlight w:val="none"/>
          <w:lang w:eastAsia="zh-CN"/>
        </w:rPr>
        <w:t>评审小组</w:t>
      </w:r>
      <w:r>
        <w:rPr>
          <w:rFonts w:hint="eastAsia" w:ascii="宋体" w:hAnsi="宋体" w:eastAsia="宋体" w:cs="宋体"/>
          <w:bCs/>
          <w:color w:val="auto"/>
          <w:sz w:val="24"/>
          <w:szCs w:val="24"/>
          <w:highlight w:val="none"/>
        </w:rPr>
        <w:t>可能会就某些问题要求供应商进行在线澄清，请供应商保持在线直到评审结束；</w:t>
      </w:r>
    </w:p>
    <w:p w14:paraId="74F61850">
      <w:pPr>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22.2由主持人公布</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名单；</w:t>
      </w:r>
    </w:p>
    <w:p w14:paraId="73EDE8A4">
      <w:pPr>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22.3介绍参加谈判大会的采购人代表、监标人；</w:t>
      </w:r>
    </w:p>
    <w:p w14:paraId="36DEB757">
      <w:pPr>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22.4</w:t>
      </w:r>
      <w:r>
        <w:rPr>
          <w:rFonts w:hint="eastAsia" w:ascii="宋体" w:hAnsi="宋体" w:eastAsia="宋体" w:cs="宋体"/>
          <w:bCs/>
          <w:color w:val="auto"/>
          <w:sz w:val="24"/>
          <w:szCs w:val="24"/>
          <w:highlight w:val="none"/>
        </w:rPr>
        <w:t>开标过程中，供应商在收到工作人员“开始解密”指令后，请及时使用CA对电子谈判响应文件进行解密。解密时所用CA应与加密谈判响应文件时所用CA相同，解密时间为30分钟，在解密时间内供应商全部解密完成后，可提前进入开标下一阶段；</w:t>
      </w:r>
    </w:p>
    <w:p w14:paraId="27FC8E63">
      <w:pPr>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22.5进行导入谈判响应文件；</w:t>
      </w:r>
    </w:p>
    <w:p w14:paraId="5D678CA3">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22.6 谈判有效供应商不足三家的，按照国家相关法律、法规及有关规定执行；</w:t>
      </w:r>
    </w:p>
    <w:p w14:paraId="53FFBBC9">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22.7 代理机构将做开标记录，存档备查。</w:t>
      </w:r>
    </w:p>
    <w:p w14:paraId="19764443">
      <w:pPr>
        <w:pStyle w:val="4"/>
        <w:spacing w:before="156" w:beforeLines="50" w:after="156" w:afterLines="50" w:line="460" w:lineRule="exact"/>
        <w:rPr>
          <w:rFonts w:hint="eastAsia" w:ascii="宋体" w:hAnsi="宋体" w:eastAsia="宋体" w:cs="宋体"/>
          <w:b w:val="0"/>
          <w:bCs/>
          <w:color w:val="auto"/>
          <w:sz w:val="30"/>
          <w:szCs w:val="30"/>
          <w:highlight w:val="none"/>
          <w:lang w:eastAsia="zh-CN"/>
        </w:rPr>
      </w:pPr>
      <w:bookmarkStart w:id="336" w:name="_Toc15198"/>
      <w:bookmarkStart w:id="337" w:name="_Toc22451"/>
      <w:bookmarkStart w:id="338" w:name="_Toc32736"/>
      <w:bookmarkStart w:id="339" w:name="_Toc9869"/>
      <w:bookmarkStart w:id="340" w:name="_Toc30377"/>
      <w:bookmarkStart w:id="341" w:name="_Toc246928923"/>
      <w:bookmarkStart w:id="342" w:name="_Toc465958115"/>
      <w:bookmarkStart w:id="343" w:name="_Toc23381"/>
      <w:bookmarkStart w:id="344" w:name="_Toc29724"/>
      <w:r>
        <w:rPr>
          <w:rFonts w:hint="eastAsia" w:ascii="宋体" w:hAnsi="宋体" w:eastAsia="宋体" w:cs="宋体"/>
          <w:b w:val="0"/>
          <w:bCs/>
          <w:color w:val="auto"/>
          <w:sz w:val="30"/>
          <w:szCs w:val="30"/>
          <w:highlight w:val="none"/>
        </w:rPr>
        <w:t xml:space="preserve">23 </w:t>
      </w:r>
      <w:bookmarkEnd w:id="336"/>
      <w:bookmarkEnd w:id="337"/>
      <w:r>
        <w:rPr>
          <w:rFonts w:hint="eastAsia" w:ascii="宋体" w:hAnsi="宋体" w:eastAsia="宋体" w:cs="宋体"/>
          <w:b w:val="0"/>
          <w:bCs/>
          <w:color w:val="auto"/>
          <w:sz w:val="30"/>
          <w:szCs w:val="30"/>
          <w:highlight w:val="none"/>
          <w:lang w:eastAsia="zh-CN"/>
        </w:rPr>
        <w:t>评审小组</w:t>
      </w:r>
    </w:p>
    <w:p w14:paraId="1D51DE72">
      <w:pPr>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23.1 代理机构根据《中华人民共和国政府采购法》、《中华人民共和国政府采购法实施条例》和《政府采购非招标采购方式管理办法》（财政部令第 74 号）的规定，依法组建</w:t>
      </w:r>
      <w:r>
        <w:rPr>
          <w:rFonts w:hint="eastAsia" w:ascii="宋体" w:hAnsi="宋体" w:eastAsia="宋体" w:cs="宋体"/>
          <w:bCs/>
          <w:color w:val="auto"/>
          <w:sz w:val="24"/>
          <w:szCs w:val="24"/>
          <w:highlight w:val="none"/>
          <w:lang w:eastAsia="zh-CN"/>
        </w:rPr>
        <w:t>评审小组</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评审小组</w:t>
      </w:r>
      <w:r>
        <w:rPr>
          <w:rFonts w:hint="eastAsia" w:ascii="宋体" w:hAnsi="宋体" w:eastAsia="宋体" w:cs="宋体"/>
          <w:bCs/>
          <w:color w:val="auto"/>
          <w:sz w:val="24"/>
          <w:szCs w:val="24"/>
          <w:highlight w:val="none"/>
        </w:rPr>
        <w:t>专家成员在陕西省政府采购网专家抽取管理系统中随机抽取。</w:t>
      </w:r>
    </w:p>
    <w:p w14:paraId="07CF88B6">
      <w:pPr>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23.2 </w:t>
      </w:r>
      <w:r>
        <w:rPr>
          <w:rFonts w:hint="eastAsia" w:ascii="宋体" w:hAnsi="宋体" w:eastAsia="宋体" w:cs="宋体"/>
          <w:bCs/>
          <w:color w:val="auto"/>
          <w:sz w:val="24"/>
          <w:szCs w:val="24"/>
          <w:highlight w:val="none"/>
          <w:lang w:eastAsia="zh-CN"/>
        </w:rPr>
        <w:t>评审小组</w:t>
      </w:r>
      <w:r>
        <w:rPr>
          <w:rFonts w:hint="eastAsia" w:ascii="宋体" w:hAnsi="宋体" w:eastAsia="宋体" w:cs="宋体"/>
          <w:bCs/>
          <w:color w:val="auto"/>
          <w:sz w:val="24"/>
          <w:szCs w:val="24"/>
          <w:highlight w:val="none"/>
        </w:rPr>
        <w:t>成员由采购人代表和评审专家3人以上单数组成，评审专家人数应占总人数的2/3以上。</w:t>
      </w:r>
    </w:p>
    <w:p w14:paraId="70757975">
      <w:pPr>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23.3 </w:t>
      </w:r>
      <w:r>
        <w:rPr>
          <w:rFonts w:hint="eastAsia" w:ascii="宋体" w:hAnsi="宋体" w:eastAsia="宋体" w:cs="宋体"/>
          <w:bCs/>
          <w:color w:val="auto"/>
          <w:sz w:val="24"/>
          <w:szCs w:val="24"/>
          <w:highlight w:val="none"/>
          <w:lang w:eastAsia="zh-CN"/>
        </w:rPr>
        <w:t>评审小组</w:t>
      </w:r>
      <w:r>
        <w:rPr>
          <w:rFonts w:hint="eastAsia" w:ascii="宋体" w:hAnsi="宋体" w:eastAsia="宋体" w:cs="宋体"/>
          <w:bCs/>
          <w:color w:val="auto"/>
          <w:sz w:val="24"/>
          <w:szCs w:val="24"/>
          <w:highlight w:val="none"/>
        </w:rPr>
        <w:t>成员对各供应商竞争性谈判响应文件进行审查、质疑、评估和比较，并推荐出成交候选供应商。</w:t>
      </w:r>
    </w:p>
    <w:p w14:paraId="244052F9">
      <w:pPr>
        <w:pStyle w:val="4"/>
        <w:spacing w:line="460" w:lineRule="exact"/>
        <w:rPr>
          <w:rFonts w:hint="eastAsia" w:ascii="宋体" w:hAnsi="宋体" w:eastAsia="宋体" w:cs="宋体"/>
          <w:b w:val="0"/>
          <w:bCs/>
          <w:color w:val="auto"/>
          <w:szCs w:val="22"/>
          <w:highlight w:val="none"/>
        </w:rPr>
      </w:pPr>
      <w:bookmarkStart w:id="345" w:name="_Toc8179"/>
      <w:bookmarkStart w:id="346" w:name="_Toc5070"/>
      <w:bookmarkStart w:id="347" w:name="_Toc32220"/>
      <w:bookmarkStart w:id="348" w:name="_Toc20915"/>
      <w:bookmarkStart w:id="349" w:name="_Toc32401"/>
      <w:bookmarkStart w:id="350" w:name="_Toc246928922"/>
      <w:bookmarkStart w:id="351" w:name="_Toc21518"/>
      <w:bookmarkStart w:id="352" w:name="_Toc12022"/>
      <w:bookmarkStart w:id="353" w:name="_Toc465958114"/>
      <w:r>
        <w:rPr>
          <w:rFonts w:hint="eastAsia" w:ascii="宋体" w:hAnsi="宋体" w:eastAsia="宋体" w:cs="宋体"/>
          <w:b w:val="0"/>
          <w:bCs/>
          <w:color w:val="auto"/>
          <w:szCs w:val="22"/>
          <w:highlight w:val="none"/>
        </w:rPr>
        <w:t xml:space="preserve">24 </w:t>
      </w:r>
      <w:r>
        <w:rPr>
          <w:rFonts w:hint="eastAsia" w:ascii="宋体" w:hAnsi="宋体" w:eastAsia="宋体" w:cs="宋体"/>
          <w:b w:val="0"/>
          <w:bCs/>
          <w:color w:val="auto"/>
          <w:highlight w:val="none"/>
        </w:rPr>
        <w:t>对供应商资格的审查</w:t>
      </w:r>
      <w:bookmarkEnd w:id="345"/>
      <w:bookmarkEnd w:id="346"/>
    </w:p>
    <w:p w14:paraId="420AFDCF">
      <w:pPr>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24.1</w:t>
      </w:r>
      <w:r>
        <w:rPr>
          <w:rFonts w:hint="eastAsia" w:ascii="宋体" w:hAnsi="宋体" w:eastAsia="宋体" w:cs="宋体"/>
          <w:bCs/>
          <w:color w:val="auto"/>
          <w:sz w:val="24"/>
          <w:szCs w:val="24"/>
          <w:highlight w:val="none"/>
          <w:lang w:eastAsia="zh-CN"/>
        </w:rPr>
        <w:t>评审小组</w:t>
      </w:r>
      <w:r>
        <w:rPr>
          <w:rFonts w:hint="eastAsia" w:ascii="宋体" w:hAnsi="宋体" w:eastAsia="宋体" w:cs="宋体"/>
          <w:bCs/>
          <w:color w:val="auto"/>
          <w:sz w:val="24"/>
          <w:szCs w:val="24"/>
          <w:highlight w:val="none"/>
        </w:rPr>
        <w:t>依法对供应商的资格证明文件进行审查，不符合竞争性谈判文件要求的按无效谈判响应处理，不得进入后续评审，签字确认检查结果。</w:t>
      </w:r>
    </w:p>
    <w:p w14:paraId="535EB367">
      <w:pPr>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24.2不符合竞争性谈判文件要求的按无效文件处理，不得进入后续评审工作。</w:t>
      </w:r>
    </w:p>
    <w:p w14:paraId="0DC98991">
      <w:pPr>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24.3合格</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不足三家的，不得评标。</w:t>
      </w:r>
    </w:p>
    <w:bookmarkEnd w:id="347"/>
    <w:bookmarkEnd w:id="348"/>
    <w:bookmarkEnd w:id="349"/>
    <w:bookmarkEnd w:id="350"/>
    <w:bookmarkEnd w:id="351"/>
    <w:bookmarkEnd w:id="352"/>
    <w:bookmarkEnd w:id="353"/>
    <w:p w14:paraId="1F70C6EC">
      <w:pPr>
        <w:pStyle w:val="4"/>
        <w:spacing w:line="460" w:lineRule="exact"/>
        <w:rPr>
          <w:rFonts w:hint="eastAsia" w:ascii="宋体" w:hAnsi="宋体" w:eastAsia="宋体" w:cs="宋体"/>
          <w:b w:val="0"/>
          <w:bCs/>
          <w:color w:val="auto"/>
          <w:highlight w:val="none"/>
        </w:rPr>
      </w:pPr>
      <w:bookmarkStart w:id="354" w:name="_Toc422"/>
      <w:bookmarkStart w:id="355" w:name="_Toc26342"/>
      <w:r>
        <w:rPr>
          <w:rFonts w:hint="eastAsia" w:ascii="宋体" w:hAnsi="宋体" w:eastAsia="宋体" w:cs="宋体"/>
          <w:b w:val="0"/>
          <w:bCs/>
          <w:color w:val="auto"/>
          <w:highlight w:val="none"/>
        </w:rPr>
        <w:t xml:space="preserve">25 </w:t>
      </w:r>
      <w:bookmarkEnd w:id="354"/>
      <w:bookmarkEnd w:id="355"/>
      <w:r>
        <w:rPr>
          <w:rFonts w:hint="eastAsia" w:ascii="宋体" w:hAnsi="宋体" w:eastAsia="宋体" w:cs="宋体"/>
          <w:b w:val="0"/>
          <w:bCs/>
          <w:color w:val="auto"/>
          <w:highlight w:val="none"/>
        </w:rPr>
        <w:t>评标</w:t>
      </w:r>
    </w:p>
    <w:p w14:paraId="1161E321">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25.1</w:t>
      </w:r>
      <w:r>
        <w:rPr>
          <w:rFonts w:hint="eastAsia" w:ascii="宋体" w:hAnsi="宋体" w:eastAsia="宋体" w:cs="宋体"/>
          <w:bCs/>
          <w:color w:val="auto"/>
          <w:sz w:val="24"/>
          <w:highlight w:val="none"/>
          <w:lang w:eastAsia="zh-CN"/>
        </w:rPr>
        <w:t>评审小组</w:t>
      </w:r>
      <w:r>
        <w:rPr>
          <w:rFonts w:hint="eastAsia" w:ascii="宋体" w:hAnsi="宋体" w:eastAsia="宋体" w:cs="宋体"/>
          <w:bCs/>
          <w:color w:val="auto"/>
          <w:sz w:val="24"/>
          <w:highlight w:val="none"/>
        </w:rPr>
        <w:t>对通过资格审查的供应商进行符合性审查，符合性审查不合格者不进入下一步评审。</w:t>
      </w:r>
    </w:p>
    <w:p w14:paraId="6DC9467C">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25.2 对竞争性谈判响应文件含义不明确、同类问题表述不一致或者有明显文字和计算错误的内容，</w:t>
      </w:r>
      <w:r>
        <w:rPr>
          <w:rFonts w:hint="eastAsia" w:ascii="宋体" w:hAnsi="宋体" w:eastAsia="宋体" w:cs="宋体"/>
          <w:bCs/>
          <w:color w:val="auto"/>
          <w:sz w:val="24"/>
          <w:highlight w:val="none"/>
          <w:lang w:eastAsia="zh-CN"/>
        </w:rPr>
        <w:t>评审小组</w:t>
      </w:r>
      <w:r>
        <w:rPr>
          <w:rFonts w:hint="eastAsia" w:ascii="宋体" w:hAnsi="宋体" w:eastAsia="宋体" w:cs="宋体"/>
          <w:bCs/>
          <w:color w:val="auto"/>
          <w:sz w:val="24"/>
          <w:highlight w:val="none"/>
        </w:rPr>
        <w:t>可以要求供应商在规定的时间内做出必要的澄清、说明或者纠正。供应商的澄清、说明或者补正应当采用书面形式，有其授权的代表签字，并不得超出竞争性谈判响应文件的范围或者改变竞争性谈判响应文件的实质性内容。</w:t>
      </w:r>
    </w:p>
    <w:p w14:paraId="04A2A8EA">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25.3 澄清文件将作为竞争性谈判响应文件的一部分。</w:t>
      </w:r>
    </w:p>
    <w:p w14:paraId="10408E50">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25.4 算术错误将按以下方法更正：</w:t>
      </w:r>
    </w:p>
    <w:p w14:paraId="286008E1">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25.4.1 竞争性谈判响应文件的大写金额和小写金额不一致的，以大写金额为准；</w:t>
      </w:r>
    </w:p>
    <w:p w14:paraId="7E5C26B0">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25.4.2 总价金额与按单价汇总金额不一致的，以单价金额计算结果为准；</w:t>
      </w:r>
    </w:p>
    <w:p w14:paraId="1A568A41">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25.4.3 单价金额小数点有明显错位的，应当以总价为准，并修改单价；</w:t>
      </w:r>
    </w:p>
    <w:p w14:paraId="6624A127">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25.4.4 对不同文字文本竞争性谈判响应文件的解释发生异议的，以中文文本为准；</w:t>
      </w:r>
    </w:p>
    <w:p w14:paraId="2E9C5E5C">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25.4.5 对于供应商不接受对其错误的更改，其谈判属于无效谈判情形。</w:t>
      </w:r>
    </w:p>
    <w:bookmarkEnd w:id="338"/>
    <w:bookmarkEnd w:id="339"/>
    <w:bookmarkEnd w:id="340"/>
    <w:bookmarkEnd w:id="341"/>
    <w:bookmarkEnd w:id="342"/>
    <w:bookmarkEnd w:id="343"/>
    <w:bookmarkEnd w:id="344"/>
    <w:p w14:paraId="6A21FCBF">
      <w:pPr>
        <w:pStyle w:val="4"/>
        <w:spacing w:before="156" w:beforeLines="50" w:after="156" w:afterLines="50" w:line="460" w:lineRule="exact"/>
        <w:rPr>
          <w:rFonts w:hint="eastAsia" w:ascii="宋体" w:hAnsi="宋体" w:eastAsia="宋体" w:cs="宋体"/>
          <w:b w:val="0"/>
          <w:bCs/>
          <w:color w:val="auto"/>
          <w:sz w:val="30"/>
          <w:szCs w:val="30"/>
          <w:highlight w:val="none"/>
        </w:rPr>
      </w:pPr>
      <w:bookmarkStart w:id="356" w:name="_Toc11927"/>
      <w:bookmarkStart w:id="357" w:name="_Toc14567"/>
      <w:r>
        <w:rPr>
          <w:rFonts w:hint="eastAsia" w:ascii="宋体" w:hAnsi="宋体" w:eastAsia="宋体" w:cs="宋体"/>
          <w:b w:val="0"/>
          <w:bCs/>
          <w:color w:val="auto"/>
          <w:sz w:val="30"/>
          <w:szCs w:val="30"/>
          <w:highlight w:val="none"/>
        </w:rPr>
        <w:t>26 竞争性谈判响应文件的评价和比较</w:t>
      </w:r>
      <w:bookmarkEnd w:id="356"/>
      <w:bookmarkEnd w:id="357"/>
    </w:p>
    <w:p w14:paraId="0EC09251">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 </w:t>
      </w:r>
      <w:r>
        <w:rPr>
          <w:rFonts w:hint="eastAsia" w:ascii="宋体" w:hAnsi="宋体" w:eastAsia="宋体" w:cs="宋体"/>
          <w:bCs/>
          <w:color w:val="auto"/>
          <w:sz w:val="24"/>
          <w:highlight w:val="none"/>
          <w:lang w:eastAsia="zh-CN"/>
        </w:rPr>
        <w:t>评审小组</w:t>
      </w:r>
      <w:r>
        <w:rPr>
          <w:rFonts w:hint="eastAsia" w:ascii="宋体" w:hAnsi="宋体" w:eastAsia="宋体" w:cs="宋体"/>
          <w:bCs/>
          <w:color w:val="auto"/>
          <w:sz w:val="24"/>
          <w:highlight w:val="none"/>
        </w:rPr>
        <w:t>将对有效的竞争性谈判响应文件进行评估和比较。</w:t>
      </w:r>
    </w:p>
    <w:p w14:paraId="0D4CF93E">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 评审时除考虑谈判报价竞争有利性以外，还将考虑以下因素：</w:t>
      </w:r>
    </w:p>
    <w:p w14:paraId="03353A7F">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26.2.1竞争性谈判响应文件中各项报价的合理性，</w:t>
      </w:r>
      <w:r>
        <w:rPr>
          <w:rFonts w:hint="eastAsia" w:ascii="宋体" w:hAnsi="宋体" w:eastAsia="宋体" w:cs="宋体"/>
          <w:bCs/>
          <w:color w:val="auto"/>
          <w:sz w:val="24"/>
          <w:highlight w:val="none"/>
          <w:lang w:eastAsia="zh-CN"/>
        </w:rPr>
        <w:t>评审小组</w:t>
      </w:r>
      <w:r>
        <w:rPr>
          <w:rFonts w:hint="eastAsia" w:ascii="宋体" w:hAnsi="宋体" w:eastAsia="宋体" w:cs="宋体"/>
          <w:bCs/>
          <w:color w:val="auto"/>
          <w:sz w:val="24"/>
          <w:highlight w:val="none"/>
        </w:rPr>
        <w:t>认为</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的报价明显低于其他通过符合性审查</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的报价，有可能影响产品质量或者不能诚信履约的，应当要求其在评标现场合理的时间内提供书面说明，必要时提交相关证明材料，竞争性谈判响应文件中各项报价的合理性，</w:t>
      </w:r>
      <w:r>
        <w:rPr>
          <w:rFonts w:hint="eastAsia" w:ascii="宋体" w:hAnsi="宋体" w:eastAsia="宋体" w:cs="宋体"/>
          <w:bCs/>
          <w:color w:val="auto"/>
          <w:sz w:val="24"/>
          <w:highlight w:val="none"/>
          <w:lang w:eastAsia="zh-CN"/>
        </w:rPr>
        <w:t>评审小组</w:t>
      </w:r>
      <w:r>
        <w:rPr>
          <w:rFonts w:hint="eastAsia" w:ascii="宋体" w:hAnsi="宋体" w:eastAsia="宋体" w:cs="宋体"/>
          <w:bCs/>
          <w:color w:val="auto"/>
          <w:sz w:val="24"/>
          <w:highlight w:val="none"/>
        </w:rPr>
        <w:t>三分之二以上专家认为某投标报价有低于成本价嫌疑的，为无效报价；</w:t>
      </w:r>
    </w:p>
    <w:bookmarkEnd w:id="329"/>
    <w:bookmarkEnd w:id="330"/>
    <w:bookmarkEnd w:id="331"/>
    <w:bookmarkEnd w:id="332"/>
    <w:bookmarkEnd w:id="333"/>
    <w:bookmarkEnd w:id="334"/>
    <w:bookmarkEnd w:id="335"/>
    <w:p w14:paraId="290F1328">
      <w:pPr>
        <w:pStyle w:val="4"/>
        <w:spacing w:before="156" w:beforeLines="50" w:after="156" w:afterLines="50" w:line="460" w:lineRule="exact"/>
        <w:rPr>
          <w:rFonts w:hint="eastAsia" w:ascii="宋体" w:hAnsi="宋体" w:eastAsia="宋体" w:cs="宋体"/>
          <w:b w:val="0"/>
          <w:bCs/>
          <w:color w:val="auto"/>
          <w:sz w:val="30"/>
          <w:szCs w:val="30"/>
          <w:highlight w:val="none"/>
        </w:rPr>
      </w:pPr>
      <w:bookmarkStart w:id="358" w:name="_Toc3801"/>
      <w:bookmarkStart w:id="359" w:name="_Toc9686"/>
      <w:bookmarkStart w:id="360" w:name="_Toc14794"/>
      <w:bookmarkStart w:id="361" w:name="_Toc26106"/>
      <w:bookmarkStart w:id="362" w:name="_Toc20287"/>
      <w:bookmarkStart w:id="363" w:name="_Toc11926"/>
      <w:bookmarkStart w:id="364" w:name="_Toc20736"/>
      <w:bookmarkStart w:id="365" w:name="_Toc8450"/>
      <w:bookmarkStart w:id="366" w:name="_Toc465958117"/>
      <w:r>
        <w:rPr>
          <w:rFonts w:hint="eastAsia" w:ascii="宋体" w:hAnsi="宋体" w:eastAsia="宋体" w:cs="宋体"/>
          <w:b w:val="0"/>
          <w:bCs/>
          <w:color w:val="auto"/>
          <w:sz w:val="30"/>
          <w:szCs w:val="30"/>
          <w:highlight w:val="none"/>
        </w:rPr>
        <w:t>27 评审原则及主要方法</w:t>
      </w:r>
      <w:bookmarkEnd w:id="358"/>
      <w:bookmarkEnd w:id="359"/>
      <w:bookmarkEnd w:id="360"/>
    </w:p>
    <w:p w14:paraId="2A79979E">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 </w:t>
      </w:r>
      <w:r>
        <w:rPr>
          <w:rFonts w:hint="eastAsia" w:ascii="宋体" w:hAnsi="宋体" w:eastAsia="宋体" w:cs="宋体"/>
          <w:bCs/>
          <w:color w:val="auto"/>
          <w:sz w:val="24"/>
          <w:highlight w:val="none"/>
          <w:lang w:eastAsia="zh-CN"/>
        </w:rPr>
        <w:t>评审小组</w:t>
      </w:r>
      <w:r>
        <w:rPr>
          <w:rFonts w:hint="eastAsia" w:ascii="宋体" w:hAnsi="宋体" w:eastAsia="宋体" w:cs="宋体"/>
          <w:bCs/>
          <w:color w:val="auto"/>
          <w:sz w:val="24"/>
          <w:highlight w:val="none"/>
        </w:rPr>
        <w:t>将遵循公开、公平、公正和择优的原则，禁止不正当竞争。对所有供应商的竞争性谈判响应文件评审，都采用相同的程序和标准。</w:t>
      </w:r>
    </w:p>
    <w:p w14:paraId="24384A19">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27.2 评审过程的保密：在竞争性谈判响应文件的审查、谈判、报价、成交候选供应商推荐以及授予合同的过程中，供应商向采购人和</w:t>
      </w:r>
      <w:r>
        <w:rPr>
          <w:rFonts w:hint="eastAsia" w:ascii="宋体" w:hAnsi="宋体" w:eastAsia="宋体" w:cs="宋体"/>
          <w:bCs/>
          <w:color w:val="auto"/>
          <w:sz w:val="24"/>
          <w:highlight w:val="none"/>
          <w:lang w:eastAsia="zh-CN"/>
        </w:rPr>
        <w:t>评审小组</w:t>
      </w:r>
      <w:r>
        <w:rPr>
          <w:rFonts w:hint="eastAsia" w:ascii="宋体" w:hAnsi="宋体" w:eastAsia="宋体" w:cs="宋体"/>
          <w:bCs/>
          <w:color w:val="auto"/>
          <w:sz w:val="24"/>
          <w:highlight w:val="none"/>
        </w:rPr>
        <w:t>施加影响的任何行为，都将会导致其报价被拒绝；成交供应商确定后，采购人不对未成交供应商就评审过程以及未能成交原因做出任何解释。未成交供应商不得向</w:t>
      </w:r>
      <w:r>
        <w:rPr>
          <w:rFonts w:hint="eastAsia" w:ascii="宋体" w:hAnsi="宋体" w:eastAsia="宋体" w:cs="宋体"/>
          <w:bCs/>
          <w:color w:val="auto"/>
          <w:sz w:val="24"/>
          <w:highlight w:val="none"/>
          <w:lang w:eastAsia="zh-CN"/>
        </w:rPr>
        <w:t>评审小组</w:t>
      </w:r>
      <w:r>
        <w:rPr>
          <w:rFonts w:hint="eastAsia" w:ascii="宋体" w:hAnsi="宋体" w:eastAsia="宋体" w:cs="宋体"/>
          <w:bCs/>
          <w:color w:val="auto"/>
          <w:sz w:val="24"/>
          <w:highlight w:val="none"/>
        </w:rPr>
        <w:t>成员或其他相关人员索问评审过程的情况和材料。与评审有关的其他任何情况均严格保密。</w:t>
      </w:r>
    </w:p>
    <w:p w14:paraId="0F3223E3">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27.3 竞争性谈判响应文件的初步评审（含资格性检查和符合性审查）</w:t>
      </w:r>
    </w:p>
    <w:p w14:paraId="1FBFF681">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27.3.1 </w:t>
      </w:r>
      <w:r>
        <w:rPr>
          <w:rFonts w:hint="eastAsia" w:ascii="宋体" w:hAnsi="宋体" w:eastAsia="宋体" w:cs="宋体"/>
          <w:bCs/>
          <w:color w:val="auto"/>
          <w:sz w:val="24"/>
          <w:highlight w:val="none"/>
          <w:lang w:eastAsia="zh-CN"/>
        </w:rPr>
        <w:t>评审小组</w:t>
      </w:r>
      <w:r>
        <w:rPr>
          <w:rFonts w:hint="eastAsia" w:ascii="宋体" w:hAnsi="宋体" w:eastAsia="宋体" w:cs="宋体"/>
          <w:bCs/>
          <w:color w:val="auto"/>
          <w:sz w:val="24"/>
          <w:highlight w:val="none"/>
        </w:rPr>
        <w:t>将审查竞争性谈判响应文件是否完整、采购人和代理机构审查资格证明文件是否合格，谈判保证金是否合格、有无计算上的错误等。</w:t>
      </w:r>
    </w:p>
    <w:p w14:paraId="4BE2BF3F">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27.4 在详细评审之前，</w:t>
      </w:r>
      <w:r>
        <w:rPr>
          <w:rFonts w:hint="eastAsia" w:ascii="宋体" w:hAnsi="宋体" w:eastAsia="宋体" w:cs="宋体"/>
          <w:bCs/>
          <w:color w:val="auto"/>
          <w:sz w:val="24"/>
          <w:highlight w:val="none"/>
          <w:lang w:eastAsia="zh-CN"/>
        </w:rPr>
        <w:t>评审小组</w:t>
      </w:r>
      <w:r>
        <w:rPr>
          <w:rFonts w:hint="eastAsia" w:ascii="宋体" w:hAnsi="宋体" w:eastAsia="宋体" w:cs="宋体"/>
          <w:bCs/>
          <w:color w:val="auto"/>
          <w:sz w:val="24"/>
          <w:highlight w:val="none"/>
        </w:rPr>
        <w:t>要审查每份竞争性谈判响应文件是否实质上响应了竞争性谈判文件的要求。实质上响应的谈判应该是与竞争性谈判文件要求的全部条款、条件和规格参数相符，没有偏离的谈判。</w:t>
      </w:r>
      <w:r>
        <w:rPr>
          <w:rFonts w:hint="eastAsia" w:ascii="宋体" w:hAnsi="宋体" w:eastAsia="宋体" w:cs="宋体"/>
          <w:bCs/>
          <w:color w:val="auto"/>
          <w:sz w:val="24"/>
          <w:highlight w:val="none"/>
          <w:lang w:eastAsia="zh-CN"/>
        </w:rPr>
        <w:t>评审小组</w:t>
      </w:r>
      <w:r>
        <w:rPr>
          <w:rFonts w:hint="eastAsia" w:ascii="宋体" w:hAnsi="宋体" w:eastAsia="宋体" w:cs="宋体"/>
          <w:bCs/>
          <w:color w:val="auto"/>
          <w:sz w:val="24"/>
          <w:highlight w:val="none"/>
        </w:rPr>
        <w:t>对供应商的响应、人员配置、服务承诺情况，能满足采购人服务要求的，则可进行二次报价。</w:t>
      </w:r>
    </w:p>
    <w:p w14:paraId="547C7F8E">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 实质上没有响应竞争性谈判文件要求的谈判将被拒绝。供应商不得通过修正或撤销不合要求的偏离从而使其谈判成为实质性响应的谈判。供应商或竞争性谈判响应文件出现的下列情形将按照无效谈判处理，由</w:t>
      </w:r>
      <w:r>
        <w:rPr>
          <w:rFonts w:hint="eastAsia" w:ascii="宋体" w:hAnsi="宋体" w:eastAsia="宋体" w:cs="宋体"/>
          <w:bCs/>
          <w:color w:val="auto"/>
          <w:sz w:val="24"/>
          <w:highlight w:val="none"/>
          <w:lang w:eastAsia="zh-CN"/>
        </w:rPr>
        <w:t>评审小组</w:t>
      </w:r>
      <w:r>
        <w:rPr>
          <w:rFonts w:hint="eastAsia" w:ascii="宋体" w:hAnsi="宋体" w:eastAsia="宋体" w:cs="宋体"/>
          <w:bCs/>
          <w:color w:val="auto"/>
          <w:sz w:val="24"/>
          <w:highlight w:val="none"/>
        </w:rPr>
        <w:t>否决其谈判：</w:t>
      </w:r>
    </w:p>
    <w:p w14:paraId="2FB2D312">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27.5.1投标单位的投标报价超过采购预算；</w:t>
      </w:r>
    </w:p>
    <w:p w14:paraId="5977E70D">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27.5.2 谈判响应文件、响应函未加盖</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公章，或未经法定代表人（负责人）或其授权代表签字或盖章的；</w:t>
      </w:r>
    </w:p>
    <w:p w14:paraId="19BD64E6">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27.5.3 谈判响应文件没有法定代表人（负责人）授权书（法人直接投标除外）或授权书的合法性或有效性不符合招标文件规定的；</w:t>
      </w:r>
    </w:p>
    <w:p w14:paraId="10819607">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27.5.4 谈判响应文件未按招标文件规定要求装订、签署、盖章的,无投标有效期或有效期达不到招标文件要求的；</w:t>
      </w:r>
    </w:p>
    <w:p w14:paraId="368C8E16">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27.5.5谈判响应文件的关键内容字迹模糊、无法辨认的；</w:t>
      </w:r>
    </w:p>
    <w:p w14:paraId="6D8C17DE">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27.5.6提供虚假证明（包括第三方提供的虚假证明），开具虚假资质，出现虚假应答，除按无效谈判响应文件处理外，并进行相应的处罚；</w:t>
      </w:r>
    </w:p>
    <w:p w14:paraId="12333CCC">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27.5.7 对招标文件未做实质性响应或有重大缺项漏项,明显不符合技术规格、技术标准的要求的；  </w:t>
      </w:r>
    </w:p>
    <w:p w14:paraId="5DDEEB2D">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27.5.8 </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针对同一项目递交两份或多份内容不同的谈判响应文件，未书面声明哪一份是有效的或出现选择性报价的；</w:t>
      </w:r>
    </w:p>
    <w:p w14:paraId="03A4DDD5">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27.5.9投标报价大于项目预算或与市场价偏离较大，低于成本，形成不正当竞争的；</w:t>
      </w:r>
    </w:p>
    <w:p w14:paraId="4F3CB189">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27.5.10</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有围标、串标现象（不同</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的谈判响应文件错漏之处一致的、不同</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的投标报价或者报价组成异常一致的或者成规律性变化的），经查证属实的。</w:t>
      </w:r>
    </w:p>
    <w:p w14:paraId="05CA994D">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27.5.11逾期提交电子响应文件；</w:t>
      </w:r>
    </w:p>
    <w:p w14:paraId="790D6DB0">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27.5.12提交的响应文件与本项目不相符；</w:t>
      </w:r>
    </w:p>
    <w:p w14:paraId="25E53773">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27.5.13供应商拒绝对电子响应文件进行解密；</w:t>
      </w:r>
    </w:p>
    <w:p w14:paraId="56125106">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27.5.14因供应商自身原因（如未带 CA 锁、或所带 CA 锁与制作电子响应文件使用的 CA锁不一致、或沿用旧版谈判文件编制响应文件等情形），导致在规定时间内无法解密响应文件；</w:t>
      </w:r>
    </w:p>
    <w:p w14:paraId="60D0BA51">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27.5.15上传的电子响应文件无法打开。</w:t>
      </w:r>
    </w:p>
    <w:p w14:paraId="0A40C990">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27.5.16“信用中国（陕西榆林）”网站信用承诺不符合谈判文件要求的；</w:t>
      </w:r>
    </w:p>
    <w:p w14:paraId="7221C309">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27.5.17谈判文件规定的其他要求。</w:t>
      </w:r>
    </w:p>
    <w:bookmarkEnd w:id="361"/>
    <w:bookmarkEnd w:id="362"/>
    <w:bookmarkEnd w:id="363"/>
    <w:bookmarkEnd w:id="364"/>
    <w:bookmarkEnd w:id="365"/>
    <w:bookmarkEnd w:id="366"/>
    <w:p w14:paraId="266351A7">
      <w:pPr>
        <w:pStyle w:val="4"/>
        <w:spacing w:before="156" w:beforeLines="50" w:after="156" w:afterLines="50" w:line="460" w:lineRule="exact"/>
        <w:rPr>
          <w:rFonts w:hint="eastAsia" w:ascii="宋体" w:hAnsi="宋体" w:eastAsia="宋体" w:cs="宋体"/>
          <w:b w:val="0"/>
          <w:bCs/>
          <w:color w:val="auto"/>
          <w:sz w:val="30"/>
          <w:szCs w:val="30"/>
          <w:highlight w:val="none"/>
        </w:rPr>
      </w:pPr>
      <w:bookmarkStart w:id="367" w:name="_Toc1785"/>
      <w:bookmarkStart w:id="368" w:name="_Toc3471"/>
      <w:bookmarkStart w:id="369" w:name="_Toc12640"/>
      <w:bookmarkStart w:id="370" w:name="_Toc497551782"/>
      <w:bookmarkStart w:id="371" w:name="_Toc389620199"/>
      <w:bookmarkStart w:id="372" w:name="_Toc497712095"/>
      <w:bookmarkStart w:id="373" w:name="_Toc492955421"/>
      <w:bookmarkStart w:id="374" w:name="_Toc465958118"/>
      <w:bookmarkStart w:id="375" w:name="_Toc25216"/>
      <w:bookmarkStart w:id="376" w:name="_Toc385992360"/>
      <w:bookmarkStart w:id="377" w:name="_Toc246928925"/>
      <w:bookmarkStart w:id="378" w:name="_Toc497546880"/>
      <w:bookmarkStart w:id="379" w:name="_Toc4915"/>
      <w:bookmarkStart w:id="380" w:name="_Toc24562"/>
      <w:bookmarkStart w:id="381" w:name="_Toc2448"/>
      <w:bookmarkStart w:id="382" w:name="_Toc497711547"/>
      <w:r>
        <w:rPr>
          <w:rFonts w:hint="eastAsia" w:ascii="宋体" w:hAnsi="宋体" w:eastAsia="宋体" w:cs="宋体"/>
          <w:b w:val="0"/>
          <w:bCs/>
          <w:color w:val="auto"/>
          <w:sz w:val="30"/>
          <w:szCs w:val="30"/>
          <w:highlight w:val="none"/>
        </w:rPr>
        <w:t>28 谈判</w:t>
      </w:r>
      <w:bookmarkEnd w:id="367"/>
      <w:bookmarkEnd w:id="368"/>
      <w:bookmarkEnd w:id="369"/>
    </w:p>
    <w:p w14:paraId="14B8CC26">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28.1谈判过程依次为记录第一次谈判投标报价、竞争性谈判响应文件资格性审查、符合性审查、谈判与承诺、最后报价五个阶段。</w:t>
      </w:r>
    </w:p>
    <w:p w14:paraId="4DDC9AEB">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评审小组</w:t>
      </w:r>
      <w:r>
        <w:rPr>
          <w:rFonts w:hint="eastAsia" w:ascii="宋体" w:hAnsi="宋体" w:eastAsia="宋体" w:cs="宋体"/>
          <w:bCs/>
          <w:color w:val="auto"/>
          <w:sz w:val="24"/>
          <w:highlight w:val="none"/>
        </w:rPr>
        <w:t>对各供应商的资质证明文件进行评审，不符合竞争性谈判文件要求的按无效谈判响应处理，不得进入后续评审。对通过资格审查的供应商，</w:t>
      </w:r>
      <w:r>
        <w:rPr>
          <w:rFonts w:hint="eastAsia" w:ascii="宋体" w:hAnsi="宋体" w:eastAsia="宋体" w:cs="宋体"/>
          <w:bCs/>
          <w:color w:val="auto"/>
          <w:sz w:val="24"/>
          <w:highlight w:val="none"/>
          <w:lang w:eastAsia="zh-CN"/>
        </w:rPr>
        <w:t>评审小组</w:t>
      </w:r>
      <w:r>
        <w:rPr>
          <w:rFonts w:hint="eastAsia" w:ascii="宋体" w:hAnsi="宋体" w:eastAsia="宋体" w:cs="宋体"/>
          <w:bCs/>
          <w:color w:val="auto"/>
          <w:sz w:val="24"/>
          <w:highlight w:val="none"/>
        </w:rPr>
        <w:t>对于各个供应商的竞争性谈判响应文件进行符合性审查，符合性审查不合格者不进入下一步评审。</w:t>
      </w:r>
    </w:p>
    <w:p w14:paraId="77C27B75">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在评审期间，对谈判响应文件中含义不明确、同类问题表述不一致或者有 明显文字和计算错误的内容，</w:t>
      </w:r>
      <w:r>
        <w:rPr>
          <w:rFonts w:hint="eastAsia" w:ascii="宋体" w:hAnsi="宋体" w:eastAsia="宋体" w:cs="宋体"/>
          <w:bCs/>
          <w:color w:val="auto"/>
          <w:sz w:val="24"/>
          <w:highlight w:val="none"/>
          <w:lang w:eastAsia="zh-CN"/>
        </w:rPr>
        <w:t>评审小组</w:t>
      </w:r>
      <w:r>
        <w:rPr>
          <w:rFonts w:hint="eastAsia" w:ascii="宋体" w:hAnsi="宋体" w:eastAsia="宋体" w:cs="宋体"/>
          <w:bCs/>
          <w:color w:val="auto"/>
          <w:sz w:val="24"/>
          <w:highlight w:val="none"/>
        </w:rPr>
        <w:t>可以书面形式 (由</w:t>
      </w:r>
      <w:r>
        <w:rPr>
          <w:rFonts w:hint="eastAsia" w:ascii="宋体" w:hAnsi="宋体" w:eastAsia="宋体" w:cs="宋体"/>
          <w:bCs/>
          <w:color w:val="auto"/>
          <w:sz w:val="24"/>
          <w:highlight w:val="none"/>
          <w:lang w:eastAsia="zh-CN"/>
        </w:rPr>
        <w:t>评审小组</w:t>
      </w:r>
      <w:r>
        <w:rPr>
          <w:rFonts w:hint="eastAsia" w:ascii="宋体" w:hAnsi="宋体" w:eastAsia="宋体" w:cs="宋体"/>
          <w:bCs/>
          <w:color w:val="auto"/>
          <w:sz w:val="24"/>
          <w:highlight w:val="none"/>
        </w:rPr>
        <w:t>专家签字) 要求供应商作出必要的澄清、说明或者纠正。供应商的澄清、说明或者补正应当采用书 面形式，由其授权的代表签字，并不得超出谈判响应文件的范围或者改变谈判响应文件的实质性内容经过评审，质量和服务均能满足采购文件实质性响应要求的供应商才具有最后报价的机会。</w:t>
      </w:r>
    </w:p>
    <w:p w14:paraId="52A5517F">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28.2谈判后，供应商应按</w:t>
      </w:r>
      <w:r>
        <w:rPr>
          <w:rFonts w:hint="eastAsia" w:ascii="宋体" w:hAnsi="宋体" w:eastAsia="宋体" w:cs="宋体"/>
          <w:bCs/>
          <w:color w:val="auto"/>
          <w:sz w:val="24"/>
          <w:highlight w:val="none"/>
          <w:lang w:eastAsia="zh-CN"/>
        </w:rPr>
        <w:t>评审小组</w:t>
      </w:r>
      <w:r>
        <w:rPr>
          <w:rFonts w:hint="eastAsia" w:ascii="宋体" w:hAnsi="宋体" w:eastAsia="宋体" w:cs="宋体"/>
          <w:bCs/>
          <w:color w:val="auto"/>
          <w:sz w:val="24"/>
          <w:highlight w:val="none"/>
        </w:rPr>
        <w:t>规定的时间进行最后报价，各供应商在电脑进行最后报价，最后报价不对供应商公布。该谈判报价为不可更改价格，作为</w:t>
      </w:r>
      <w:r>
        <w:rPr>
          <w:rFonts w:hint="eastAsia" w:ascii="宋体" w:hAnsi="宋体" w:eastAsia="宋体" w:cs="宋体"/>
          <w:bCs/>
          <w:color w:val="auto"/>
          <w:sz w:val="24"/>
          <w:highlight w:val="none"/>
          <w:lang w:eastAsia="zh-CN"/>
        </w:rPr>
        <w:t>评审小组</w:t>
      </w:r>
      <w:r>
        <w:rPr>
          <w:rFonts w:hint="eastAsia" w:ascii="宋体" w:hAnsi="宋体" w:eastAsia="宋体" w:cs="宋体"/>
          <w:bCs/>
          <w:color w:val="auto"/>
          <w:sz w:val="24"/>
          <w:highlight w:val="none"/>
        </w:rPr>
        <w:t>推荐成交候选人的依据。</w:t>
      </w:r>
    </w:p>
    <w:p w14:paraId="323C1CE7">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28.3特殊情况处理：按相关法律法规执行。</w:t>
      </w:r>
    </w:p>
    <w:p w14:paraId="46821AC2">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28.4评审方法：</w:t>
      </w:r>
      <w:r>
        <w:rPr>
          <w:rFonts w:hint="eastAsia" w:ascii="宋体" w:hAnsi="宋体" w:eastAsia="宋体" w:cs="宋体"/>
          <w:bCs/>
          <w:color w:val="auto"/>
          <w:sz w:val="24"/>
          <w:highlight w:val="none"/>
          <w:lang w:eastAsia="zh-CN"/>
        </w:rPr>
        <w:t>评审小组</w:t>
      </w:r>
      <w:r>
        <w:rPr>
          <w:rFonts w:hint="eastAsia" w:ascii="宋体" w:hAnsi="宋体" w:eastAsia="宋体" w:cs="宋体"/>
          <w:bCs/>
          <w:color w:val="auto"/>
          <w:sz w:val="24"/>
          <w:highlight w:val="none"/>
        </w:rPr>
        <w:t xml:space="preserve">从质量和服务均能满足采购文件实质性响应要求的供应商中，按照最后报价由低到高的顺序提出成交候选人。 </w:t>
      </w:r>
    </w:p>
    <w:p w14:paraId="5A0BF73A">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28.5根据《政府采购促进中小企业发展管理办法》（财库【2020】46号）的规定；</w:t>
      </w:r>
    </w:p>
    <w:p w14:paraId="31D734AF">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28.5.1中小企业（含中型、小型、微型企业，下同）应当同时符合以下条件：</w:t>
      </w:r>
    </w:p>
    <w:p w14:paraId="2275AE44">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bCs/>
          <w:color w:val="auto"/>
          <w:sz w:val="24"/>
          <w:highlight w:val="none"/>
        </w:rPr>
        <w:t>28.5.1.1符合中小企业划分标准。</w:t>
      </w:r>
    </w:p>
    <w:p w14:paraId="69DD793F">
      <w:pPr>
        <w:pStyle w:val="3"/>
        <w:spacing w:before="120" w:after="120" w:line="460" w:lineRule="exact"/>
        <w:jc w:val="center"/>
        <w:rPr>
          <w:rFonts w:hint="eastAsia" w:ascii="宋体" w:hAnsi="宋体" w:eastAsia="宋体" w:cs="宋体"/>
          <w:b w:val="0"/>
          <w:bCs/>
          <w:color w:val="auto"/>
          <w:sz w:val="36"/>
          <w:highlight w:val="none"/>
        </w:rPr>
      </w:pPr>
      <w:bookmarkStart w:id="383" w:name="_Toc16312"/>
      <w:bookmarkStart w:id="384" w:name="_Toc20818"/>
      <w:bookmarkStart w:id="385" w:name="_Toc16375"/>
      <w:bookmarkStart w:id="386" w:name="_Toc1204"/>
      <w:bookmarkStart w:id="387" w:name="_Toc5123"/>
      <w:bookmarkStart w:id="388" w:name="_Toc29564"/>
      <w:bookmarkStart w:id="389" w:name="_Toc22226"/>
      <w:r>
        <w:rPr>
          <w:rFonts w:hint="eastAsia" w:ascii="宋体" w:hAnsi="宋体" w:eastAsia="宋体" w:cs="宋体"/>
          <w:b w:val="0"/>
          <w:bCs/>
          <w:color w:val="auto"/>
          <w:sz w:val="36"/>
          <w:highlight w:val="none"/>
        </w:rPr>
        <w:t>F</w:t>
      </w:r>
      <w:bookmarkStart w:id="390" w:name="_Hlt491765714"/>
      <w:bookmarkEnd w:id="390"/>
      <w:r>
        <w:rPr>
          <w:rFonts w:hint="eastAsia" w:ascii="宋体" w:hAnsi="宋体" w:eastAsia="宋体" w:cs="宋体"/>
          <w:b w:val="0"/>
          <w:bCs/>
          <w:color w:val="auto"/>
          <w:sz w:val="36"/>
          <w:highlight w:val="none"/>
        </w:rPr>
        <w:t xml:space="preserve"> </w:t>
      </w:r>
      <w:bookmarkStart w:id="391" w:name="_Hlt497547134"/>
      <w:bookmarkEnd w:id="391"/>
      <w:r>
        <w:rPr>
          <w:rFonts w:hint="eastAsia" w:ascii="宋体" w:hAnsi="宋体" w:eastAsia="宋体" w:cs="宋体"/>
          <w:b w:val="0"/>
          <w:bCs/>
          <w:color w:val="auto"/>
          <w:sz w:val="36"/>
          <w:highlight w:val="none"/>
        </w:rPr>
        <w:t>授予合同</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 w14:paraId="29D2503A">
      <w:pPr>
        <w:pStyle w:val="4"/>
        <w:adjustRightInd w:val="0"/>
        <w:snapToGrid w:val="0"/>
        <w:spacing w:before="156" w:beforeLines="50" w:after="156" w:afterLines="50" w:line="460" w:lineRule="exact"/>
        <w:rPr>
          <w:rFonts w:hint="eastAsia" w:ascii="宋体" w:hAnsi="宋体" w:eastAsia="宋体" w:cs="宋体"/>
          <w:b w:val="0"/>
          <w:bCs/>
          <w:color w:val="auto"/>
          <w:sz w:val="30"/>
          <w:szCs w:val="30"/>
          <w:highlight w:val="none"/>
        </w:rPr>
      </w:pPr>
      <w:bookmarkStart w:id="392" w:name="_Toc15630"/>
      <w:bookmarkStart w:id="393" w:name="_Toc9423"/>
      <w:bookmarkStart w:id="394" w:name="_Toc465958119"/>
      <w:bookmarkStart w:id="395" w:name="_Toc21436"/>
      <w:bookmarkStart w:id="396" w:name="_Toc4170"/>
      <w:bookmarkStart w:id="397" w:name="_Toc9490"/>
      <w:bookmarkStart w:id="398" w:name="_Toc389620200"/>
      <w:bookmarkStart w:id="399" w:name="_Toc385992361"/>
      <w:bookmarkStart w:id="400" w:name="_Toc17220"/>
      <w:bookmarkStart w:id="401" w:name="_Toc264"/>
      <w:bookmarkStart w:id="402" w:name="_Toc30376"/>
      <w:bookmarkStart w:id="403" w:name="_Toc246928926"/>
      <w:bookmarkStart w:id="404" w:name="_Toc6603"/>
      <w:bookmarkStart w:id="405" w:name="_Toc385992366"/>
      <w:bookmarkStart w:id="406" w:name="_Toc9330"/>
      <w:bookmarkStart w:id="407" w:name="_Toc246928928"/>
      <w:bookmarkStart w:id="408" w:name="_Toc389620205"/>
      <w:bookmarkStart w:id="409" w:name="_Toc15641"/>
      <w:bookmarkStart w:id="410" w:name="_Toc5090"/>
      <w:bookmarkStart w:id="411" w:name="_Toc465958121"/>
      <w:bookmarkStart w:id="412" w:name="_Toc30811"/>
      <w:r>
        <w:rPr>
          <w:rFonts w:hint="eastAsia" w:ascii="宋体" w:hAnsi="宋体" w:eastAsia="宋体" w:cs="宋体"/>
          <w:b w:val="0"/>
          <w:bCs/>
          <w:color w:val="auto"/>
          <w:sz w:val="30"/>
          <w:szCs w:val="30"/>
          <w:highlight w:val="none"/>
        </w:rPr>
        <w:t>29 成交准则</w:t>
      </w:r>
      <w:bookmarkEnd w:id="392"/>
      <w:bookmarkEnd w:id="393"/>
      <w:bookmarkEnd w:id="394"/>
      <w:bookmarkEnd w:id="395"/>
      <w:bookmarkEnd w:id="396"/>
      <w:bookmarkEnd w:id="397"/>
      <w:bookmarkEnd w:id="398"/>
      <w:bookmarkEnd w:id="399"/>
      <w:bookmarkEnd w:id="400"/>
      <w:bookmarkEnd w:id="401"/>
      <w:bookmarkEnd w:id="402"/>
      <w:bookmarkEnd w:id="403"/>
    </w:p>
    <w:p w14:paraId="38A694DD">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29.1合同将授予竞争性谈判响应文件符合竞争性谈判文件要求、并能圆满地履行合同、对采购人最为有利且价格最低的供应商。</w:t>
      </w:r>
    </w:p>
    <w:p w14:paraId="70FE7DC6">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29.2</w:t>
      </w:r>
      <w:r>
        <w:rPr>
          <w:rFonts w:hint="eastAsia" w:ascii="宋体" w:hAnsi="宋体" w:eastAsia="宋体" w:cs="宋体"/>
          <w:bCs/>
          <w:color w:val="auto"/>
          <w:sz w:val="24"/>
          <w:highlight w:val="none"/>
          <w:lang w:eastAsia="zh-CN"/>
        </w:rPr>
        <w:t>评审小组</w:t>
      </w:r>
      <w:r>
        <w:rPr>
          <w:rFonts w:hint="eastAsia" w:ascii="宋体" w:hAnsi="宋体" w:eastAsia="宋体" w:cs="宋体"/>
          <w:bCs/>
          <w:color w:val="auto"/>
          <w:sz w:val="24"/>
          <w:highlight w:val="none"/>
        </w:rPr>
        <w:t>将根据评审方法推荐成交候选供应商名单。</w:t>
      </w:r>
      <w:bookmarkStart w:id="413" w:name="_Toc389620201"/>
      <w:bookmarkStart w:id="414" w:name="_Toc385992362"/>
    </w:p>
    <w:p w14:paraId="12576DC7">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29.3代理机构在评审结束后将评审报告送采购人，采购人在收到评审报告后按照评审报告中推荐的成交候选供应商顺序确定成交供应商。</w:t>
      </w:r>
    </w:p>
    <w:p w14:paraId="339B24B0">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29.4成交供应商因不可抗力或自身原因不能履行政府采购合同的，采购人可以再排位在成交供应商之后的第一位的成交候选供应商签订政府采购合同，以此类推。</w:t>
      </w:r>
    </w:p>
    <w:bookmarkEnd w:id="413"/>
    <w:bookmarkEnd w:id="414"/>
    <w:p w14:paraId="5E472CBD">
      <w:pPr>
        <w:pStyle w:val="4"/>
        <w:adjustRightInd w:val="0"/>
        <w:snapToGrid w:val="0"/>
        <w:spacing w:before="156" w:beforeLines="50" w:after="156" w:afterLines="50" w:line="460" w:lineRule="exact"/>
        <w:rPr>
          <w:rFonts w:hint="eastAsia" w:ascii="宋体" w:hAnsi="宋体" w:eastAsia="宋体" w:cs="宋体"/>
          <w:b w:val="0"/>
          <w:bCs/>
          <w:color w:val="auto"/>
          <w:sz w:val="30"/>
          <w:szCs w:val="30"/>
          <w:highlight w:val="none"/>
        </w:rPr>
      </w:pPr>
      <w:bookmarkStart w:id="415" w:name="_Toc385992364"/>
      <w:bookmarkStart w:id="416" w:name="_Toc389620203"/>
      <w:bookmarkStart w:id="417" w:name="_Toc246928927"/>
      <w:bookmarkStart w:id="418" w:name="_Toc19328"/>
      <w:bookmarkStart w:id="419" w:name="_Toc30974"/>
      <w:bookmarkStart w:id="420" w:name="_Toc14351"/>
      <w:bookmarkStart w:id="421" w:name="_Toc12205"/>
      <w:bookmarkStart w:id="422" w:name="_Toc21691"/>
      <w:bookmarkStart w:id="423" w:name="_Toc16397"/>
      <w:bookmarkStart w:id="424" w:name="_Toc465958120"/>
      <w:bookmarkStart w:id="425" w:name="_Toc19435"/>
      <w:bookmarkStart w:id="426" w:name="_Toc26280"/>
      <w:r>
        <w:rPr>
          <w:rFonts w:hint="eastAsia" w:ascii="宋体" w:hAnsi="宋体" w:eastAsia="宋体" w:cs="宋体"/>
          <w:b w:val="0"/>
          <w:bCs/>
          <w:color w:val="auto"/>
          <w:sz w:val="30"/>
          <w:szCs w:val="30"/>
          <w:highlight w:val="none"/>
        </w:rPr>
        <w:t xml:space="preserve">30 </w:t>
      </w:r>
      <w:bookmarkEnd w:id="415"/>
      <w:bookmarkEnd w:id="416"/>
      <w:r>
        <w:rPr>
          <w:rFonts w:hint="eastAsia" w:ascii="宋体" w:hAnsi="宋体" w:eastAsia="宋体" w:cs="宋体"/>
          <w:b w:val="0"/>
          <w:bCs/>
          <w:color w:val="auto"/>
          <w:sz w:val="30"/>
          <w:szCs w:val="30"/>
          <w:highlight w:val="none"/>
        </w:rPr>
        <w:t>成交通知</w:t>
      </w:r>
      <w:bookmarkEnd w:id="417"/>
      <w:r>
        <w:rPr>
          <w:rFonts w:hint="eastAsia" w:ascii="宋体" w:hAnsi="宋体" w:eastAsia="宋体" w:cs="宋体"/>
          <w:b w:val="0"/>
          <w:bCs/>
          <w:color w:val="auto"/>
          <w:sz w:val="30"/>
          <w:szCs w:val="30"/>
          <w:highlight w:val="none"/>
        </w:rPr>
        <w:t>书</w:t>
      </w:r>
      <w:bookmarkEnd w:id="418"/>
      <w:bookmarkEnd w:id="419"/>
      <w:bookmarkEnd w:id="420"/>
      <w:bookmarkEnd w:id="421"/>
      <w:bookmarkEnd w:id="422"/>
      <w:bookmarkEnd w:id="423"/>
      <w:bookmarkEnd w:id="424"/>
      <w:bookmarkEnd w:id="425"/>
      <w:bookmarkEnd w:id="426"/>
    </w:p>
    <w:p w14:paraId="3C6024B6">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30.1 在谈判有效期内，确定成交供应商后，成交结果在财政部门指定的政府采购信息发布媒体上公告。</w:t>
      </w:r>
    </w:p>
    <w:p w14:paraId="60431FA7">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30.2 代理机构向成交供应商发出成交通知书。</w:t>
      </w:r>
    </w:p>
    <w:p w14:paraId="06DC598E">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30.3 成交通知书将作为签订合同的依据。</w:t>
      </w:r>
    </w:p>
    <w:p w14:paraId="13AB520F">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30.4 对未成交者，采购人不做出解释，同时亦不退还竞争性谈判响应文件。</w:t>
      </w:r>
    </w:p>
    <w:bookmarkEnd w:id="404"/>
    <w:bookmarkEnd w:id="405"/>
    <w:bookmarkEnd w:id="406"/>
    <w:bookmarkEnd w:id="407"/>
    <w:bookmarkEnd w:id="408"/>
    <w:bookmarkEnd w:id="409"/>
    <w:bookmarkEnd w:id="410"/>
    <w:bookmarkEnd w:id="411"/>
    <w:bookmarkEnd w:id="412"/>
    <w:p w14:paraId="0DAAEE3E">
      <w:pPr>
        <w:pStyle w:val="4"/>
        <w:adjustRightInd w:val="0"/>
        <w:snapToGrid w:val="0"/>
        <w:spacing w:before="156" w:beforeLines="50" w:after="156" w:afterLines="50" w:line="460" w:lineRule="exact"/>
        <w:rPr>
          <w:rFonts w:hint="eastAsia" w:ascii="宋体" w:hAnsi="宋体" w:eastAsia="宋体" w:cs="宋体"/>
          <w:b w:val="0"/>
          <w:bCs/>
          <w:color w:val="auto"/>
          <w:sz w:val="30"/>
          <w:szCs w:val="30"/>
          <w:highlight w:val="none"/>
        </w:rPr>
      </w:pPr>
      <w:bookmarkStart w:id="427" w:name="_Toc21407"/>
      <w:bookmarkStart w:id="428" w:name="_Toc24730"/>
      <w:bookmarkStart w:id="429" w:name="_Toc27035"/>
      <w:bookmarkStart w:id="430" w:name="_Toc11754"/>
      <w:bookmarkStart w:id="431" w:name="_Toc385992368"/>
      <w:bookmarkStart w:id="432" w:name="_Toc389620207"/>
      <w:bookmarkStart w:id="433" w:name="_Toc9873"/>
      <w:bookmarkStart w:id="434" w:name="_Toc465958122"/>
      <w:bookmarkStart w:id="435" w:name="_Toc23291"/>
      <w:bookmarkStart w:id="436" w:name="_Toc246928929"/>
      <w:bookmarkStart w:id="437" w:name="_Toc23493"/>
      <w:bookmarkStart w:id="438" w:name="_Toc20377"/>
      <w:r>
        <w:rPr>
          <w:rFonts w:hint="eastAsia" w:ascii="宋体" w:hAnsi="宋体" w:eastAsia="宋体" w:cs="宋体"/>
          <w:b w:val="0"/>
          <w:bCs/>
          <w:color w:val="auto"/>
          <w:sz w:val="30"/>
          <w:szCs w:val="30"/>
          <w:highlight w:val="none"/>
        </w:rPr>
        <w:t>31 签订合同</w:t>
      </w:r>
      <w:bookmarkEnd w:id="427"/>
      <w:bookmarkEnd w:id="428"/>
      <w:bookmarkEnd w:id="429"/>
    </w:p>
    <w:bookmarkEnd w:id="430"/>
    <w:bookmarkEnd w:id="431"/>
    <w:bookmarkEnd w:id="432"/>
    <w:bookmarkEnd w:id="433"/>
    <w:bookmarkEnd w:id="434"/>
    <w:bookmarkEnd w:id="435"/>
    <w:bookmarkEnd w:id="436"/>
    <w:bookmarkEnd w:id="437"/>
    <w:bookmarkEnd w:id="438"/>
    <w:p w14:paraId="61C50696">
      <w:pPr>
        <w:adjustRightInd w:val="0"/>
        <w:snapToGrid w:val="0"/>
        <w:spacing w:line="360" w:lineRule="auto"/>
        <w:ind w:firstLine="480" w:firstLineChars="200"/>
        <w:rPr>
          <w:rFonts w:hint="eastAsia" w:ascii="宋体" w:hAnsi="宋体" w:eastAsia="宋体" w:cs="宋体"/>
          <w:bCs/>
          <w:color w:val="auto"/>
          <w:sz w:val="24"/>
          <w:highlight w:val="none"/>
        </w:rPr>
      </w:pPr>
      <w:bookmarkStart w:id="439" w:name="_Toc5562"/>
      <w:bookmarkStart w:id="440" w:name="_Toc27194"/>
      <w:r>
        <w:rPr>
          <w:rFonts w:hint="eastAsia" w:ascii="宋体" w:hAnsi="宋体" w:eastAsia="宋体" w:cs="宋体"/>
          <w:bCs/>
          <w:color w:val="auto"/>
          <w:sz w:val="24"/>
          <w:highlight w:val="none"/>
        </w:rPr>
        <w:t>31.1 定标后，在成交通知书发出之日起10日内，应按招标文件的要求与采购人洽谈合同条款，并签订书面合同，同时送监督机构备案。所签订的合同不得对招标文件确定的事项和成交供应商谈判响应文件作实质性修改；</w:t>
      </w:r>
    </w:p>
    <w:p w14:paraId="46155590">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31.2 采购人不得向成交供应商提出任何不合理的要求作为签订合同的条件；</w:t>
      </w:r>
    </w:p>
    <w:p w14:paraId="24AC7AC8">
      <w:pPr>
        <w:pStyle w:val="52"/>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sz w:val="24"/>
          <w:highlight w:val="none"/>
        </w:rPr>
        <w:t>31.3采购人应当自合同签订之日起2个工作日内，将采购合同在陕西省政府采购网上公告。</w:t>
      </w:r>
    </w:p>
    <w:p w14:paraId="6DB8F82B">
      <w:pPr>
        <w:pStyle w:val="4"/>
        <w:adjustRightInd w:val="0"/>
        <w:snapToGrid w:val="0"/>
        <w:spacing w:before="156" w:beforeLines="50" w:after="156" w:afterLines="50" w:line="460" w:lineRule="exact"/>
        <w:rPr>
          <w:rFonts w:hint="eastAsia" w:ascii="宋体" w:hAnsi="宋体" w:eastAsia="宋体" w:cs="宋体"/>
          <w:b w:val="0"/>
          <w:bCs/>
          <w:color w:val="auto"/>
          <w:sz w:val="30"/>
          <w:szCs w:val="30"/>
          <w:highlight w:val="none"/>
        </w:rPr>
      </w:pPr>
      <w:bookmarkStart w:id="441" w:name="_Toc22187"/>
      <w:r>
        <w:rPr>
          <w:rFonts w:hint="eastAsia" w:ascii="宋体" w:hAnsi="宋体" w:eastAsia="宋体" w:cs="宋体"/>
          <w:b w:val="0"/>
          <w:bCs/>
          <w:color w:val="auto"/>
          <w:sz w:val="30"/>
          <w:szCs w:val="30"/>
          <w:highlight w:val="none"/>
        </w:rPr>
        <w:t>32 招标代理服务费</w:t>
      </w:r>
      <w:bookmarkEnd w:id="439"/>
      <w:bookmarkEnd w:id="440"/>
      <w:bookmarkEnd w:id="441"/>
      <w:r>
        <w:rPr>
          <w:rFonts w:hint="eastAsia" w:ascii="宋体" w:hAnsi="宋体" w:eastAsia="宋体" w:cs="宋体"/>
          <w:b w:val="0"/>
          <w:bCs/>
          <w:color w:val="auto"/>
          <w:sz w:val="30"/>
          <w:szCs w:val="30"/>
          <w:highlight w:val="none"/>
        </w:rPr>
        <w:t xml:space="preserve"> </w:t>
      </w:r>
    </w:p>
    <w:p w14:paraId="0F442CCE">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32.1  招标代理服务费的收取参见国家计委颁布的代理机构参照国家计委关于印发《招标代理服务收费管理暂行办法》的通知（计价格〔2002〕1980号）、《国家发展和改革委员会办公厅关于招标代理服务收费有关问题的通知》（发改办价格〔2003〕857号）规定向中标（成交）供应商收取代理服务费。</w:t>
      </w:r>
    </w:p>
    <w:p w14:paraId="23D90448">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32.2  成交单位在领取成交通知书前，须向代理机构一次性支付招标代理服务费。</w:t>
      </w:r>
    </w:p>
    <w:p w14:paraId="126E4CF7">
      <w:pPr>
        <w:pStyle w:val="4"/>
        <w:adjustRightInd w:val="0"/>
        <w:snapToGrid w:val="0"/>
        <w:spacing w:before="120" w:after="120" w:line="460" w:lineRule="exact"/>
        <w:rPr>
          <w:rFonts w:hint="eastAsia" w:ascii="宋体" w:hAnsi="宋体" w:eastAsia="宋体" w:cs="宋体"/>
          <w:b w:val="0"/>
          <w:bCs/>
          <w:color w:val="auto"/>
          <w:szCs w:val="22"/>
          <w:highlight w:val="none"/>
        </w:rPr>
      </w:pPr>
      <w:bookmarkStart w:id="442" w:name="_Hlt497548036"/>
      <w:bookmarkEnd w:id="442"/>
      <w:bookmarkStart w:id="443" w:name="_Toc5575"/>
      <w:bookmarkStart w:id="444" w:name="_Toc17620"/>
      <w:bookmarkStart w:id="445" w:name="_Toc10431"/>
      <w:bookmarkStart w:id="446" w:name="_Toc497711585"/>
      <w:bookmarkStart w:id="447" w:name="_Toc497546918"/>
      <w:bookmarkStart w:id="448" w:name="_Toc13928"/>
      <w:bookmarkStart w:id="449" w:name="_Toc9748"/>
      <w:bookmarkStart w:id="450" w:name="_Toc497712133"/>
      <w:bookmarkStart w:id="451" w:name="_Toc497551820"/>
      <w:bookmarkStart w:id="452" w:name="_Toc28607"/>
      <w:bookmarkStart w:id="453" w:name="_Toc93800308"/>
      <w:bookmarkStart w:id="454" w:name="_Toc492955459"/>
      <w:bookmarkStart w:id="455" w:name="_Toc10852"/>
      <w:bookmarkStart w:id="456" w:name="_Toc347478708"/>
      <w:bookmarkStart w:id="457" w:name="_Toc497551821"/>
      <w:bookmarkStart w:id="458" w:name="_Toc389620242"/>
      <w:bookmarkStart w:id="459" w:name="_Toc385992402"/>
      <w:bookmarkStart w:id="460" w:name="_Toc246928960"/>
      <w:bookmarkStart w:id="461" w:name="_Toc497712134"/>
      <w:bookmarkStart w:id="462" w:name="_Toc497711586"/>
      <w:bookmarkStart w:id="463" w:name="_Toc497546919"/>
      <w:bookmarkStart w:id="464" w:name="_Toc492955460"/>
      <w:r>
        <w:rPr>
          <w:rFonts w:hint="eastAsia" w:ascii="宋体" w:hAnsi="宋体" w:eastAsia="宋体" w:cs="宋体"/>
          <w:b w:val="0"/>
          <w:bCs/>
          <w:color w:val="auto"/>
          <w:szCs w:val="22"/>
          <w:highlight w:val="none"/>
        </w:rPr>
        <w:t>33 其他</w:t>
      </w:r>
      <w:bookmarkEnd w:id="443"/>
      <w:bookmarkEnd w:id="444"/>
      <w:bookmarkEnd w:id="445"/>
    </w:p>
    <w:p w14:paraId="13159FB5">
      <w:pPr>
        <w:adjustRightInd w:val="0"/>
        <w:snapToGrid w:val="0"/>
        <w:spacing w:line="4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谈判截止时间结束后，参加谈判的供应商不足 3 家，或在评审期间，出现符合条件、对竞争性谈判文件做出实质性响应的供应商不足 3 家的，按照《政府采购非招标采购方式管理办法》（财政部令第 74 号）相关条款规定处理。</w:t>
      </w:r>
    </w:p>
    <w:p w14:paraId="633BBADC">
      <w:pPr>
        <w:pStyle w:val="4"/>
        <w:adjustRightInd w:val="0"/>
        <w:snapToGrid w:val="0"/>
        <w:spacing w:before="120" w:after="120" w:line="460" w:lineRule="exact"/>
        <w:rPr>
          <w:rFonts w:hint="eastAsia" w:ascii="宋体" w:hAnsi="宋体" w:eastAsia="宋体" w:cs="宋体"/>
          <w:b w:val="0"/>
          <w:bCs/>
          <w:color w:val="auto"/>
          <w:szCs w:val="22"/>
          <w:highlight w:val="none"/>
        </w:rPr>
      </w:pPr>
      <w:bookmarkStart w:id="465" w:name="_Toc9052"/>
      <w:bookmarkStart w:id="466" w:name="_Toc29936"/>
      <w:bookmarkStart w:id="467" w:name="_Toc29779"/>
      <w:r>
        <w:rPr>
          <w:rFonts w:hint="eastAsia" w:ascii="宋体" w:hAnsi="宋体" w:eastAsia="宋体" w:cs="宋体"/>
          <w:b w:val="0"/>
          <w:bCs/>
          <w:color w:val="auto"/>
          <w:szCs w:val="22"/>
          <w:highlight w:val="none"/>
        </w:rPr>
        <w:t>34 质疑提出与答复</w:t>
      </w:r>
      <w:bookmarkEnd w:id="465"/>
      <w:bookmarkEnd w:id="466"/>
      <w:bookmarkEnd w:id="467"/>
    </w:p>
    <w:p w14:paraId="0526BC0E">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供应商如果认为采购程序、采购过程或中标结果使自身的合法权益受到损害，可以在知道或者应知其权益受到损害之日起7个工作日内，以书面形式向代理机构提出。</w:t>
      </w:r>
    </w:p>
    <w:p w14:paraId="63C602E4">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1、供应商提出质疑应当提交质疑函和必要的证明材料，并按财政部《质疑函范本》给定的格式进行填写，范本下载详见【财政部国库司（gks.mof.gov.cn）】网站〖首页•〉政府采购管理〗栏目中的《政府采购供应商质疑函范本》。</w:t>
      </w:r>
    </w:p>
    <w:p w14:paraId="6E7BC809">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《政府采购供应商质疑函范本》链接地址：</w:t>
      </w:r>
    </w:p>
    <w:p w14:paraId="1C5B7E8E">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http://www.mof.gov.cn/gp/xxgkml/gks/201802/t20180201_2804587.htm</w:t>
      </w:r>
    </w:p>
    <w:p w14:paraId="1D8EB035">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2、质疑人为自然人的，应当由本人签字；质疑人为法人或者其他组织的，应当由法定代表人、主要负责人，或者其授权代表签字或者盖章，并加盖公章。授权代表办理质疑事项时，除提交质疑函外，还应当提交授权委托书及授权代表的有效身份证明，授权委托书应当载明委托代理的具体权限和事项。</w:t>
      </w:r>
    </w:p>
    <w:p w14:paraId="1B20C7C1">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2.1质疑函应当包括下列内容：</w:t>
      </w:r>
    </w:p>
    <w:p w14:paraId="4BE3D2EC">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（1）</w:t>
      </w:r>
      <w:r>
        <w:rPr>
          <w:rFonts w:hint="eastAsia" w:ascii="宋体" w:hAnsi="宋体" w:eastAsia="宋体" w:cs="宋体"/>
          <w:bCs/>
          <w:color w:val="auto"/>
          <w:highlight w:val="none"/>
          <w:lang w:val="zh-CN"/>
        </w:rPr>
        <w:t>供应商</w:t>
      </w:r>
      <w:r>
        <w:rPr>
          <w:rFonts w:hint="eastAsia" w:ascii="宋体" w:hAnsi="宋体" w:eastAsia="宋体" w:cs="宋体"/>
          <w:bCs/>
          <w:color w:val="auto"/>
          <w:highlight w:val="none"/>
        </w:rPr>
        <w:t>的姓名或者名称、地址、邮编、联系人及联系电话；</w:t>
      </w:r>
    </w:p>
    <w:p w14:paraId="7691975D">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（2）质疑项目的名称、编号；</w:t>
      </w:r>
    </w:p>
    <w:p w14:paraId="602676E1">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（3）具体、明确的质疑事项和与质疑事项相关的请求；</w:t>
      </w:r>
    </w:p>
    <w:p w14:paraId="18C39B66">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（4）事实依据；</w:t>
      </w:r>
    </w:p>
    <w:p w14:paraId="3241526A">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（5）必要的法律依据；</w:t>
      </w:r>
    </w:p>
    <w:p w14:paraId="489DE8F2">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 xml:space="preserve">（6）提出质疑的日期。 </w:t>
      </w:r>
    </w:p>
    <w:p w14:paraId="7EAD78AA">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3、在法定质疑期内，针对同一采购程序环节的质疑应当一次性提出。代理机构或采购人将在收到书面质疑后7个工作日内做出答复，并以书面形式通知质疑人和其他有关供应商。</w:t>
      </w:r>
    </w:p>
    <w:p w14:paraId="1D789E32">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4、有下列情形之一的，属于无效质疑，代理机构和采购人不予受理：</w:t>
      </w:r>
    </w:p>
    <w:p w14:paraId="4F10F33D">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（1）质疑人不是参与本次政府采购项目的供应商或潜在供应商；</w:t>
      </w:r>
    </w:p>
    <w:p w14:paraId="0D59D96D">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（2）质疑人与质疑事项不存在利害关系的；</w:t>
      </w:r>
    </w:p>
    <w:p w14:paraId="57F73BA7">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（3）未在法定期限内提出质疑的；</w:t>
      </w:r>
    </w:p>
    <w:p w14:paraId="59FED9D9">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（4）质疑未以书面形式提出，或质疑函主要内容构成不完整的，或缺乏必要的证明材料及证明材料不完整的；</w:t>
      </w:r>
    </w:p>
    <w:p w14:paraId="7E3D7914">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（5）质疑函没有合法有效的签字、盖章或授权的；</w:t>
      </w:r>
    </w:p>
    <w:p w14:paraId="709D6051">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（6）以非法手段取得证据、材料的；</w:t>
      </w:r>
    </w:p>
    <w:p w14:paraId="62D0FEC9">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（7）质疑答复后，同一质疑人就同一事项再次提出质疑的；</w:t>
      </w:r>
    </w:p>
    <w:p w14:paraId="59FBE76A">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（8）不符合法律、法规、规章和政府采购监管机构规定的其他条件的。</w:t>
      </w:r>
    </w:p>
    <w:p w14:paraId="01F398AE">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5、质疑人对代理机构或采购人的答复不满意，以及代理机构或采购人未在规定时间内做出答复的，可以在答复期满后15个工作日内向政府采购监管机构提出投诉。</w:t>
      </w:r>
    </w:p>
    <w:p w14:paraId="01C4E220">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6、供应商投诉的事项不得超出已质疑事项的范围。</w:t>
      </w:r>
    </w:p>
    <w:p w14:paraId="471C4F3A">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7、对捏造事实、提供虚假材料进行质疑、投诉的行为予以严肃处理：</w:t>
      </w:r>
    </w:p>
    <w:p w14:paraId="7847E55F">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依据《中华人民共和国政府采购法》及其实施条例、《政府采购质疑和投诉办法》等法律法规文件的规定，供应商质疑、投诉应当有明确的请求和必要的证明材料。投诉人在全国范围内十二个月内三次以上投诉查无实据的，由财政部门列入不良行为记录名单。对于捏造事实、提供虚假材料或者以非法手段取得证明材料进行投诉的，财政部门应当予以驳回，并将其列入不良行为记录名单，禁止其一至三年内参加政府采购活动。</w:t>
      </w:r>
    </w:p>
    <w:p w14:paraId="6E4D9694">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8、对捏造事实诬告陷害他人、诽谤他人的法律适用：</w:t>
      </w:r>
    </w:p>
    <w:p w14:paraId="12F4DB45">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《中华人民共和国刑法》第243条【诬告陷害罪】捏造事实诬告陷害他人，意图使他人受刑事追究，情节严重的，处三年以下有期徒刑、拘役或者管制；造成严重后果的，处三年以上十年以下有期徒刑。</w:t>
      </w:r>
    </w:p>
    <w:p w14:paraId="2D8097D9">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《中华人民共和国刑法》第246条【侮辱罪、诽谤罪】以暴力或者其他方法公然侮辱他人或者捏造事实诽谤他人，情节严重的，处三年以下有期徒刑、拘役、管制或者剥夺政治权利。</w:t>
      </w:r>
    </w:p>
    <w:p w14:paraId="68DFFA20">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9、质疑函递交地址：</w:t>
      </w:r>
      <w:r>
        <w:rPr>
          <w:rFonts w:hint="eastAsia" w:ascii="宋体" w:hAnsi="宋体" w:eastAsia="宋体" w:cs="宋体"/>
          <w:bCs/>
          <w:color w:val="auto"/>
          <w:highlight w:val="none"/>
          <w:lang w:eastAsia="zh-CN"/>
        </w:rPr>
        <w:t>陕西省汉中市南郑区陕西省汉中市南郑区中所营街道办董家营村一组（董家营十字）</w:t>
      </w:r>
    </w:p>
    <w:p w14:paraId="06726EC4">
      <w:pPr>
        <w:pStyle w:val="21"/>
        <w:adjustRightInd w:val="0"/>
        <w:snapToGrid w:val="0"/>
        <w:spacing w:before="0" w:beforeAutospacing="0" w:after="0" w:afterAutospacing="0" w:line="460" w:lineRule="exact"/>
        <w:ind w:firstLine="360" w:firstLineChars="150"/>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联系人：</w:t>
      </w:r>
      <w:r>
        <w:rPr>
          <w:rFonts w:hint="eastAsia" w:ascii="宋体" w:hAnsi="宋体" w:eastAsia="宋体" w:cs="宋体"/>
          <w:bCs/>
          <w:color w:val="auto"/>
          <w:highlight w:val="none"/>
          <w:lang w:eastAsia="zh-CN"/>
        </w:rPr>
        <w:t>鹏泽项目管理有限公司</w:t>
      </w:r>
      <w:r>
        <w:rPr>
          <w:rFonts w:hint="eastAsia" w:ascii="宋体" w:hAnsi="宋体" w:eastAsia="宋体" w:cs="宋体"/>
          <w:bCs/>
          <w:color w:val="auto"/>
          <w:highlight w:val="none"/>
        </w:rPr>
        <w:t>/联系方式：</w:t>
      </w:r>
      <w:r>
        <w:rPr>
          <w:rFonts w:hint="eastAsia" w:ascii="宋体" w:hAnsi="宋体" w:eastAsia="宋体" w:cs="宋体"/>
          <w:bCs/>
          <w:color w:val="auto"/>
          <w:highlight w:val="none"/>
          <w:lang w:eastAsia="zh-CN"/>
        </w:rPr>
        <w:t>18392098590</w:t>
      </w:r>
    </w:p>
    <w:bookmarkEnd w:id="446"/>
    <w:bookmarkEnd w:id="447"/>
    <w:bookmarkEnd w:id="448"/>
    <w:bookmarkEnd w:id="449"/>
    <w:bookmarkEnd w:id="450"/>
    <w:bookmarkEnd w:id="451"/>
    <w:bookmarkEnd w:id="452"/>
    <w:bookmarkEnd w:id="453"/>
    <w:bookmarkEnd w:id="454"/>
    <w:bookmarkEnd w:id="455"/>
    <w:bookmarkEnd w:id="456"/>
    <w:p w14:paraId="012BA512">
      <w:pPr>
        <w:spacing w:before="120" w:line="480" w:lineRule="auto"/>
        <w:jc w:val="center"/>
        <w:rPr>
          <w:rFonts w:hint="eastAsia" w:ascii="宋体" w:hAnsi="宋体" w:eastAsia="宋体" w:cs="宋体"/>
          <w:bCs/>
          <w:color w:val="auto"/>
          <w:sz w:val="36"/>
          <w:szCs w:val="36"/>
          <w:highlight w:val="none"/>
        </w:rPr>
        <w:sectPr>
          <w:pgSz w:w="11906" w:h="16838"/>
          <w:pgMar w:top="1440" w:right="1080" w:bottom="1440" w:left="1080" w:header="851" w:footer="992" w:gutter="0"/>
          <w:pgNumType w:fmt="decimal"/>
          <w:cols w:space="720" w:num="1"/>
          <w:docGrid w:type="lines" w:linePitch="312" w:charSpace="0"/>
        </w:sectPr>
      </w:pPr>
      <w:bookmarkStart w:id="468" w:name="_Toc18860"/>
      <w:bookmarkStart w:id="469" w:name="_Toc24136"/>
      <w:bookmarkStart w:id="470" w:name="_Toc116"/>
      <w:bookmarkStart w:id="471" w:name="_Toc1542"/>
      <w:bookmarkStart w:id="472" w:name="_Toc18524"/>
      <w:bookmarkStart w:id="473" w:name="_Toc29549"/>
    </w:p>
    <w:p w14:paraId="7655E7FC">
      <w:pPr>
        <w:pStyle w:val="2"/>
        <w:spacing w:line="240" w:lineRule="auto"/>
        <w:jc w:val="center"/>
        <w:rPr>
          <w:rFonts w:hint="eastAsia" w:ascii="宋体" w:hAnsi="宋体" w:eastAsia="宋体" w:cs="宋体"/>
          <w:b w:val="0"/>
          <w:bCs/>
          <w:color w:val="auto"/>
          <w:sz w:val="40"/>
          <w:szCs w:val="18"/>
          <w:highlight w:val="none"/>
          <w:lang w:val="en-US" w:eastAsia="zh-CN"/>
        </w:rPr>
      </w:pPr>
      <w:bookmarkStart w:id="474" w:name="_Toc30698"/>
      <w:bookmarkStart w:id="475" w:name="_Toc10731"/>
      <w:bookmarkStart w:id="476" w:name="_Toc19752"/>
      <w:r>
        <w:rPr>
          <w:rFonts w:hint="eastAsia" w:ascii="宋体" w:hAnsi="宋体" w:eastAsia="宋体" w:cs="宋体"/>
          <w:b w:val="0"/>
          <w:bCs/>
          <w:color w:val="auto"/>
          <w:sz w:val="40"/>
          <w:szCs w:val="18"/>
          <w:highlight w:val="none"/>
          <w:lang w:val="en-US" w:eastAsia="zh-CN"/>
        </w:rPr>
        <w:t xml:space="preserve">第四部分  </w:t>
      </w:r>
      <w:bookmarkEnd w:id="468"/>
      <w:bookmarkEnd w:id="469"/>
      <w:bookmarkEnd w:id="470"/>
      <w:bookmarkEnd w:id="471"/>
      <w:bookmarkEnd w:id="472"/>
      <w:bookmarkEnd w:id="473"/>
      <w:bookmarkStart w:id="477" w:name="_Toc31701"/>
      <w:r>
        <w:rPr>
          <w:rFonts w:hint="eastAsia" w:ascii="宋体" w:hAnsi="宋体" w:eastAsia="宋体" w:cs="宋体"/>
          <w:b w:val="0"/>
          <w:bCs/>
          <w:color w:val="auto"/>
          <w:sz w:val="40"/>
          <w:szCs w:val="18"/>
          <w:highlight w:val="none"/>
          <w:lang w:val="en-US" w:eastAsia="zh-CN"/>
        </w:rPr>
        <w:t>政府采购合同（参考格式）</w:t>
      </w:r>
      <w:bookmarkEnd w:id="474"/>
      <w:bookmarkEnd w:id="475"/>
      <w:bookmarkEnd w:id="476"/>
    </w:p>
    <w:p w14:paraId="5A8E8374">
      <w:pPr>
        <w:rPr>
          <w:rFonts w:hint="eastAsia" w:ascii="宋体" w:hAnsi="宋体" w:eastAsia="宋体" w:cs="宋体"/>
          <w:bCs/>
          <w:color w:val="auto"/>
          <w:kern w:val="0"/>
          <w:sz w:val="48"/>
          <w:szCs w:val="48"/>
          <w:highlight w:val="none"/>
        </w:rPr>
      </w:pPr>
    </w:p>
    <w:p w14:paraId="04309B95">
      <w:pPr>
        <w:spacing w:before="120" w:line="480" w:lineRule="auto"/>
        <w:jc w:val="center"/>
        <w:rPr>
          <w:rFonts w:hint="eastAsia" w:ascii="宋体" w:hAnsi="宋体" w:eastAsia="宋体" w:cs="宋体"/>
          <w:bCs/>
          <w:color w:val="auto"/>
          <w:sz w:val="28"/>
          <w:szCs w:val="28"/>
          <w:highlight w:val="none"/>
        </w:rPr>
      </w:pPr>
      <w:bookmarkStart w:id="478" w:name="_Toc10304"/>
      <w:bookmarkStart w:id="479" w:name="_Toc18440"/>
      <w:r>
        <w:rPr>
          <w:rFonts w:hint="eastAsia" w:ascii="宋体" w:hAnsi="宋体" w:eastAsia="宋体" w:cs="宋体"/>
          <w:bCs/>
          <w:color w:val="auto"/>
          <w:sz w:val="36"/>
          <w:szCs w:val="36"/>
          <w:highlight w:val="none"/>
        </w:rPr>
        <w:t>政 府 采 购 合 同</w:t>
      </w:r>
      <w:bookmarkEnd w:id="478"/>
      <w:bookmarkEnd w:id="479"/>
      <w:bookmarkStart w:id="480" w:name="_Toc109543216"/>
      <w:bookmarkStart w:id="481" w:name="_Toc109542396"/>
    </w:p>
    <w:p w14:paraId="31C5DA1D">
      <w:pPr>
        <w:spacing w:before="120" w:line="480" w:lineRule="auto"/>
        <w:jc w:val="center"/>
        <w:rPr>
          <w:rFonts w:hint="eastAsia" w:ascii="宋体" w:hAnsi="宋体" w:eastAsia="宋体" w:cs="宋体"/>
          <w:bCs/>
          <w:color w:val="auto"/>
          <w:sz w:val="28"/>
          <w:szCs w:val="28"/>
          <w:highlight w:val="none"/>
        </w:rPr>
      </w:pPr>
      <w:bookmarkStart w:id="482" w:name="_Toc2649"/>
      <w:bookmarkStart w:id="483" w:name="_Toc18194"/>
      <w:bookmarkStart w:id="484" w:name="_Toc2165"/>
      <w:bookmarkStart w:id="485" w:name="_Toc30607"/>
      <w:bookmarkStart w:id="486" w:name="_Toc13444"/>
      <w:bookmarkStart w:id="487" w:name="_Toc17706"/>
      <w:bookmarkStart w:id="488" w:name="_Toc25372"/>
      <w:bookmarkStart w:id="489" w:name="_Toc4959"/>
      <w:bookmarkStart w:id="490" w:name="_Toc6312"/>
      <w:bookmarkStart w:id="491" w:name="_Toc32650"/>
      <w:bookmarkStart w:id="492" w:name="_Toc5099"/>
      <w:bookmarkStart w:id="493" w:name="_Toc21410"/>
      <w:bookmarkStart w:id="494" w:name="_Toc12884"/>
      <w:bookmarkStart w:id="495" w:name="_Toc21777"/>
      <w:bookmarkStart w:id="496" w:name="_Toc26030"/>
      <w:bookmarkStart w:id="497" w:name="_Toc23469"/>
      <w:bookmarkStart w:id="498" w:name="_Toc24970"/>
      <w:bookmarkStart w:id="499" w:name="_Toc26183"/>
      <w:bookmarkStart w:id="500" w:name="_Toc17458"/>
      <w:bookmarkStart w:id="501" w:name="_Toc26237"/>
      <w:r>
        <w:rPr>
          <w:rFonts w:hint="eastAsia" w:ascii="宋体" w:hAnsi="宋体" w:eastAsia="宋体" w:cs="宋体"/>
          <w:bCs/>
          <w:color w:val="auto"/>
          <w:sz w:val="24"/>
          <w:szCs w:val="24"/>
          <w:highlight w:val="none"/>
        </w:rPr>
        <w:t>（此合同只作为参考，最终签订的合同以采购人确定的合同内容为准。）</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p>
    <w:p w14:paraId="534C19C4">
      <w:pPr>
        <w:spacing w:before="120" w:line="360" w:lineRule="auto"/>
        <w:rPr>
          <w:rFonts w:hint="eastAsia" w:ascii="宋体" w:hAnsi="宋体" w:eastAsia="宋体" w:cs="宋体"/>
          <w:bCs/>
          <w:color w:val="auto"/>
          <w:sz w:val="28"/>
          <w:szCs w:val="28"/>
          <w:highlight w:val="none"/>
        </w:rPr>
      </w:pPr>
    </w:p>
    <w:p w14:paraId="4BD95FF6">
      <w:pPr>
        <w:spacing w:before="120" w:line="360" w:lineRule="auto"/>
        <w:ind w:firstLine="2800" w:firstLineChars="1000"/>
        <w:rPr>
          <w:rFonts w:hint="eastAsia" w:ascii="宋体" w:hAnsi="宋体" w:eastAsia="宋体" w:cs="宋体"/>
          <w:bCs/>
          <w:color w:val="auto"/>
          <w:sz w:val="28"/>
          <w:szCs w:val="28"/>
          <w:highlight w:val="none"/>
        </w:rPr>
      </w:pPr>
      <w:bookmarkStart w:id="502" w:name="_Toc13607"/>
      <w:bookmarkStart w:id="503" w:name="_Toc18638"/>
      <w:bookmarkStart w:id="504" w:name="_Toc26076"/>
      <w:bookmarkStart w:id="505" w:name="_Toc16456"/>
      <w:bookmarkStart w:id="506" w:name="_Toc32273"/>
      <w:bookmarkStart w:id="507" w:name="_Toc22615"/>
      <w:bookmarkStart w:id="508" w:name="_Toc14706"/>
      <w:bookmarkStart w:id="509" w:name="_Toc30744"/>
      <w:bookmarkStart w:id="510" w:name="_Toc17388"/>
      <w:bookmarkStart w:id="511" w:name="_Toc18503"/>
      <w:bookmarkStart w:id="512" w:name="_Toc14442"/>
      <w:bookmarkStart w:id="513" w:name="_Toc8388"/>
      <w:bookmarkStart w:id="514" w:name="_Toc24913"/>
      <w:bookmarkStart w:id="515" w:name="_Toc28265"/>
      <w:bookmarkStart w:id="516" w:name="_Toc15553"/>
      <w:bookmarkStart w:id="517" w:name="_Toc25061"/>
      <w:bookmarkStart w:id="518" w:name="_Toc16044"/>
      <w:bookmarkStart w:id="519" w:name="_Toc9396"/>
      <w:r>
        <w:rPr>
          <w:rFonts w:hint="eastAsia" w:ascii="宋体" w:hAnsi="宋体" w:eastAsia="宋体" w:cs="宋体"/>
          <w:bCs/>
          <w:color w:val="auto"/>
          <w:sz w:val="28"/>
          <w:szCs w:val="28"/>
          <w:highlight w:val="none"/>
        </w:rPr>
        <w:t>合同编号：</w:t>
      </w:r>
      <w:bookmarkEnd w:id="480"/>
      <w:bookmarkEnd w:id="481"/>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        </w:t>
      </w:r>
    </w:p>
    <w:p w14:paraId="574239F1">
      <w:pPr>
        <w:spacing w:before="120" w:line="360" w:lineRule="auto"/>
        <w:jc w:val="center"/>
        <w:rPr>
          <w:rFonts w:hint="eastAsia" w:ascii="宋体" w:hAnsi="宋体" w:eastAsia="宋体" w:cs="宋体"/>
          <w:bCs/>
          <w:color w:val="auto"/>
          <w:sz w:val="48"/>
          <w:szCs w:val="48"/>
          <w:highlight w:val="none"/>
        </w:rPr>
      </w:pPr>
    </w:p>
    <w:p w14:paraId="719E9329">
      <w:pPr>
        <w:spacing w:line="570" w:lineRule="exact"/>
        <w:jc w:val="center"/>
        <w:rPr>
          <w:rFonts w:hint="eastAsia" w:ascii="宋体" w:hAnsi="宋体" w:eastAsia="宋体" w:cs="宋体"/>
          <w:bCs/>
          <w:color w:val="auto"/>
          <w:spacing w:val="208"/>
          <w:sz w:val="44"/>
          <w:szCs w:val="44"/>
          <w:highlight w:val="none"/>
        </w:rPr>
      </w:pPr>
    </w:p>
    <w:p w14:paraId="7A5B9652">
      <w:pPr>
        <w:pStyle w:val="6"/>
        <w:rPr>
          <w:rFonts w:hint="eastAsia" w:ascii="宋体" w:hAnsi="宋体" w:eastAsia="宋体" w:cs="宋体"/>
          <w:b w:val="0"/>
          <w:bCs/>
          <w:color w:val="auto"/>
          <w:spacing w:val="208"/>
          <w:sz w:val="44"/>
          <w:szCs w:val="44"/>
          <w:highlight w:val="none"/>
        </w:rPr>
      </w:pPr>
    </w:p>
    <w:p w14:paraId="123E46E7">
      <w:pPr>
        <w:rPr>
          <w:rFonts w:hint="eastAsia" w:ascii="宋体" w:hAnsi="宋体" w:eastAsia="宋体" w:cs="宋体"/>
          <w:bCs/>
          <w:color w:val="auto"/>
          <w:highlight w:val="none"/>
        </w:rPr>
      </w:pPr>
    </w:p>
    <w:p w14:paraId="46FCACD3">
      <w:pPr>
        <w:spacing w:line="570" w:lineRule="exact"/>
        <w:rPr>
          <w:rFonts w:hint="eastAsia" w:ascii="宋体" w:hAnsi="宋体" w:eastAsia="宋体" w:cs="宋体"/>
          <w:bCs/>
          <w:color w:val="auto"/>
          <w:sz w:val="32"/>
          <w:highlight w:val="none"/>
        </w:rPr>
      </w:pPr>
    </w:p>
    <w:p w14:paraId="6F6943D9">
      <w:pPr>
        <w:spacing w:line="570" w:lineRule="exact"/>
        <w:rPr>
          <w:rFonts w:hint="eastAsia" w:ascii="宋体" w:hAnsi="宋体" w:eastAsia="宋体" w:cs="宋体"/>
          <w:bCs/>
          <w:color w:val="auto"/>
          <w:sz w:val="32"/>
          <w:highlight w:val="none"/>
        </w:rPr>
      </w:pPr>
    </w:p>
    <w:p w14:paraId="34309ECE">
      <w:pPr>
        <w:spacing w:line="570" w:lineRule="exact"/>
        <w:rPr>
          <w:rFonts w:hint="eastAsia" w:ascii="宋体" w:hAnsi="宋体" w:eastAsia="宋体" w:cs="宋体"/>
          <w:bCs/>
          <w:color w:val="auto"/>
          <w:sz w:val="32"/>
          <w:highlight w:val="none"/>
        </w:rPr>
      </w:pPr>
    </w:p>
    <w:p w14:paraId="2605965B">
      <w:pPr>
        <w:spacing w:before="120" w:line="360" w:lineRule="auto"/>
        <w:ind w:left="9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采购项目名称：</w:t>
      </w:r>
      <w:r>
        <w:rPr>
          <w:rFonts w:hint="eastAsia" w:ascii="宋体" w:hAnsi="宋体" w:eastAsia="宋体" w:cs="宋体"/>
          <w:bCs/>
          <w:color w:val="auto"/>
          <w:sz w:val="28"/>
          <w:szCs w:val="28"/>
          <w:highlight w:val="none"/>
          <w:u w:val="single"/>
        </w:rPr>
        <w:t xml:space="preserve">                                   </w:t>
      </w:r>
    </w:p>
    <w:p w14:paraId="5B568C6E">
      <w:pPr>
        <w:spacing w:before="120" w:line="360" w:lineRule="auto"/>
        <w:ind w:left="9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采  购  人：</w:t>
      </w:r>
      <w:r>
        <w:rPr>
          <w:rFonts w:hint="eastAsia" w:ascii="宋体" w:hAnsi="宋体" w:eastAsia="宋体" w:cs="宋体"/>
          <w:bCs/>
          <w:color w:val="auto"/>
          <w:sz w:val="28"/>
          <w:szCs w:val="28"/>
          <w:highlight w:val="none"/>
          <w:u w:val="single"/>
        </w:rPr>
        <w:t xml:space="preserve">                                     </w:t>
      </w:r>
    </w:p>
    <w:p w14:paraId="6C3B7D0A">
      <w:pPr>
        <w:spacing w:before="120" w:line="360" w:lineRule="auto"/>
        <w:ind w:left="960"/>
        <w:rPr>
          <w:rFonts w:hint="eastAsia" w:ascii="宋体" w:hAnsi="宋体" w:eastAsia="宋体" w:cs="宋体"/>
          <w:bCs/>
          <w:color w:val="auto"/>
          <w:sz w:val="28"/>
          <w:szCs w:val="28"/>
          <w:highlight w:val="none"/>
          <w:u w:val="single"/>
        </w:rPr>
      </w:pPr>
      <w:r>
        <w:rPr>
          <w:rFonts w:hint="eastAsia" w:ascii="宋体" w:hAnsi="宋体" w:eastAsia="宋体" w:cs="宋体"/>
          <w:bCs/>
          <w:color w:val="auto"/>
          <w:sz w:val="28"/>
          <w:szCs w:val="28"/>
          <w:highlight w:val="none"/>
        </w:rPr>
        <w:t>供  应  商：</w:t>
      </w:r>
      <w:r>
        <w:rPr>
          <w:rFonts w:hint="eastAsia" w:ascii="宋体" w:hAnsi="宋体" w:eastAsia="宋体" w:cs="宋体"/>
          <w:bCs/>
          <w:color w:val="auto"/>
          <w:sz w:val="28"/>
          <w:szCs w:val="28"/>
          <w:highlight w:val="none"/>
          <w:u w:val="single"/>
        </w:rPr>
        <w:t xml:space="preserve">                                     </w:t>
      </w:r>
    </w:p>
    <w:p w14:paraId="1BFF1014">
      <w:pPr>
        <w:spacing w:line="360" w:lineRule="auto"/>
        <w:ind w:firstLine="977" w:firstLineChars="349"/>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8"/>
          <w:szCs w:val="28"/>
          <w:highlight w:val="none"/>
        </w:rPr>
        <w:t>签 署 日 期：</w:t>
      </w:r>
      <w:r>
        <w:rPr>
          <w:rFonts w:hint="eastAsia" w:ascii="宋体" w:hAnsi="宋体" w:eastAsia="宋体" w:cs="宋体"/>
          <w:bCs/>
          <w:color w:val="auto"/>
          <w:sz w:val="24"/>
          <w:szCs w:val="24"/>
          <w:highlight w:val="none"/>
          <w:u w:val="single"/>
        </w:rPr>
        <w:t xml:space="preserve">　　　　　　　　　　　　　             　 </w:t>
      </w:r>
    </w:p>
    <w:p w14:paraId="422FA314">
      <w:pPr>
        <w:spacing w:line="360" w:lineRule="auto"/>
        <w:rPr>
          <w:rFonts w:hint="eastAsia" w:ascii="宋体" w:hAnsi="宋体" w:eastAsia="宋体" w:cs="宋体"/>
          <w:bCs/>
          <w:color w:val="auto"/>
          <w:sz w:val="28"/>
          <w:szCs w:val="28"/>
          <w:highlight w:val="none"/>
        </w:rPr>
      </w:pPr>
    </w:p>
    <w:p w14:paraId="3923C6E5">
      <w:pPr>
        <w:spacing w:line="360" w:lineRule="auto"/>
        <w:ind w:firstLine="977" w:firstLineChars="349"/>
        <w:jc w:val="center"/>
        <w:rPr>
          <w:rFonts w:hint="eastAsia" w:ascii="宋体" w:hAnsi="宋体" w:eastAsia="宋体" w:cs="宋体"/>
          <w:bCs/>
          <w:color w:val="auto"/>
          <w:sz w:val="28"/>
          <w:szCs w:val="28"/>
          <w:highlight w:val="none"/>
        </w:rPr>
        <w:sectPr>
          <w:pgSz w:w="11906" w:h="16838"/>
          <w:pgMar w:top="1440" w:right="1080" w:bottom="1440" w:left="1080" w:header="851" w:footer="992" w:gutter="0"/>
          <w:pgNumType w:fmt="decimal"/>
          <w:cols w:space="720" w:num="1"/>
          <w:docGrid w:type="lines" w:linePitch="312" w:charSpace="0"/>
        </w:sectPr>
      </w:pPr>
      <w:r>
        <w:rPr>
          <w:rFonts w:hint="eastAsia" w:ascii="宋体" w:hAnsi="宋体" w:eastAsia="宋体" w:cs="宋体"/>
          <w:bCs/>
          <w:color w:val="auto"/>
          <w:sz w:val="28"/>
          <w:szCs w:val="28"/>
          <w:highlight w:val="none"/>
        </w:rPr>
        <w:t>年   月   日</w:t>
      </w:r>
    </w:p>
    <w:p w14:paraId="3EB969C0">
      <w:pPr>
        <w:adjustRightInd w:val="0"/>
        <w:snapToGrid w:val="0"/>
        <w:spacing w:line="5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采购人（全称）：</w:t>
      </w:r>
      <w:r>
        <w:rPr>
          <w:rFonts w:hint="eastAsia" w:ascii="宋体" w:hAnsi="宋体" w:eastAsia="宋体" w:cs="宋体"/>
          <w:bCs/>
          <w:color w:val="auto"/>
          <w:sz w:val="24"/>
          <w:highlight w:val="none"/>
          <w:u w:val="single"/>
        </w:rPr>
        <w:t xml:space="preserve">                                      </w:t>
      </w:r>
    </w:p>
    <w:p w14:paraId="7C392292">
      <w:pPr>
        <w:adjustRightInd w:val="0"/>
        <w:snapToGrid w:val="0"/>
        <w:spacing w:line="5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供应商（全称）：</w:t>
      </w:r>
      <w:r>
        <w:rPr>
          <w:rFonts w:hint="eastAsia" w:ascii="宋体" w:hAnsi="宋体" w:eastAsia="宋体" w:cs="宋体"/>
          <w:bCs/>
          <w:color w:val="auto"/>
          <w:sz w:val="24"/>
          <w:highlight w:val="none"/>
          <w:u w:val="single"/>
        </w:rPr>
        <w:t xml:space="preserve">                                      </w:t>
      </w:r>
    </w:p>
    <w:p w14:paraId="488283DE">
      <w:pPr>
        <w:adjustRightInd w:val="0"/>
        <w:snapToGrid w:val="0"/>
        <w:spacing w:line="580" w:lineRule="exact"/>
        <w:ind w:firstLine="480" w:firstLineChars="20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根据《中华人民共和国民法典》及其他有关法律、法规，遵循平等、自愿、公平和诚信的原则，双方就下述项目范围与相关服务事项协商一致，订立本合同。</w:t>
      </w:r>
    </w:p>
    <w:p w14:paraId="3D76E8A5">
      <w:pPr>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一、项目概况</w:t>
      </w:r>
    </w:p>
    <w:p w14:paraId="2C688D2A">
      <w:pPr>
        <w:adjustRightInd w:val="0"/>
        <w:snapToGrid w:val="0"/>
        <w:spacing w:line="580" w:lineRule="exact"/>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 项目名称：</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36BBD59B">
      <w:pPr>
        <w:adjustRightInd w:val="0"/>
        <w:snapToGrid w:val="0"/>
        <w:spacing w:line="580" w:lineRule="exact"/>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 项目地点：</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3F6414AE">
      <w:pPr>
        <w:adjustRightInd w:val="0"/>
        <w:snapToGrid w:val="0"/>
        <w:spacing w:line="580" w:lineRule="exact"/>
        <w:ind w:firstLine="475" w:firstLineChars="198"/>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 项目</w:t>
      </w:r>
      <w:r>
        <w:rPr>
          <w:rFonts w:hint="eastAsia" w:ascii="宋体" w:hAnsi="宋体" w:eastAsia="宋体" w:cs="宋体"/>
          <w:bCs/>
          <w:color w:val="auto"/>
          <w:kern w:val="0"/>
          <w:sz w:val="24"/>
          <w:highlight w:val="none"/>
        </w:rPr>
        <w:t>内容</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39774E78">
      <w:pPr>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二、组成本合同的文件</w:t>
      </w:r>
    </w:p>
    <w:p w14:paraId="2D0AFB92">
      <w:pPr>
        <w:adjustRightInd w:val="0"/>
        <w:snapToGrid w:val="0"/>
        <w:spacing w:line="580" w:lineRule="exact"/>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 协议书；</w:t>
      </w:r>
    </w:p>
    <w:p w14:paraId="10C4B8BD">
      <w:pPr>
        <w:adjustRightInd w:val="0"/>
        <w:snapToGrid w:val="0"/>
        <w:spacing w:line="580" w:lineRule="exact"/>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 谈判响应文件、澄清、成交通知书；</w:t>
      </w:r>
    </w:p>
    <w:p w14:paraId="51C507E7">
      <w:pPr>
        <w:adjustRightInd w:val="0"/>
        <w:snapToGrid w:val="0"/>
        <w:spacing w:line="5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 相关服务建议书；</w:t>
      </w:r>
    </w:p>
    <w:p w14:paraId="3E14822C">
      <w:pPr>
        <w:adjustRightInd w:val="0"/>
        <w:snapToGrid w:val="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4. 附录，即：附表内相关服务的范围和内容；</w:t>
      </w:r>
    </w:p>
    <w:p w14:paraId="4B4BDB55">
      <w:pPr>
        <w:adjustRightInd w:val="0"/>
        <w:snapToGrid w:val="0"/>
        <w:spacing w:line="580" w:lineRule="exact"/>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本合同签订后，双方依法签订的补充协议、备忘录也是本合同文件的组成部分。</w:t>
      </w:r>
    </w:p>
    <w:p w14:paraId="37F60A85">
      <w:pPr>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三、签约金额</w:t>
      </w:r>
    </w:p>
    <w:p w14:paraId="55E13AAD">
      <w:pPr>
        <w:adjustRightInd w:val="0"/>
        <w:snapToGrid w:val="0"/>
        <w:spacing w:line="580" w:lineRule="exact"/>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签约金额（大写）：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w:t>
      </w:r>
    </w:p>
    <w:p w14:paraId="26AB12C9">
      <w:pPr>
        <w:adjustRightInd w:val="0"/>
        <w:snapToGrid w:val="0"/>
        <w:spacing w:line="580" w:lineRule="exact"/>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合同单价一次包死，不受市场价变化或实际工作量变化的影响，合同价格为含税价，供应商（成交人）提供服务所发生的一切税（包括增值税）费等都已包含于合同价款中。</w:t>
      </w:r>
    </w:p>
    <w:p w14:paraId="277A448B">
      <w:pPr>
        <w:numPr>
          <w:ilvl w:val="0"/>
          <w:numId w:val="3"/>
        </w:numPr>
        <w:adjustRightInd w:val="0"/>
        <w:snapToGrid w:val="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结算方式：</w:t>
      </w:r>
    </w:p>
    <w:p w14:paraId="661C4525">
      <w:pPr>
        <w:adjustRightInd w:val="0"/>
        <w:snapToGrid w:val="0"/>
        <w:spacing w:line="5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（1）结算单位：由采购人以人民币负责结算，在付款前，供应商必须开具发票给采购人。</w:t>
      </w:r>
    </w:p>
    <w:p w14:paraId="1A344213">
      <w:pPr>
        <w:adjustRightInd w:val="0"/>
        <w:snapToGrid w:val="0"/>
        <w:spacing w:line="580" w:lineRule="exact"/>
        <w:ind w:firstLine="475" w:firstLineChars="198"/>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（2）</w:t>
      </w:r>
      <w:r>
        <w:rPr>
          <w:rFonts w:hint="eastAsia" w:ascii="宋体" w:hAnsi="宋体" w:eastAsia="宋体" w:cs="宋体"/>
          <w:bCs/>
          <w:color w:val="auto"/>
          <w:sz w:val="24"/>
          <w:szCs w:val="24"/>
          <w:highlight w:val="none"/>
        </w:rPr>
        <w:t>付款方式：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w:t>
      </w:r>
    </w:p>
    <w:p w14:paraId="24AAEEE4">
      <w:pPr>
        <w:adjustRightInd w:val="0"/>
        <w:snapToGrid w:val="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五、期限</w:t>
      </w:r>
    </w:p>
    <w:p w14:paraId="1EF14951">
      <w:pPr>
        <w:adjustRightInd w:val="0"/>
        <w:snapToGrid w:val="0"/>
        <w:spacing w:line="580" w:lineRule="exact"/>
        <w:ind w:firstLine="480" w:firstLineChars="200"/>
        <w:jc w:val="left"/>
        <w:rPr>
          <w:rFonts w:hint="eastAsia" w:ascii="宋体" w:hAnsi="宋体" w:eastAsia="宋体" w:cs="宋体"/>
          <w:bCs/>
          <w:color w:val="auto"/>
          <w:kern w:val="0"/>
          <w:sz w:val="24"/>
          <w:highlight w:val="none"/>
        </w:rPr>
      </w:pPr>
      <w:r>
        <w:rPr>
          <w:rFonts w:hint="eastAsia" w:ascii="宋体" w:hAnsi="宋体" w:eastAsia="宋体" w:cs="宋体"/>
          <w:bCs/>
          <w:color w:val="auto"/>
          <w:sz w:val="24"/>
          <w:szCs w:val="24"/>
          <w:highlight w:val="none"/>
        </w:rPr>
        <w:t>服务期：</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w:t>
      </w:r>
    </w:p>
    <w:p w14:paraId="1E3DE606">
      <w:pPr>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六、双方承诺</w:t>
      </w:r>
    </w:p>
    <w:p w14:paraId="57730B24">
      <w:pPr>
        <w:adjustRightInd w:val="0"/>
        <w:snapToGrid w:val="0"/>
        <w:spacing w:line="580" w:lineRule="exact"/>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 供应商向采购人承诺，按照本合同约定提供相关服务。</w:t>
      </w:r>
    </w:p>
    <w:p w14:paraId="023C5922">
      <w:pPr>
        <w:adjustRightInd w:val="0"/>
        <w:snapToGrid w:val="0"/>
        <w:spacing w:line="580" w:lineRule="exact"/>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 采购人向供应商承诺，按照本合同约定支付服务款项。</w:t>
      </w:r>
    </w:p>
    <w:p w14:paraId="364D6335">
      <w:pPr>
        <w:tabs>
          <w:tab w:val="left" w:pos="840"/>
        </w:tabs>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七、内容及要求：</w:t>
      </w:r>
    </w:p>
    <w:p w14:paraId="00EEAA4B">
      <w:pPr>
        <w:tabs>
          <w:tab w:val="left" w:pos="840"/>
        </w:tabs>
        <w:spacing w:line="5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即服务内容与谈判响应文件、成交通知书等所指明的，或者与本合同所指明的服务内容相一致。（附清单）</w:t>
      </w:r>
    </w:p>
    <w:p w14:paraId="655C8D8E">
      <w:pPr>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八、项目服务地点：采购人指定地点。</w:t>
      </w:r>
    </w:p>
    <w:p w14:paraId="01D3C704">
      <w:pPr>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九、</w:t>
      </w:r>
      <w:r>
        <w:rPr>
          <w:rFonts w:hint="eastAsia" w:ascii="宋体" w:hAnsi="宋体" w:eastAsia="宋体" w:cs="宋体"/>
          <w:bCs/>
          <w:color w:val="auto"/>
          <w:sz w:val="24"/>
          <w:szCs w:val="24"/>
          <w:highlight w:val="none"/>
        </w:rPr>
        <w:t>保密</w:t>
      </w:r>
    </w:p>
    <w:p w14:paraId="2C01DA00">
      <w:pPr>
        <w:spacing w:line="58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双方须对工作中了解到的使用单位技术、机密等进行严格保密，不得向他人泄漏。</w:t>
      </w:r>
    </w:p>
    <w:p w14:paraId="074D55D3">
      <w:pPr>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十、知识产权</w:t>
      </w:r>
    </w:p>
    <w:p w14:paraId="4EE3A933">
      <w:pPr>
        <w:spacing w:line="58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应保证投标产品及服务不会出现因第三方提出侵犯其专利权、商标权或其它知识产权而引发法律或经济纠纷，否则由供应商承担全部责任。任何被供应商用于未经授权的商业目的行为所造成的违约或侵权责任由供应商承但。</w:t>
      </w:r>
    </w:p>
    <w:p w14:paraId="32DBCC5D">
      <w:pPr>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十一、合同争议的解决：合同执行中发生争议的，当事人双方应协商解决，协商达不成一致时，可向采购人住所地有管辖权的人民法院提请诉讼。</w:t>
      </w:r>
    </w:p>
    <w:p w14:paraId="426B1922">
      <w:pPr>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十二、在发生不可抗力情况下的应对措施和解决办法。</w:t>
      </w:r>
    </w:p>
    <w:p w14:paraId="7B7A816A">
      <w:pPr>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十三、合同一经签订，不得擅自变更、中止或者终止合同。对确需变更、调整或者中止、终止合同的，应按规定履行相应的手续。</w:t>
      </w:r>
    </w:p>
    <w:p w14:paraId="17171A00">
      <w:pPr>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四、违约责任：依据《中华人民共和国民法典》、《中华人民共和国政府采购法》的相关条款和本合同约定，成交供应商未全面履行合同义务或者发生违约，采购单位会同代理机构有权终止合同，依法向成交供应商进行经济索赔，并报请政府采购监督管理机关进行相应的行政处罚。采购单位违约的，应当赔偿给成交供应商造成的经济损失。</w:t>
      </w:r>
    </w:p>
    <w:p w14:paraId="652C92BB">
      <w:pPr>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十五、验收</w:t>
      </w:r>
    </w:p>
    <w:p w14:paraId="39F30FB4">
      <w:pPr>
        <w:spacing w:line="580" w:lineRule="exact"/>
        <w:ind w:firstLine="480" w:firstLineChars="20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由采购人负责组织验收，或者邀请有关专家、质检机构、代理机构共同进行验收,验收费用由中标供应商支付；验收合格须交接项目实施的全部资料，并填写政府采购项目验收报告单。验收须以合同、招标文件及谈判响应文件、澄清、及国家相应的标准、规范等为依据。</w:t>
      </w:r>
    </w:p>
    <w:p w14:paraId="1BB072A0">
      <w:pPr>
        <w:spacing w:line="5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十六、其他（在合同中具体明确）</w:t>
      </w:r>
    </w:p>
    <w:p w14:paraId="1F2AE705">
      <w:pPr>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十七、合同订立</w:t>
      </w:r>
    </w:p>
    <w:p w14:paraId="2B54DED4">
      <w:pPr>
        <w:adjustRightInd w:val="0"/>
        <w:snapToGrid w:val="0"/>
        <w:spacing w:line="580" w:lineRule="exact"/>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 订立时间：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p w14:paraId="0554BE17">
      <w:pPr>
        <w:adjustRightInd w:val="0"/>
        <w:snapToGrid w:val="0"/>
        <w:spacing w:line="580" w:lineRule="exact"/>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 订立地点：</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7DC3455A">
      <w:pPr>
        <w:tabs>
          <w:tab w:val="left" w:pos="980"/>
        </w:tabs>
        <w:kinsoku w:val="0"/>
        <w:spacing w:line="580" w:lineRule="exact"/>
        <w:ind w:left="218" w:leftChars="104" w:firstLine="259" w:firstLineChars="10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 本合同一式</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份，具有同等法律效力，双方各执</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份，监管部门备案壹份、代理机构存档壹份。各方签字盖章后生效，合同执行完毕自动失效（合同的服务承诺则长期有效）。</w:t>
      </w:r>
    </w:p>
    <w:p w14:paraId="43895C3A">
      <w:pPr>
        <w:adjustRightInd w:val="0"/>
        <w:snapToGrid w:val="0"/>
        <w:spacing w:line="580" w:lineRule="exact"/>
        <w:ind w:firstLine="475" w:firstLineChars="198"/>
        <w:rPr>
          <w:rFonts w:hint="eastAsia" w:ascii="宋体" w:hAnsi="宋体" w:eastAsia="宋体" w:cs="宋体"/>
          <w:bCs/>
          <w:color w:val="auto"/>
          <w:sz w:val="24"/>
          <w:highlight w:val="none"/>
        </w:rPr>
      </w:pPr>
    </w:p>
    <w:p w14:paraId="6939C775">
      <w:pPr>
        <w:adjustRightInd w:val="0"/>
        <w:snapToGrid w:val="0"/>
        <w:spacing w:line="360" w:lineRule="auto"/>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采购人：</w:t>
      </w:r>
      <w:r>
        <w:rPr>
          <w:rFonts w:hint="eastAsia" w:ascii="宋体" w:hAnsi="宋体" w:eastAsia="宋体" w:cs="宋体"/>
          <w:bCs/>
          <w:color w:val="auto"/>
          <w:sz w:val="24"/>
          <w:highlight w:val="none"/>
          <w:u w:val="single"/>
        </w:rPr>
        <w:t xml:space="preserve">   （盖章）     </w:t>
      </w:r>
      <w:r>
        <w:rPr>
          <w:rFonts w:hint="eastAsia" w:ascii="宋体" w:hAnsi="宋体" w:eastAsia="宋体" w:cs="宋体"/>
          <w:bCs/>
          <w:color w:val="auto"/>
          <w:sz w:val="24"/>
          <w:highlight w:val="none"/>
        </w:rPr>
        <w:t xml:space="preserve">           供应商：</w:t>
      </w:r>
      <w:r>
        <w:rPr>
          <w:rFonts w:hint="eastAsia" w:ascii="宋体" w:hAnsi="宋体" w:eastAsia="宋体" w:cs="宋体"/>
          <w:bCs/>
          <w:color w:val="auto"/>
          <w:sz w:val="24"/>
          <w:highlight w:val="none"/>
          <w:u w:val="single"/>
        </w:rPr>
        <w:t xml:space="preserve">   （盖章）    </w:t>
      </w:r>
    </w:p>
    <w:p w14:paraId="57D2B4AE">
      <w:pPr>
        <w:adjustRightInd w:val="0"/>
        <w:snapToGrid w:val="0"/>
        <w:spacing w:line="360" w:lineRule="auto"/>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地址：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地址： </w:t>
      </w:r>
      <w:r>
        <w:rPr>
          <w:rFonts w:hint="eastAsia" w:ascii="宋体" w:hAnsi="宋体" w:eastAsia="宋体" w:cs="宋体"/>
          <w:bCs/>
          <w:color w:val="auto"/>
          <w:sz w:val="24"/>
          <w:highlight w:val="none"/>
          <w:u w:val="single"/>
        </w:rPr>
        <w:t xml:space="preserve">                      </w:t>
      </w:r>
    </w:p>
    <w:p w14:paraId="7654B3B3">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邮政编码：</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邮政编码：</w:t>
      </w:r>
      <w:r>
        <w:rPr>
          <w:rFonts w:hint="eastAsia" w:ascii="宋体" w:hAnsi="宋体" w:eastAsia="宋体" w:cs="宋体"/>
          <w:bCs/>
          <w:color w:val="auto"/>
          <w:sz w:val="24"/>
          <w:highlight w:val="none"/>
          <w:u w:val="single"/>
        </w:rPr>
        <w:t xml:space="preserve">                  </w:t>
      </w:r>
    </w:p>
    <w:p w14:paraId="68889565">
      <w:pPr>
        <w:adjustRightInd w:val="0"/>
        <w:snapToGrid w:val="0"/>
        <w:spacing w:line="360" w:lineRule="auto"/>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法定代表人或其授权                 法定代表人或其授权</w:t>
      </w:r>
    </w:p>
    <w:p w14:paraId="5693654A">
      <w:pPr>
        <w:adjustRightInd w:val="0"/>
        <w:snapToGrid w:val="0"/>
        <w:spacing w:line="360" w:lineRule="auto"/>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的代理人：</w:t>
      </w:r>
      <w:r>
        <w:rPr>
          <w:rFonts w:hint="eastAsia" w:ascii="宋体" w:hAnsi="宋体" w:eastAsia="宋体" w:cs="宋体"/>
          <w:bCs/>
          <w:color w:val="auto"/>
          <w:sz w:val="24"/>
          <w:highlight w:val="none"/>
          <w:u w:val="single"/>
        </w:rPr>
        <w:t xml:space="preserve">（签字）      </w:t>
      </w:r>
      <w:r>
        <w:rPr>
          <w:rFonts w:hint="eastAsia" w:ascii="宋体" w:hAnsi="宋体" w:eastAsia="宋体" w:cs="宋体"/>
          <w:bCs/>
          <w:color w:val="auto"/>
          <w:sz w:val="24"/>
          <w:highlight w:val="none"/>
        </w:rPr>
        <w:t xml:space="preserve">            的代理人：</w:t>
      </w:r>
      <w:r>
        <w:rPr>
          <w:rFonts w:hint="eastAsia" w:ascii="宋体" w:hAnsi="宋体" w:eastAsia="宋体" w:cs="宋体"/>
          <w:bCs/>
          <w:color w:val="auto"/>
          <w:sz w:val="24"/>
          <w:highlight w:val="none"/>
          <w:u w:val="single"/>
        </w:rPr>
        <w:t xml:space="preserve">（签字）          </w:t>
      </w:r>
    </w:p>
    <w:p w14:paraId="4BF9F029">
      <w:pPr>
        <w:adjustRightInd w:val="0"/>
        <w:snapToGrid w:val="0"/>
        <w:spacing w:line="360" w:lineRule="auto"/>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开户银行：</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开户银行：</w:t>
      </w:r>
      <w:r>
        <w:rPr>
          <w:rFonts w:hint="eastAsia" w:ascii="宋体" w:hAnsi="宋体" w:eastAsia="宋体" w:cs="宋体"/>
          <w:bCs/>
          <w:color w:val="auto"/>
          <w:sz w:val="24"/>
          <w:highlight w:val="none"/>
          <w:u w:val="single"/>
        </w:rPr>
        <w:t xml:space="preserve">                  </w:t>
      </w:r>
    </w:p>
    <w:p w14:paraId="554CEEF6">
      <w:pPr>
        <w:adjustRightInd w:val="0"/>
        <w:snapToGrid w:val="0"/>
        <w:spacing w:line="360" w:lineRule="auto"/>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账号：</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账号：</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p>
    <w:p w14:paraId="5D977848">
      <w:pPr>
        <w:adjustRightInd w:val="0"/>
        <w:snapToGrid w:val="0"/>
        <w:spacing w:line="360" w:lineRule="auto"/>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电话：</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电话：</w:t>
      </w:r>
      <w:r>
        <w:rPr>
          <w:rFonts w:hint="eastAsia" w:ascii="宋体" w:hAnsi="宋体" w:eastAsia="宋体" w:cs="宋体"/>
          <w:bCs/>
          <w:color w:val="auto"/>
          <w:sz w:val="24"/>
          <w:highlight w:val="none"/>
          <w:u w:val="single"/>
        </w:rPr>
        <w:t xml:space="preserve">                       </w:t>
      </w:r>
    </w:p>
    <w:p w14:paraId="08DF8600">
      <w:pPr>
        <w:adjustRightInd w:val="0"/>
        <w:snapToGrid w:val="0"/>
        <w:spacing w:line="360" w:lineRule="auto"/>
        <w:ind w:firstLine="475" w:firstLineChars="1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传真：</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传真：</w:t>
      </w:r>
      <w:r>
        <w:rPr>
          <w:rFonts w:hint="eastAsia" w:ascii="宋体" w:hAnsi="宋体" w:eastAsia="宋体" w:cs="宋体"/>
          <w:bCs/>
          <w:color w:val="auto"/>
          <w:sz w:val="24"/>
          <w:highlight w:val="none"/>
          <w:u w:val="single"/>
        </w:rPr>
        <w:t xml:space="preserve">                       </w:t>
      </w:r>
    </w:p>
    <w:p w14:paraId="19EBBB83">
      <w:pPr>
        <w:adjustRightInd w:val="0"/>
        <w:snapToGrid w:val="0"/>
        <w:spacing w:line="360" w:lineRule="auto"/>
        <w:ind w:firstLine="475" w:firstLineChars="198"/>
        <w:rPr>
          <w:rFonts w:hint="eastAsia" w:ascii="宋体" w:hAnsi="宋体" w:eastAsia="宋体" w:cs="宋体"/>
          <w:bCs/>
          <w:color w:val="auto"/>
          <w:sz w:val="24"/>
          <w:highlight w:val="none"/>
          <w:u w:val="single"/>
        </w:rPr>
        <w:sectPr>
          <w:footerReference r:id="rId10" w:type="default"/>
          <w:pgSz w:w="11906" w:h="16838"/>
          <w:pgMar w:top="1440" w:right="1080" w:bottom="1440" w:left="1080" w:header="851" w:footer="992" w:gutter="0"/>
          <w:pgNumType w:fmt="decimal"/>
          <w:cols w:space="720" w:num="1"/>
          <w:docGrid w:type="lines" w:linePitch="312" w:charSpace="0"/>
        </w:sectPr>
      </w:pPr>
      <w:r>
        <w:rPr>
          <w:rFonts w:hint="eastAsia" w:ascii="宋体" w:hAnsi="宋体" w:eastAsia="宋体" w:cs="宋体"/>
          <w:bCs/>
          <w:color w:val="auto"/>
          <w:sz w:val="24"/>
          <w:highlight w:val="none"/>
        </w:rPr>
        <w:t>电子邮箱：</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电子邮箱：</w:t>
      </w:r>
      <w:r>
        <w:rPr>
          <w:rFonts w:hint="eastAsia" w:ascii="宋体" w:hAnsi="宋体" w:eastAsia="宋体" w:cs="宋体"/>
          <w:bCs/>
          <w:color w:val="auto"/>
          <w:sz w:val="24"/>
          <w:highlight w:val="none"/>
          <w:u w:val="single"/>
        </w:rPr>
        <w:t xml:space="preserve">                    </w:t>
      </w:r>
    </w:p>
    <w:p w14:paraId="077DA6AB">
      <w:pPr>
        <w:pStyle w:val="2"/>
        <w:numPr>
          <w:ilvl w:val="0"/>
          <w:numId w:val="4"/>
        </w:numPr>
        <w:spacing w:line="240" w:lineRule="auto"/>
        <w:jc w:val="center"/>
        <w:rPr>
          <w:rFonts w:hint="eastAsia" w:ascii="宋体" w:hAnsi="宋体" w:eastAsia="宋体" w:cs="宋体"/>
          <w:b w:val="0"/>
          <w:bCs/>
          <w:color w:val="auto"/>
          <w:sz w:val="32"/>
          <w:szCs w:val="32"/>
          <w:highlight w:val="none"/>
        </w:rPr>
        <w:sectPr>
          <w:headerReference r:id="rId12" w:type="first"/>
          <w:footerReference r:id="rId14" w:type="first"/>
          <w:headerReference r:id="rId11" w:type="default"/>
          <w:footerReference r:id="rId13" w:type="default"/>
          <w:footnotePr>
            <w:pos w:val="beneathText"/>
          </w:footnotePr>
          <w:type w:val="continuous"/>
          <w:pgSz w:w="11906" w:h="16838"/>
          <w:pgMar w:top="1440" w:right="1080" w:bottom="1440" w:left="1080" w:header="454" w:footer="397" w:gutter="0"/>
          <w:pgNumType w:fmt="decimal"/>
          <w:cols w:space="720" w:num="1"/>
          <w:titlePg/>
          <w:docGrid w:type="lines" w:linePitch="312" w:charSpace="0"/>
        </w:sectPr>
      </w:pPr>
    </w:p>
    <w:p w14:paraId="43F38EDA">
      <w:pPr>
        <w:pStyle w:val="2"/>
        <w:spacing w:line="240" w:lineRule="auto"/>
        <w:jc w:val="center"/>
        <w:rPr>
          <w:rFonts w:hint="eastAsia" w:ascii="宋体" w:hAnsi="宋体" w:eastAsia="宋体" w:cs="宋体"/>
          <w:b w:val="0"/>
          <w:bCs/>
          <w:color w:val="auto"/>
          <w:sz w:val="40"/>
          <w:szCs w:val="18"/>
          <w:highlight w:val="none"/>
        </w:rPr>
      </w:pPr>
      <w:bookmarkStart w:id="520" w:name="_Toc12983"/>
      <w:r>
        <w:rPr>
          <w:rFonts w:hint="eastAsia" w:ascii="宋体" w:hAnsi="宋体" w:eastAsia="宋体" w:cs="宋体"/>
          <w:b w:val="0"/>
          <w:bCs/>
          <w:color w:val="auto"/>
          <w:sz w:val="40"/>
          <w:szCs w:val="18"/>
          <w:highlight w:val="none"/>
          <w:lang w:val="en-US" w:eastAsia="zh-CN"/>
        </w:rPr>
        <w:t>第五部分</w:t>
      </w:r>
      <w:r>
        <w:rPr>
          <w:rFonts w:hint="eastAsia" w:ascii="宋体" w:hAnsi="宋体" w:eastAsia="宋体" w:cs="宋体"/>
          <w:b w:val="0"/>
          <w:bCs/>
          <w:color w:val="auto"/>
          <w:sz w:val="40"/>
          <w:szCs w:val="18"/>
          <w:highlight w:val="none"/>
        </w:rPr>
        <w:t xml:space="preserve"> </w:t>
      </w:r>
      <w:bookmarkStart w:id="521" w:name="_Toc28905"/>
      <w:bookmarkStart w:id="522" w:name="_Toc11555"/>
      <w:r>
        <w:rPr>
          <w:rFonts w:hint="eastAsia" w:ascii="宋体" w:hAnsi="宋体" w:eastAsia="宋体" w:cs="宋体"/>
          <w:b w:val="0"/>
          <w:bCs/>
          <w:color w:val="auto"/>
          <w:sz w:val="40"/>
          <w:szCs w:val="18"/>
          <w:highlight w:val="none"/>
        </w:rPr>
        <w:t>商务要求</w:t>
      </w:r>
      <w:bookmarkEnd w:id="477"/>
      <w:bookmarkEnd w:id="520"/>
      <w:bookmarkEnd w:id="521"/>
      <w:bookmarkEnd w:id="522"/>
    </w:p>
    <w:tbl>
      <w:tblPr>
        <w:tblStyle w:val="24"/>
        <w:tblW w:w="96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8706"/>
      </w:tblGrid>
      <w:tr w14:paraId="3C2D9D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993" w:type="dxa"/>
            <w:noWrap w:val="0"/>
            <w:vAlign w:val="center"/>
          </w:tcPr>
          <w:p w14:paraId="1373B53D">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条款号</w:t>
            </w:r>
          </w:p>
        </w:tc>
        <w:tc>
          <w:tcPr>
            <w:tcW w:w="8706" w:type="dxa"/>
            <w:noWrap w:val="0"/>
            <w:vAlign w:val="center"/>
          </w:tcPr>
          <w:p w14:paraId="15BABF2B">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      容</w:t>
            </w:r>
          </w:p>
        </w:tc>
      </w:tr>
      <w:tr w14:paraId="459426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175" w:hRule="atLeast"/>
          <w:jc w:val="center"/>
        </w:trPr>
        <w:tc>
          <w:tcPr>
            <w:tcW w:w="993" w:type="dxa"/>
            <w:noWrap w:val="0"/>
            <w:vAlign w:val="center"/>
          </w:tcPr>
          <w:p w14:paraId="66151CC5">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8706" w:type="dxa"/>
            <w:noWrap w:val="0"/>
            <w:vAlign w:val="center"/>
          </w:tcPr>
          <w:p w14:paraId="1941A359">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采购人名称：</w:t>
            </w:r>
            <w:r>
              <w:rPr>
                <w:rFonts w:hint="eastAsia" w:ascii="宋体" w:hAnsi="宋体" w:eastAsia="宋体" w:cs="宋体"/>
                <w:bCs/>
                <w:color w:val="auto"/>
                <w:sz w:val="24"/>
                <w:szCs w:val="24"/>
                <w:highlight w:val="none"/>
                <w:lang w:eastAsia="zh-CN"/>
              </w:rPr>
              <w:t>绥德县民政局</w:t>
            </w:r>
          </w:p>
          <w:p w14:paraId="6F489852">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地    址：</w:t>
            </w:r>
            <w:r>
              <w:rPr>
                <w:rFonts w:hint="eastAsia" w:ascii="宋体" w:hAnsi="宋体" w:eastAsia="宋体" w:cs="宋体"/>
                <w:bCs/>
                <w:color w:val="auto"/>
                <w:sz w:val="24"/>
                <w:szCs w:val="24"/>
                <w:highlight w:val="none"/>
                <w:lang w:eastAsia="zh-CN"/>
              </w:rPr>
              <w:t>绥德县名州镇小街4号</w:t>
            </w:r>
          </w:p>
          <w:p w14:paraId="701F9276">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项目名称：</w:t>
            </w:r>
            <w:r>
              <w:rPr>
                <w:rFonts w:hint="eastAsia" w:ascii="宋体" w:hAnsi="宋体" w:cs="宋体"/>
                <w:bCs/>
                <w:color w:val="auto"/>
                <w:sz w:val="24"/>
                <w:szCs w:val="24"/>
                <w:highlight w:val="none"/>
                <w:lang w:eastAsia="zh-CN"/>
              </w:rPr>
              <w:t>绥德县城市公益性公墓殡仪馆建设项目岩土工程勘察服务采购(二次)</w:t>
            </w:r>
          </w:p>
          <w:p w14:paraId="014F209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资金来源：财政资金</w:t>
            </w:r>
          </w:p>
        </w:tc>
      </w:tr>
      <w:tr w14:paraId="755635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8" w:hRule="atLeast"/>
          <w:jc w:val="center"/>
        </w:trPr>
        <w:tc>
          <w:tcPr>
            <w:tcW w:w="993" w:type="dxa"/>
            <w:noWrap w:val="0"/>
            <w:vAlign w:val="center"/>
          </w:tcPr>
          <w:p w14:paraId="610A10A2">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8706" w:type="dxa"/>
            <w:noWrap w:val="0"/>
            <w:vAlign w:val="center"/>
          </w:tcPr>
          <w:p w14:paraId="12CE1976">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服务地点：</w:t>
            </w:r>
            <w:r>
              <w:rPr>
                <w:rFonts w:hint="eastAsia" w:ascii="宋体" w:hAnsi="宋体" w:eastAsia="宋体" w:cs="宋体"/>
                <w:bCs/>
                <w:color w:val="auto"/>
                <w:sz w:val="24"/>
                <w:highlight w:val="none"/>
              </w:rPr>
              <w:t>采购人指定地点</w:t>
            </w:r>
          </w:p>
        </w:tc>
      </w:tr>
      <w:tr w14:paraId="5D8498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jc w:val="center"/>
        </w:trPr>
        <w:tc>
          <w:tcPr>
            <w:tcW w:w="993" w:type="dxa"/>
            <w:noWrap w:val="0"/>
            <w:vAlign w:val="center"/>
          </w:tcPr>
          <w:p w14:paraId="5D91728C">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p>
        </w:tc>
        <w:tc>
          <w:tcPr>
            <w:tcW w:w="8706" w:type="dxa"/>
            <w:noWrap w:val="0"/>
            <w:vAlign w:val="center"/>
          </w:tcPr>
          <w:p w14:paraId="54BF5998">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服务期：</w:t>
            </w:r>
            <w:r>
              <w:rPr>
                <w:rFonts w:hint="eastAsia" w:ascii="宋体" w:hAnsi="宋体" w:eastAsia="宋体" w:cs="宋体"/>
                <w:bCs/>
                <w:color w:val="auto"/>
                <w:sz w:val="24"/>
                <w:szCs w:val="24"/>
                <w:highlight w:val="none"/>
                <w:lang w:eastAsia="zh-CN"/>
              </w:rPr>
              <w:t>合同签订后20天</w:t>
            </w:r>
          </w:p>
        </w:tc>
      </w:tr>
      <w:tr w14:paraId="3EEA0F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711" w:hRule="atLeast"/>
          <w:jc w:val="center"/>
        </w:trPr>
        <w:tc>
          <w:tcPr>
            <w:tcW w:w="993" w:type="dxa"/>
            <w:noWrap w:val="0"/>
            <w:vAlign w:val="center"/>
          </w:tcPr>
          <w:p w14:paraId="5FBAC4D5">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p>
        </w:tc>
        <w:tc>
          <w:tcPr>
            <w:tcW w:w="8706" w:type="dxa"/>
            <w:noWrap w:val="0"/>
            <w:vAlign w:val="center"/>
          </w:tcPr>
          <w:p w14:paraId="3A054C81">
            <w:pPr>
              <w:numPr>
                <w:ilvl w:val="0"/>
                <w:numId w:val="5"/>
              </w:num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投标报价包含完成本次投标项目所包含的一切相关费用。</w:t>
            </w:r>
          </w:p>
          <w:p w14:paraId="7F27554F">
            <w:pPr>
              <w:numPr>
                <w:ilvl w:val="0"/>
                <w:numId w:val="5"/>
              </w:num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合同总价一次包死，不受市场价变化的影响。</w:t>
            </w:r>
          </w:p>
          <w:p w14:paraId="52E43AC4">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付款方式：</w:t>
            </w:r>
            <w:r>
              <w:rPr>
                <w:rFonts w:hint="eastAsia" w:ascii="宋体" w:hAnsi="宋体" w:eastAsia="宋体" w:cs="宋体"/>
                <w:bCs/>
                <w:color w:val="auto"/>
                <w:sz w:val="24"/>
                <w:szCs w:val="24"/>
                <w:highlight w:val="none"/>
                <w:lang w:eastAsia="zh-CN"/>
              </w:rPr>
              <w:t>合同签订后支付合同总价款的40%作为预付款，项目全部完成并提通过相关验收后支付合同总价款的60%。</w:t>
            </w:r>
          </w:p>
          <w:p w14:paraId="7166740C">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4.结算方式：按照国库集中支付有关规定执行，发票开采购人。</w:t>
            </w:r>
          </w:p>
        </w:tc>
      </w:tr>
      <w:tr w14:paraId="236569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413" w:hRule="atLeast"/>
          <w:jc w:val="center"/>
        </w:trPr>
        <w:tc>
          <w:tcPr>
            <w:tcW w:w="993" w:type="dxa"/>
            <w:noWrap w:val="0"/>
            <w:vAlign w:val="center"/>
          </w:tcPr>
          <w:p w14:paraId="2573EB1B">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p>
        </w:tc>
        <w:tc>
          <w:tcPr>
            <w:tcW w:w="8706" w:type="dxa"/>
            <w:noWrap w:val="0"/>
            <w:vAlign w:val="center"/>
          </w:tcPr>
          <w:p w14:paraId="6E687973">
            <w:pPr>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验收：采购人应当在供应商提出验收申请之日起10个工作日内完成验收。验收合格且满足合同约定支付条件的，采购人应当自交付之日起30日内支付款项，合同另有约定的，付款期限最长不得超过60日。不得以任何不合理理由延迟和付款，不得将招标文件和合同中未规定的义务作为验收和付款条件。</w:t>
            </w:r>
          </w:p>
        </w:tc>
      </w:tr>
      <w:tr w14:paraId="3123C1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27" w:hRule="atLeast"/>
          <w:jc w:val="center"/>
        </w:trPr>
        <w:tc>
          <w:tcPr>
            <w:tcW w:w="993" w:type="dxa"/>
            <w:noWrap w:val="0"/>
            <w:vAlign w:val="center"/>
          </w:tcPr>
          <w:p w14:paraId="6983C34D">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w:t>
            </w:r>
          </w:p>
        </w:tc>
        <w:tc>
          <w:tcPr>
            <w:tcW w:w="8706" w:type="dxa"/>
            <w:noWrap w:val="0"/>
            <w:vAlign w:val="center"/>
          </w:tcPr>
          <w:p w14:paraId="2433A660">
            <w:pPr>
              <w:spacing w:line="520" w:lineRule="exact"/>
              <w:rPr>
                <w:rFonts w:hint="eastAsia" w:ascii="宋体" w:hAnsi="宋体" w:eastAsia="宋体" w:cs="宋体"/>
                <w:bCs/>
                <w:color w:val="auto"/>
                <w:kern w:val="0"/>
                <w:sz w:val="24"/>
                <w:highlight w:val="none"/>
              </w:rPr>
            </w:pPr>
            <w:r>
              <w:rPr>
                <w:rFonts w:hint="eastAsia" w:ascii="宋体" w:hAnsi="宋体" w:eastAsia="宋体" w:cs="宋体"/>
                <w:bCs/>
                <w:color w:val="auto"/>
                <w:sz w:val="24"/>
                <w:szCs w:val="24"/>
                <w:highlight w:val="none"/>
              </w:rPr>
              <w:t>供应商</w:t>
            </w:r>
            <w:r>
              <w:rPr>
                <w:rFonts w:hint="eastAsia" w:ascii="宋体" w:hAnsi="宋体" w:eastAsia="宋体" w:cs="宋体"/>
                <w:bCs/>
                <w:color w:val="auto"/>
                <w:kern w:val="0"/>
                <w:sz w:val="24"/>
                <w:highlight w:val="none"/>
              </w:rPr>
              <w:t>提供的</w:t>
            </w:r>
            <w:r>
              <w:rPr>
                <w:rFonts w:hint="eastAsia" w:ascii="宋体" w:hAnsi="宋体" w:eastAsia="宋体" w:cs="宋体"/>
                <w:bCs/>
                <w:color w:val="auto"/>
                <w:sz w:val="24"/>
                <w:szCs w:val="24"/>
                <w:highlight w:val="none"/>
              </w:rPr>
              <w:t>服务</w:t>
            </w:r>
            <w:r>
              <w:rPr>
                <w:rFonts w:hint="eastAsia" w:ascii="宋体" w:hAnsi="宋体" w:eastAsia="宋体" w:cs="宋体"/>
                <w:bCs/>
                <w:color w:val="auto"/>
                <w:kern w:val="0"/>
                <w:sz w:val="24"/>
                <w:highlight w:val="none"/>
              </w:rPr>
              <w:t>必须保证质量可靠，应全面满足谈判文件的要求。</w:t>
            </w:r>
          </w:p>
        </w:tc>
      </w:tr>
      <w:tr w14:paraId="071080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40" w:hRule="atLeast"/>
          <w:jc w:val="center"/>
        </w:trPr>
        <w:tc>
          <w:tcPr>
            <w:tcW w:w="993" w:type="dxa"/>
            <w:noWrap w:val="0"/>
            <w:vAlign w:val="center"/>
          </w:tcPr>
          <w:p w14:paraId="2DE340D6">
            <w:pPr>
              <w:pStyle w:val="11"/>
              <w:spacing w:line="360" w:lineRule="auto"/>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7</w:t>
            </w:r>
          </w:p>
        </w:tc>
        <w:tc>
          <w:tcPr>
            <w:tcW w:w="8706" w:type="dxa"/>
            <w:noWrap w:val="0"/>
            <w:vAlign w:val="center"/>
          </w:tcPr>
          <w:p w14:paraId="3591BB6B">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违约责任：</w:t>
            </w:r>
          </w:p>
          <w:p w14:paraId="69C18E1B">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按《民法典》中的相关条款执行。</w:t>
            </w:r>
          </w:p>
          <w:p w14:paraId="02B9BA91">
            <w:pPr>
              <w:tabs>
                <w:tab w:val="left" w:pos="152"/>
              </w:tabs>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未按合同或谈判文件要求提服务或供应的服务质量不能满足采购人技术要求，采购单位有权单方终止合同，甚至对供应商违约行为进行追究。</w:t>
            </w:r>
          </w:p>
        </w:tc>
      </w:tr>
      <w:bookmarkEnd w:id="457"/>
      <w:bookmarkEnd w:id="458"/>
      <w:bookmarkEnd w:id="459"/>
      <w:bookmarkEnd w:id="460"/>
      <w:bookmarkEnd w:id="461"/>
      <w:bookmarkEnd w:id="462"/>
      <w:bookmarkEnd w:id="463"/>
      <w:bookmarkEnd w:id="464"/>
    </w:tbl>
    <w:p w14:paraId="66AD8AE6">
      <w:pPr>
        <w:pStyle w:val="2"/>
        <w:numPr>
          <w:ilvl w:val="0"/>
          <w:numId w:val="6"/>
        </w:numPr>
        <w:spacing w:line="240" w:lineRule="auto"/>
        <w:jc w:val="center"/>
        <w:rPr>
          <w:rFonts w:hint="eastAsia" w:ascii="宋体" w:hAnsi="宋体" w:eastAsia="宋体" w:cs="宋体"/>
          <w:b w:val="0"/>
          <w:bCs/>
          <w:color w:val="auto"/>
          <w:sz w:val="40"/>
          <w:szCs w:val="18"/>
          <w:highlight w:val="none"/>
        </w:rPr>
        <w:sectPr>
          <w:footnotePr>
            <w:pos w:val="beneathText"/>
          </w:footnotePr>
          <w:pgSz w:w="11906" w:h="16838"/>
          <w:pgMar w:top="1440" w:right="1080" w:bottom="1440" w:left="1080" w:header="567" w:footer="1134" w:gutter="0"/>
          <w:pgNumType w:fmt="decimal"/>
          <w:cols w:space="720" w:num="1"/>
          <w:titlePg/>
          <w:docGrid w:type="lines" w:linePitch="312" w:charSpace="0"/>
        </w:sectPr>
      </w:pPr>
      <w:bookmarkStart w:id="523" w:name="_Toc8664"/>
      <w:bookmarkStart w:id="524" w:name="_Toc128557264"/>
      <w:bookmarkStart w:id="525" w:name="_Toc389620244"/>
      <w:bookmarkStart w:id="526" w:name="_Toc497712137"/>
      <w:bookmarkStart w:id="527" w:name="_Toc497551824"/>
      <w:bookmarkStart w:id="528" w:name="_Toc465958129"/>
      <w:bookmarkStart w:id="529" w:name="_Toc497546922"/>
      <w:bookmarkStart w:id="530" w:name="_Toc246928961"/>
      <w:bookmarkStart w:id="531" w:name="_Toc246928962"/>
      <w:bookmarkStart w:id="532" w:name="_Toc492955463"/>
      <w:bookmarkStart w:id="533" w:name="_Toc497711589"/>
      <w:bookmarkStart w:id="534" w:name="_Toc385992404"/>
    </w:p>
    <w:p w14:paraId="0210628C">
      <w:pPr>
        <w:pStyle w:val="2"/>
        <w:spacing w:line="240" w:lineRule="auto"/>
        <w:jc w:val="center"/>
        <w:rPr>
          <w:rFonts w:hint="eastAsia" w:ascii="宋体" w:hAnsi="宋体" w:eastAsia="宋体" w:cs="宋体"/>
          <w:b w:val="0"/>
          <w:bCs/>
          <w:color w:val="auto"/>
          <w:sz w:val="40"/>
          <w:szCs w:val="18"/>
          <w:highlight w:val="none"/>
        </w:rPr>
      </w:pPr>
      <w:bookmarkStart w:id="535" w:name="_Toc23559"/>
      <w:r>
        <w:rPr>
          <w:rFonts w:hint="eastAsia" w:ascii="宋体" w:hAnsi="宋体" w:eastAsia="宋体" w:cs="宋体"/>
          <w:b w:val="0"/>
          <w:bCs/>
          <w:color w:val="auto"/>
          <w:sz w:val="40"/>
          <w:szCs w:val="18"/>
          <w:highlight w:val="none"/>
          <w:lang w:val="en-US" w:eastAsia="zh-CN"/>
        </w:rPr>
        <w:t xml:space="preserve">第六部分 </w:t>
      </w:r>
      <w:bookmarkStart w:id="536" w:name="_Toc1449"/>
      <w:bookmarkStart w:id="537" w:name="_Toc30505"/>
      <w:r>
        <w:rPr>
          <w:rFonts w:hint="eastAsia" w:ascii="宋体" w:hAnsi="宋体" w:eastAsia="宋体" w:cs="宋体"/>
          <w:b w:val="0"/>
          <w:bCs/>
          <w:color w:val="auto"/>
          <w:sz w:val="40"/>
          <w:szCs w:val="18"/>
          <w:highlight w:val="none"/>
        </w:rPr>
        <w:t>采购内容及</w:t>
      </w:r>
      <w:r>
        <w:rPr>
          <w:rFonts w:hint="eastAsia" w:ascii="宋体" w:hAnsi="宋体" w:eastAsia="宋体" w:cs="宋体"/>
          <w:b w:val="0"/>
          <w:bCs/>
          <w:color w:val="auto"/>
          <w:sz w:val="40"/>
          <w:szCs w:val="18"/>
          <w:highlight w:val="none"/>
          <w:lang w:val="en-US" w:eastAsia="zh-CN"/>
        </w:rPr>
        <w:t>技术</w:t>
      </w:r>
      <w:r>
        <w:rPr>
          <w:rFonts w:hint="eastAsia" w:ascii="宋体" w:hAnsi="宋体" w:eastAsia="宋体" w:cs="宋体"/>
          <w:b w:val="0"/>
          <w:bCs/>
          <w:color w:val="auto"/>
          <w:sz w:val="40"/>
          <w:szCs w:val="18"/>
          <w:highlight w:val="none"/>
        </w:rPr>
        <w:t>要求</w:t>
      </w:r>
      <w:bookmarkEnd w:id="535"/>
      <w:bookmarkEnd w:id="536"/>
      <w:bookmarkEnd w:id="537"/>
    </w:p>
    <w:p w14:paraId="7CE35BF3">
      <w:pPr>
        <w:keepNext w:val="0"/>
        <w:keepLines w:val="0"/>
        <w:pageBreakBefore w:val="0"/>
        <w:widowControl/>
        <w:shd w:val="clear" w:color="auto" w:fill="FFFFFF"/>
        <w:kinsoku/>
        <w:wordWrap/>
        <w:overflowPunct/>
        <w:topLinePunct w:val="0"/>
        <w:autoSpaceDE/>
        <w:autoSpaceDN/>
        <w:bidi w:val="0"/>
        <w:adjustRightInd w:val="0"/>
        <w:snapToGrid w:val="0"/>
        <w:spacing w:line="360" w:lineRule="auto"/>
        <w:textAlignment w:val="auto"/>
        <w:rPr>
          <w:rFonts w:hint="eastAsia" w:ascii="宋体" w:hAnsi="宋体" w:eastAsia="宋体" w:cs="宋体"/>
          <w:b/>
          <w:color w:val="auto"/>
          <w:sz w:val="28"/>
          <w:szCs w:val="28"/>
        </w:rPr>
      </w:pPr>
      <w:bookmarkStart w:id="538" w:name="_Toc18965"/>
      <w:bookmarkStart w:id="539" w:name="_Toc1400"/>
      <w:r>
        <w:rPr>
          <w:rFonts w:hint="eastAsia" w:ascii="宋体" w:hAnsi="宋体" w:eastAsia="宋体" w:cs="宋体"/>
          <w:b/>
          <w:color w:val="auto"/>
          <w:sz w:val="28"/>
          <w:szCs w:val="28"/>
        </w:rPr>
        <w:t>一、基本情况</w:t>
      </w:r>
    </w:p>
    <w:p w14:paraId="0A6FB7B4">
      <w:pPr>
        <w:keepNext w:val="0"/>
        <w:keepLines w:val="0"/>
        <w:pageBreakBefore w:val="0"/>
        <w:widowControl/>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（一）项目名称：殡仪馆建设项目</w:t>
      </w:r>
      <w:r>
        <w:rPr>
          <w:rFonts w:hint="eastAsia" w:ascii="宋体" w:hAnsi="宋体" w:eastAsia="宋体" w:cs="宋体"/>
          <w:color w:val="auto"/>
          <w:sz w:val="28"/>
          <w:szCs w:val="28"/>
          <w:lang w:val="en-US" w:eastAsia="zh-CN"/>
        </w:rPr>
        <w:t>岩土工程勘察</w:t>
      </w:r>
    </w:p>
    <w:p w14:paraId="4A5EA4E0">
      <w:pPr>
        <w:keepNext w:val="0"/>
        <w:keepLines w:val="0"/>
        <w:pageBreakBefore w:val="0"/>
        <w:widowControl/>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建设地址：绥德县张家砭镇马家坬村（蒲家圪崂自然村）</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田庄镇紫柏湾村</w:t>
      </w:r>
      <w:r>
        <w:rPr>
          <w:rFonts w:hint="eastAsia" w:ascii="宋体" w:hAnsi="宋体" w:eastAsia="宋体" w:cs="宋体"/>
          <w:color w:val="auto"/>
          <w:sz w:val="28"/>
          <w:szCs w:val="28"/>
          <w:lang w:eastAsia="zh-CN"/>
        </w:rPr>
        <w:t>。</w:t>
      </w:r>
    </w:p>
    <w:p w14:paraId="5F969C5F">
      <w:pPr>
        <w:keepNext w:val="0"/>
        <w:keepLines w:val="0"/>
        <w:pageBreakBefore w:val="0"/>
        <w:widowControl/>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工程规模：</w:t>
      </w:r>
      <w:r>
        <w:rPr>
          <w:rFonts w:hint="eastAsia" w:ascii="宋体" w:hAnsi="宋体" w:eastAsia="宋体" w:cs="宋体"/>
          <w:color w:val="auto"/>
          <w:sz w:val="28"/>
          <w:szCs w:val="28"/>
          <w:lang w:val="en-US" w:eastAsia="zh-CN"/>
        </w:rPr>
        <w:t>项目总投资9200万，</w:t>
      </w:r>
      <w:r>
        <w:rPr>
          <w:rFonts w:hint="eastAsia" w:ascii="宋体" w:hAnsi="宋体" w:eastAsia="宋体" w:cs="宋体"/>
          <w:color w:val="auto"/>
          <w:sz w:val="28"/>
          <w:szCs w:val="28"/>
        </w:rPr>
        <w:t>殡仪馆项目计划永久用地面积约26705㎡（约40.05亩），总建筑面积为</w:t>
      </w:r>
      <w:r>
        <w:rPr>
          <w:rFonts w:hint="eastAsia" w:ascii="宋体" w:hAnsi="宋体" w:eastAsia="宋体" w:cs="宋体"/>
          <w:color w:val="auto"/>
          <w:sz w:val="28"/>
          <w:szCs w:val="28"/>
          <w:lang w:val="en-US" w:eastAsia="zh-CN"/>
        </w:rPr>
        <w:t>6999</w:t>
      </w:r>
      <w:r>
        <w:rPr>
          <w:rFonts w:hint="eastAsia" w:ascii="宋体" w:hAnsi="宋体" w:eastAsia="宋体" w:cs="宋体"/>
          <w:color w:val="auto"/>
          <w:sz w:val="28"/>
          <w:szCs w:val="28"/>
        </w:rPr>
        <w:t>㎡平方米，计划使用临时用地面积20423㎡（约30.63亩）</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其中：停车场1处、办公生活区1处（办公室、会议室、餐厅、住宿、超市、公共卫生间）、接待大厅1处、吊唁大厅1个、吊唁小厅1个、吊唁小院8个、遗体处理1处、火化区1处、骨灰堂1处，配备2台火化设施以及公共绿地</w:t>
      </w:r>
      <w:r>
        <w:rPr>
          <w:rFonts w:hint="eastAsia" w:ascii="宋体" w:hAnsi="宋体" w:eastAsia="宋体" w:cs="宋体"/>
          <w:color w:val="auto"/>
          <w:sz w:val="28"/>
          <w:szCs w:val="28"/>
          <w:lang w:eastAsia="zh-CN"/>
        </w:rPr>
        <w:t>。</w:t>
      </w:r>
    </w:p>
    <w:p w14:paraId="545CAD98">
      <w:pPr>
        <w:keepNext w:val="0"/>
        <w:keepLines w:val="0"/>
        <w:pageBreakBefore w:val="0"/>
        <w:widowControl/>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（二）项目名称：绥德县城市公益性公墓</w:t>
      </w:r>
      <w:r>
        <w:rPr>
          <w:rFonts w:hint="eastAsia" w:ascii="宋体" w:hAnsi="宋体" w:eastAsia="宋体" w:cs="宋体"/>
          <w:color w:val="auto"/>
          <w:sz w:val="28"/>
          <w:szCs w:val="28"/>
          <w:lang w:val="en-US" w:eastAsia="zh-CN"/>
        </w:rPr>
        <w:t>建设项目岩土工程勘察</w:t>
      </w:r>
    </w:p>
    <w:p w14:paraId="4BFA0CB4">
      <w:pPr>
        <w:keepNext w:val="0"/>
        <w:keepLines w:val="0"/>
        <w:pageBreakBefore w:val="0"/>
        <w:widowControl/>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建设地址：绥德县张家砭镇马家坬村（蒲家圪崂自然村）、田庄镇紫柏湾村</w:t>
      </w:r>
    </w:p>
    <w:p w14:paraId="3115CEE4">
      <w:pPr>
        <w:keepNext w:val="0"/>
        <w:keepLines w:val="0"/>
        <w:pageBreakBefore w:val="0"/>
        <w:widowControl/>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工程规模：</w:t>
      </w:r>
      <w:r>
        <w:rPr>
          <w:rFonts w:hint="eastAsia" w:ascii="宋体" w:hAnsi="宋体" w:eastAsia="宋体" w:cs="宋体"/>
          <w:color w:val="auto"/>
          <w:sz w:val="28"/>
          <w:szCs w:val="28"/>
          <w:lang w:val="en-US" w:eastAsia="zh-CN"/>
        </w:rPr>
        <w:t>项目总投资3100万，总占地面积约30亩，</w:t>
      </w:r>
      <w:r>
        <w:rPr>
          <w:rFonts w:hint="eastAsia" w:ascii="宋体" w:hAnsi="宋体" w:eastAsia="宋体" w:cs="宋体"/>
          <w:color w:val="auto"/>
          <w:sz w:val="28"/>
          <w:szCs w:val="28"/>
        </w:rPr>
        <w:t>总建筑面积</w:t>
      </w:r>
      <w:r>
        <w:rPr>
          <w:rFonts w:hint="eastAsia" w:ascii="宋体" w:hAnsi="宋体" w:eastAsia="宋体" w:cs="宋体"/>
          <w:color w:val="auto"/>
          <w:sz w:val="28"/>
          <w:szCs w:val="28"/>
          <w:lang w:val="en-US" w:eastAsia="zh-CN"/>
        </w:rPr>
        <w:t>844.87</w:t>
      </w:r>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墓地宗数</w:t>
      </w:r>
      <w:r>
        <w:rPr>
          <w:rFonts w:hint="eastAsia" w:ascii="宋体" w:hAnsi="宋体" w:eastAsia="宋体" w:cs="宋体"/>
          <w:color w:val="auto"/>
          <w:sz w:val="28"/>
          <w:szCs w:val="28"/>
          <w:lang w:val="en-US" w:eastAsia="zh-CN"/>
        </w:rPr>
        <w:t>4700</w:t>
      </w:r>
      <w:r>
        <w:rPr>
          <w:rFonts w:hint="eastAsia" w:ascii="宋体" w:hAnsi="宋体" w:eastAsia="宋体" w:cs="宋体"/>
          <w:color w:val="auto"/>
          <w:sz w:val="28"/>
          <w:szCs w:val="28"/>
        </w:rPr>
        <w:t>宗，规划停车位30个，围墙及排水渠共计2358.6米，绿化率30%，</w:t>
      </w:r>
      <w:r>
        <w:rPr>
          <w:rFonts w:hint="eastAsia" w:ascii="宋体" w:hAnsi="宋体" w:eastAsia="宋体" w:cs="宋体"/>
          <w:color w:val="auto"/>
          <w:sz w:val="28"/>
          <w:szCs w:val="28"/>
          <w:lang w:val="en-US" w:eastAsia="zh-CN"/>
        </w:rPr>
        <w:t>综合服务楼一栋</w:t>
      </w:r>
      <w:r>
        <w:rPr>
          <w:rFonts w:hint="eastAsia" w:ascii="宋体" w:hAnsi="宋体" w:eastAsia="宋体" w:cs="宋体"/>
          <w:color w:val="auto"/>
          <w:sz w:val="28"/>
          <w:szCs w:val="28"/>
        </w:rPr>
        <w:t>，(其中一层设置接待大厅、食堂、厨房等；二层设置会议室、办公楼、休息室）。</w:t>
      </w:r>
    </w:p>
    <w:p w14:paraId="40581419">
      <w:pPr>
        <w:keepNext w:val="0"/>
        <w:keepLines w:val="0"/>
        <w:pageBreakBefore w:val="0"/>
        <w:widowControl/>
        <w:shd w:val="clear" w:color="auto" w:fill="FFFFFF"/>
        <w:kinsoku/>
        <w:wordWrap/>
        <w:overflowPunct/>
        <w:topLinePunct w:val="0"/>
        <w:autoSpaceDE/>
        <w:autoSpaceDN/>
        <w:bidi w:val="0"/>
        <w:adjustRightInd w:val="0"/>
        <w:snapToGrid w:val="0"/>
        <w:spacing w:line="360" w:lineRule="auto"/>
        <w:textAlignment w:val="auto"/>
        <w:rPr>
          <w:rFonts w:hint="eastAsia" w:ascii="宋体" w:hAnsi="宋体" w:eastAsia="宋体" w:cs="宋体"/>
          <w:b/>
          <w:color w:val="auto"/>
          <w:sz w:val="28"/>
          <w:szCs w:val="28"/>
        </w:rPr>
      </w:pPr>
      <w:r>
        <w:rPr>
          <w:rFonts w:hint="eastAsia" w:ascii="宋体" w:hAnsi="宋体" w:eastAsia="宋体" w:cs="宋体"/>
          <w:b/>
          <w:color w:val="auto"/>
          <w:sz w:val="28"/>
          <w:szCs w:val="28"/>
        </w:rPr>
        <w:t>二、</w:t>
      </w:r>
      <w:r>
        <w:rPr>
          <w:rFonts w:hint="eastAsia" w:ascii="宋体" w:hAnsi="宋体" w:eastAsia="宋体" w:cs="宋体"/>
          <w:b/>
          <w:color w:val="auto"/>
          <w:sz w:val="28"/>
          <w:szCs w:val="28"/>
          <w:lang w:val="en-US" w:eastAsia="zh-CN"/>
        </w:rPr>
        <w:t>采购</w:t>
      </w:r>
      <w:r>
        <w:rPr>
          <w:rFonts w:hint="eastAsia" w:ascii="宋体" w:hAnsi="宋体" w:eastAsia="宋体" w:cs="宋体"/>
          <w:b/>
          <w:color w:val="auto"/>
          <w:sz w:val="28"/>
          <w:szCs w:val="28"/>
        </w:rPr>
        <w:t>需求</w:t>
      </w:r>
    </w:p>
    <w:p w14:paraId="24BDE050">
      <w:pPr>
        <w:keepNext w:val="0"/>
        <w:keepLines w:val="0"/>
        <w:pageBreakBefore w:val="0"/>
        <w:widowControl/>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绥德县城市公益性公墓、殡仪馆建设项目场平工程</w:t>
      </w:r>
      <w:r>
        <w:rPr>
          <w:rFonts w:hint="eastAsia" w:ascii="宋体" w:hAnsi="宋体" w:eastAsia="宋体" w:cs="宋体"/>
          <w:color w:val="auto"/>
          <w:sz w:val="28"/>
          <w:szCs w:val="28"/>
          <w:lang w:val="en-US" w:eastAsia="zh-CN"/>
        </w:rPr>
        <w:t>边坡工程勘察：勘测确定</w:t>
      </w:r>
      <w:r>
        <w:rPr>
          <w:rFonts w:hint="eastAsia" w:ascii="宋体" w:hAnsi="宋体" w:eastAsia="宋体" w:cs="宋体"/>
          <w:color w:val="auto"/>
          <w:sz w:val="28"/>
          <w:szCs w:val="28"/>
        </w:rPr>
        <w:t>边坡的地形、地貌特征，不良地质作用及其发育程度；</w:t>
      </w:r>
      <w:r>
        <w:rPr>
          <w:rFonts w:hint="eastAsia" w:ascii="宋体" w:hAnsi="宋体" w:eastAsia="宋体" w:cs="宋体"/>
          <w:color w:val="auto"/>
          <w:sz w:val="28"/>
          <w:szCs w:val="28"/>
          <w:lang w:val="en-US" w:eastAsia="zh-CN"/>
        </w:rPr>
        <w:t>勘查确定</w:t>
      </w:r>
      <w:r>
        <w:rPr>
          <w:rFonts w:hint="eastAsia" w:ascii="宋体" w:hAnsi="宋体" w:eastAsia="宋体" w:cs="宋体"/>
          <w:color w:val="auto"/>
          <w:sz w:val="28"/>
          <w:szCs w:val="28"/>
        </w:rPr>
        <w:t>构成边坡的岩土类型、时代、成因及分布规律，提供边坡岩土体的主要物理力学性质指标统计值；</w:t>
      </w:r>
      <w:r>
        <w:rPr>
          <w:rFonts w:hint="eastAsia" w:ascii="宋体" w:hAnsi="宋体" w:eastAsia="宋体" w:cs="宋体"/>
          <w:color w:val="auto"/>
          <w:sz w:val="28"/>
          <w:szCs w:val="28"/>
          <w:lang w:val="en-US" w:eastAsia="zh-CN"/>
        </w:rPr>
        <w:t>勘查确定</w:t>
      </w:r>
      <w:r>
        <w:rPr>
          <w:rFonts w:hint="eastAsia" w:ascii="宋体" w:hAnsi="宋体" w:eastAsia="宋体" w:cs="宋体"/>
          <w:color w:val="auto"/>
          <w:sz w:val="28"/>
          <w:szCs w:val="28"/>
        </w:rPr>
        <w:t>边坡地下水类型、水位、补给、径流、排泄条件及其动态变化规律，并评价其对该边坡的影响；</w:t>
      </w:r>
      <w:r>
        <w:rPr>
          <w:rFonts w:hint="eastAsia" w:ascii="宋体" w:hAnsi="宋体" w:eastAsia="宋体" w:cs="宋体"/>
          <w:color w:val="auto"/>
          <w:sz w:val="28"/>
          <w:szCs w:val="28"/>
          <w:lang w:val="en-US" w:eastAsia="zh-CN"/>
        </w:rPr>
        <w:t>勘查确定</w:t>
      </w:r>
      <w:r>
        <w:rPr>
          <w:rFonts w:hint="eastAsia" w:ascii="宋体" w:hAnsi="宋体" w:eastAsia="宋体" w:cs="宋体"/>
          <w:color w:val="auto"/>
          <w:sz w:val="28"/>
          <w:szCs w:val="28"/>
        </w:rPr>
        <w:t>场地黄土的湿陷类型及地基湿陷等级，分析湿陷性土层在受水浸湿后的物理力学性质变化；判定地下水、场地土对建筑结构和支挡结构的腐蚀性；根据边坡工程地质条件，对边坡的稳定性进行分析和评价，并提出边坡的防护、加固治理措施建议。</w:t>
      </w:r>
    </w:p>
    <w:p w14:paraId="7F2F2B80">
      <w:pPr>
        <w:keepNext w:val="0"/>
        <w:keepLines w:val="0"/>
        <w:pageBreakBefore w:val="0"/>
        <w:widowControl/>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计划</w:t>
      </w:r>
      <w:r>
        <w:rPr>
          <w:rFonts w:hint="eastAsia" w:ascii="宋体" w:hAnsi="宋体" w:eastAsia="宋体" w:cs="宋体"/>
          <w:color w:val="auto"/>
          <w:sz w:val="28"/>
          <w:szCs w:val="28"/>
          <w:lang w:val="en-US" w:eastAsia="zh-CN"/>
        </w:rPr>
        <w:t>工期：20天。</w:t>
      </w:r>
    </w:p>
    <w:p w14:paraId="3D0BD46C">
      <w:pPr>
        <w:keepNext w:val="0"/>
        <w:keepLines w:val="0"/>
        <w:pageBreakBefore w:val="0"/>
        <w:widowControl/>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提交成果：《</w:t>
      </w:r>
      <w:r>
        <w:rPr>
          <w:rFonts w:hint="eastAsia" w:ascii="宋体" w:hAnsi="宋体" w:eastAsia="宋体" w:cs="宋体"/>
          <w:color w:val="auto"/>
          <w:sz w:val="28"/>
          <w:szCs w:val="28"/>
        </w:rPr>
        <w:t>绥德县城市公益性公墓、殡仪馆建设项目场平工程</w:t>
      </w:r>
      <w:r>
        <w:rPr>
          <w:rFonts w:hint="eastAsia" w:ascii="宋体" w:hAnsi="宋体" w:eastAsia="宋体" w:cs="宋体"/>
          <w:color w:val="auto"/>
          <w:sz w:val="28"/>
          <w:szCs w:val="28"/>
          <w:lang w:val="en-US" w:eastAsia="zh-CN"/>
        </w:rPr>
        <w:t>边坡工程勘察报告》（详勘）4份。</w:t>
      </w:r>
    </w:p>
    <w:p w14:paraId="671195CC">
      <w:pPr>
        <w:keepNext w:val="0"/>
        <w:keepLines w:val="0"/>
        <w:pageBreakBefore w:val="0"/>
        <w:widowControl/>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绥德县城市公益性公墓、殡仪馆建设项目</w:t>
      </w:r>
      <w:r>
        <w:rPr>
          <w:rFonts w:hint="eastAsia" w:ascii="宋体" w:hAnsi="宋体" w:eastAsia="宋体" w:cs="宋体"/>
          <w:color w:val="auto"/>
          <w:sz w:val="28"/>
          <w:szCs w:val="28"/>
          <w:lang w:val="en-US" w:eastAsia="zh-CN"/>
        </w:rPr>
        <w:t>建筑物岩土工程勘察：</w:t>
      </w:r>
      <w:r>
        <w:rPr>
          <w:rFonts w:hint="eastAsia" w:ascii="宋体" w:hAnsi="宋体" w:eastAsia="宋体" w:cs="宋体"/>
          <w:color w:val="auto"/>
          <w:sz w:val="28"/>
          <w:szCs w:val="28"/>
        </w:rPr>
        <w:t>评价场地稳定性，建筑适宜性</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查明地层结构和岩土工程特性</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查明黄土湿陷性质，确定场地湿陷类型和湿陷等级</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查明地下水埋藏条件和对工程建设的影响</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评价环境水、土对建筑材料的腐蚀性</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确定建筑场地类别，评价场地地震效应</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评价地基稳定性，提供地基承载力等参数</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 xml:space="preserve"> 提出地基处理措施建议</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评价桩基可行性，提供桩基设计的岩土参数</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提供基坑开挖和支护建议方案和岩土参数</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提供工程降水方案建议和水文地质参数</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提供不良地质作用防治措施建议和岩土参数。</w:t>
      </w:r>
    </w:p>
    <w:p w14:paraId="65F6AFC9">
      <w:pPr>
        <w:keepNext w:val="0"/>
        <w:keepLines w:val="0"/>
        <w:pageBreakBefore w:val="0"/>
        <w:widowControl/>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计划工期：20天，</w:t>
      </w:r>
    </w:p>
    <w:p w14:paraId="7680E88A">
      <w:pPr>
        <w:keepNext w:val="0"/>
        <w:keepLines w:val="0"/>
        <w:pageBreakBefore w:val="0"/>
        <w:widowControl/>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rPr>
        <w:t>提交成果：《</w:t>
      </w:r>
      <w:r>
        <w:rPr>
          <w:rFonts w:hint="eastAsia" w:ascii="宋体" w:hAnsi="宋体" w:eastAsia="宋体" w:cs="宋体"/>
          <w:color w:val="auto"/>
          <w:sz w:val="28"/>
          <w:szCs w:val="28"/>
        </w:rPr>
        <w:t>绥德县城市公益性公墓、殡仪馆建设项目</w:t>
      </w:r>
      <w:r>
        <w:rPr>
          <w:rFonts w:hint="eastAsia" w:ascii="宋体" w:hAnsi="宋体" w:eastAsia="宋体" w:cs="宋体"/>
          <w:color w:val="auto"/>
          <w:sz w:val="28"/>
          <w:szCs w:val="28"/>
          <w:lang w:val="en-US" w:eastAsia="zh-CN"/>
        </w:rPr>
        <w:t>建筑物岩土工程勘察报告》（详勘）4份。</w:t>
      </w:r>
    </w:p>
    <w:p w14:paraId="64BE432B">
      <w:pPr>
        <w:rPr>
          <w:rFonts w:hint="eastAsia" w:ascii="宋体" w:hAnsi="宋体" w:eastAsia="宋体" w:cs="宋体"/>
          <w:b w:val="0"/>
          <w:bCs/>
          <w:color w:val="auto"/>
          <w:highlight w:val="none"/>
        </w:rPr>
      </w:pPr>
    </w:p>
    <w:p w14:paraId="15E0BF5E">
      <w:pPr>
        <w:rPr>
          <w:rFonts w:hint="eastAsia" w:ascii="宋体" w:hAnsi="宋体" w:eastAsia="宋体" w:cs="宋体"/>
          <w:b w:val="0"/>
          <w:bCs/>
          <w:color w:val="auto"/>
          <w:highlight w:val="none"/>
        </w:rPr>
      </w:pPr>
    </w:p>
    <w:p w14:paraId="0C5718A3">
      <w:pPr>
        <w:rPr>
          <w:rFonts w:hint="eastAsia" w:ascii="宋体" w:hAnsi="宋体" w:eastAsia="宋体" w:cs="宋体"/>
          <w:b w:val="0"/>
          <w:bCs/>
          <w:color w:val="auto"/>
          <w:highlight w:val="none"/>
        </w:rPr>
        <w:sectPr>
          <w:pgSz w:w="11910" w:h="16840"/>
          <w:pgMar w:top="1440" w:right="1080" w:bottom="1440" w:left="1080" w:header="517" w:footer="1004" w:gutter="0"/>
          <w:pgNumType w:fmt="decimal"/>
          <w:cols w:space="720" w:num="1"/>
        </w:sectPr>
      </w:pPr>
    </w:p>
    <w:tbl>
      <w:tblPr>
        <w:tblStyle w:val="24"/>
        <w:tblW w:w="101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6"/>
        <w:gridCol w:w="945"/>
        <w:gridCol w:w="2471"/>
        <w:gridCol w:w="772"/>
        <w:gridCol w:w="912"/>
        <w:gridCol w:w="957"/>
        <w:gridCol w:w="911"/>
        <w:gridCol w:w="1281"/>
        <w:gridCol w:w="1235"/>
      </w:tblGrid>
      <w:tr w14:paraId="73C24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3" w:hRule="atLeast"/>
        </w:trPr>
        <w:tc>
          <w:tcPr>
            <w:tcW w:w="10180" w:type="dxa"/>
            <w:gridSpan w:val="9"/>
            <w:tcBorders>
              <w:top w:val="nil"/>
              <w:left w:val="nil"/>
              <w:bottom w:val="nil"/>
              <w:right w:val="nil"/>
            </w:tcBorders>
            <w:shd w:val="clear" w:color="auto" w:fill="auto"/>
            <w:vAlign w:val="center"/>
          </w:tcPr>
          <w:p w14:paraId="0C7CA830">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绥德县城市公益性公墓、殡仪馆建设项目场平工程边坡勘察</w:t>
            </w:r>
          </w:p>
        </w:tc>
      </w:tr>
      <w:tr w14:paraId="78E97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172ADA">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序号</w:t>
            </w:r>
          </w:p>
        </w:tc>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3DCCF2">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项目</w:t>
            </w:r>
            <w:r>
              <w:rPr>
                <w:rFonts w:hint="eastAsia" w:ascii="宋体" w:hAnsi="宋体" w:eastAsia="宋体" w:cs="宋体"/>
                <w:b/>
                <w:bCs/>
                <w:i w:val="0"/>
                <w:iCs w:val="0"/>
                <w:color w:val="auto"/>
                <w:kern w:val="0"/>
                <w:sz w:val="22"/>
                <w:szCs w:val="22"/>
                <w:u w:val="none"/>
                <w:lang w:val="en-US" w:eastAsia="zh-CN" w:bidi="ar"/>
              </w:rPr>
              <w:br w:type="textWrapping"/>
            </w:r>
            <w:r>
              <w:rPr>
                <w:rFonts w:hint="eastAsia" w:ascii="宋体" w:hAnsi="宋体" w:eastAsia="宋体" w:cs="宋体"/>
                <w:b/>
                <w:bCs/>
                <w:i w:val="0"/>
                <w:iCs w:val="0"/>
                <w:color w:val="auto"/>
                <w:kern w:val="0"/>
                <w:sz w:val="22"/>
                <w:szCs w:val="22"/>
                <w:u w:val="none"/>
                <w:lang w:val="en-US" w:eastAsia="zh-CN" w:bidi="ar"/>
              </w:rPr>
              <w:t>名称</w:t>
            </w:r>
          </w:p>
        </w:tc>
        <w:tc>
          <w:tcPr>
            <w:tcW w:w="32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39D431">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地层</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8A669">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单位</w:t>
            </w:r>
          </w:p>
        </w:tc>
        <w:tc>
          <w:tcPr>
            <w:tcW w:w="314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99CCD4C">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12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3F1468">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备注</w:t>
            </w:r>
          </w:p>
        </w:tc>
      </w:tr>
      <w:tr w14:paraId="058AF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9"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0525EB">
            <w:pPr>
              <w:jc w:val="center"/>
              <w:rPr>
                <w:rFonts w:hint="eastAsia" w:ascii="宋体" w:hAnsi="宋体" w:eastAsia="宋体" w:cs="宋体"/>
                <w:b/>
                <w:bCs/>
                <w:i w:val="0"/>
                <w:iCs w:val="0"/>
                <w:color w:val="auto"/>
                <w:sz w:val="22"/>
                <w:szCs w:val="22"/>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4496ED">
            <w:pPr>
              <w:jc w:val="center"/>
              <w:rPr>
                <w:rFonts w:hint="eastAsia" w:ascii="宋体" w:hAnsi="宋体" w:eastAsia="宋体" w:cs="宋体"/>
                <w:b/>
                <w:bCs/>
                <w:i w:val="0"/>
                <w:iCs w:val="0"/>
                <w:color w:val="auto"/>
                <w:sz w:val="22"/>
                <w:szCs w:val="22"/>
                <w:u w:val="none"/>
              </w:rPr>
            </w:pPr>
          </w:p>
        </w:tc>
        <w:tc>
          <w:tcPr>
            <w:tcW w:w="2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5BFBE">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深度范围(m)</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8030D">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类别</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17794">
            <w:pPr>
              <w:jc w:val="center"/>
              <w:rPr>
                <w:rFonts w:hint="eastAsia" w:ascii="宋体" w:hAnsi="宋体" w:eastAsia="宋体" w:cs="宋体"/>
                <w:b/>
                <w:bCs/>
                <w:i w:val="0"/>
                <w:iCs w:val="0"/>
                <w:color w:val="auto"/>
                <w:sz w:val="22"/>
                <w:szCs w:val="22"/>
                <w:u w:val="none"/>
              </w:rPr>
            </w:pP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9F988">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单价</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37E18">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工作量</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40EDD">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小计（元）</w:t>
            </w:r>
          </w:p>
        </w:tc>
        <w:tc>
          <w:tcPr>
            <w:tcW w:w="12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F87CA8">
            <w:pPr>
              <w:jc w:val="center"/>
              <w:rPr>
                <w:rFonts w:hint="eastAsia" w:ascii="宋体" w:hAnsi="宋体" w:eastAsia="宋体" w:cs="宋体"/>
                <w:b/>
                <w:bCs/>
                <w:i w:val="0"/>
                <w:iCs w:val="0"/>
                <w:color w:val="auto"/>
                <w:sz w:val="22"/>
                <w:szCs w:val="22"/>
                <w:u w:val="none"/>
              </w:rPr>
            </w:pPr>
          </w:p>
        </w:tc>
      </w:tr>
      <w:tr w14:paraId="6B2E8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B5382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78597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测放点</w:t>
            </w:r>
            <w:r>
              <w:rPr>
                <w:rFonts w:hint="eastAsia" w:ascii="宋体" w:hAnsi="宋体" w:eastAsia="宋体" w:cs="宋体"/>
                <w:i w:val="0"/>
                <w:iCs w:val="0"/>
                <w:color w:val="auto"/>
                <w:kern w:val="0"/>
                <w:sz w:val="16"/>
                <w:szCs w:val="16"/>
                <w:u w:val="none"/>
                <w:lang w:val="en-US" w:eastAsia="zh-CN" w:bidi="ar"/>
              </w:rPr>
              <w:t>（定点测量）</w:t>
            </w:r>
          </w:p>
        </w:tc>
        <w:tc>
          <w:tcPr>
            <w:tcW w:w="2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0505A">
            <w:pPr>
              <w:jc w:val="center"/>
              <w:rPr>
                <w:rFonts w:hint="eastAsia" w:ascii="宋体" w:hAnsi="宋体" w:eastAsia="宋体" w:cs="宋体"/>
                <w:i w:val="0"/>
                <w:iCs w:val="0"/>
                <w:color w:val="auto"/>
                <w:sz w:val="22"/>
                <w:szCs w:val="22"/>
                <w:u w:val="none"/>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3B48D">
            <w:pPr>
              <w:jc w:val="center"/>
              <w:rPr>
                <w:rFonts w:hint="eastAsia" w:ascii="宋体" w:hAnsi="宋体" w:eastAsia="宋体" w:cs="宋体"/>
                <w:i w:val="0"/>
                <w:iCs w:val="0"/>
                <w:color w:val="auto"/>
                <w:sz w:val="22"/>
                <w:szCs w:val="22"/>
                <w:u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4204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组日</w:t>
            </w: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B677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7AD1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D4FE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44690">
            <w:pPr>
              <w:jc w:val="center"/>
              <w:rPr>
                <w:rFonts w:hint="eastAsia" w:ascii="宋体" w:hAnsi="宋体" w:eastAsia="宋体" w:cs="宋体"/>
                <w:i w:val="0"/>
                <w:iCs w:val="0"/>
                <w:color w:val="auto"/>
                <w:sz w:val="22"/>
                <w:szCs w:val="22"/>
                <w:u w:val="none"/>
              </w:rPr>
            </w:pPr>
          </w:p>
        </w:tc>
      </w:tr>
      <w:tr w14:paraId="5B43A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B30BA7">
            <w:pPr>
              <w:jc w:val="center"/>
              <w:rPr>
                <w:rFonts w:hint="eastAsia" w:ascii="宋体" w:hAnsi="宋体" w:eastAsia="宋体" w:cs="宋体"/>
                <w:i w:val="0"/>
                <w:iCs w:val="0"/>
                <w:color w:val="auto"/>
                <w:sz w:val="22"/>
                <w:szCs w:val="22"/>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7C8D89">
            <w:pPr>
              <w:jc w:val="center"/>
              <w:rPr>
                <w:rFonts w:hint="eastAsia" w:ascii="宋体" w:hAnsi="宋体" w:eastAsia="宋体" w:cs="宋体"/>
                <w:i w:val="0"/>
                <w:iCs w:val="0"/>
                <w:color w:val="auto"/>
                <w:sz w:val="22"/>
                <w:szCs w:val="22"/>
                <w:u w:val="none"/>
              </w:rPr>
            </w:pPr>
          </w:p>
        </w:tc>
        <w:tc>
          <w:tcPr>
            <w:tcW w:w="32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5EB64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技术工作费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ADCD2">
            <w:pPr>
              <w:jc w:val="center"/>
              <w:rPr>
                <w:rFonts w:hint="eastAsia" w:ascii="宋体" w:hAnsi="宋体" w:eastAsia="宋体" w:cs="宋体"/>
                <w:i w:val="0"/>
                <w:iCs w:val="0"/>
                <w:color w:val="auto"/>
                <w:sz w:val="22"/>
                <w:szCs w:val="22"/>
                <w:u w:val="none"/>
              </w:rPr>
            </w:pP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3C28C">
            <w:pPr>
              <w:jc w:val="center"/>
              <w:rPr>
                <w:rFonts w:hint="eastAsia" w:ascii="宋体" w:hAnsi="宋体" w:eastAsia="宋体" w:cs="宋体"/>
                <w:i w:val="0"/>
                <w:iCs w:val="0"/>
                <w:color w:val="auto"/>
                <w:sz w:val="22"/>
                <w:szCs w:val="22"/>
                <w:u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2773F">
            <w:pPr>
              <w:jc w:val="center"/>
              <w:rPr>
                <w:rFonts w:hint="eastAsia" w:ascii="宋体" w:hAnsi="宋体" w:eastAsia="宋体" w:cs="宋体"/>
                <w:i w:val="0"/>
                <w:iCs w:val="0"/>
                <w:color w:val="auto"/>
                <w:sz w:val="22"/>
                <w:szCs w:val="22"/>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21BC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4E27C">
            <w:pPr>
              <w:jc w:val="center"/>
              <w:rPr>
                <w:rFonts w:hint="eastAsia" w:ascii="宋体" w:hAnsi="宋体" w:eastAsia="宋体" w:cs="宋体"/>
                <w:i w:val="0"/>
                <w:iCs w:val="0"/>
                <w:color w:val="auto"/>
                <w:sz w:val="22"/>
                <w:szCs w:val="22"/>
                <w:u w:val="none"/>
              </w:rPr>
            </w:pPr>
          </w:p>
        </w:tc>
      </w:tr>
      <w:tr w14:paraId="2F8F2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D82D2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CFC6A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钻孔</w:t>
            </w:r>
          </w:p>
        </w:tc>
        <w:tc>
          <w:tcPr>
            <w:tcW w:w="2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2F08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D≤10</w:t>
            </w:r>
          </w:p>
        </w:tc>
        <w:tc>
          <w:tcPr>
            <w:tcW w:w="7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554B1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Ⅱ</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8275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w:t>
            </w: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8984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076B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1350</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6AC4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70552">
            <w:pPr>
              <w:jc w:val="center"/>
              <w:rPr>
                <w:rFonts w:hint="eastAsia" w:ascii="宋体" w:hAnsi="宋体" w:eastAsia="宋体" w:cs="宋体"/>
                <w:i w:val="0"/>
                <w:iCs w:val="0"/>
                <w:color w:val="auto"/>
                <w:sz w:val="22"/>
                <w:szCs w:val="22"/>
                <w:u w:val="none"/>
              </w:rPr>
            </w:pPr>
          </w:p>
        </w:tc>
      </w:tr>
      <w:tr w14:paraId="7ED308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1C1A95">
            <w:pPr>
              <w:jc w:val="center"/>
              <w:rPr>
                <w:rFonts w:hint="eastAsia" w:ascii="宋体" w:hAnsi="宋体" w:eastAsia="宋体" w:cs="宋体"/>
                <w:i w:val="0"/>
                <w:iCs w:val="0"/>
                <w:color w:val="auto"/>
                <w:sz w:val="22"/>
                <w:szCs w:val="22"/>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5E4342">
            <w:pPr>
              <w:jc w:val="center"/>
              <w:rPr>
                <w:rFonts w:hint="eastAsia" w:ascii="宋体" w:hAnsi="宋体" w:eastAsia="宋体" w:cs="宋体"/>
                <w:i w:val="0"/>
                <w:iCs w:val="0"/>
                <w:color w:val="auto"/>
                <w:sz w:val="22"/>
                <w:szCs w:val="22"/>
                <w:u w:val="none"/>
              </w:rPr>
            </w:pPr>
          </w:p>
        </w:tc>
        <w:tc>
          <w:tcPr>
            <w:tcW w:w="2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CC35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10&lt;D≤20</w:t>
            </w:r>
          </w:p>
        </w:tc>
        <w:tc>
          <w:tcPr>
            <w:tcW w:w="7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2AE4F9">
            <w:pPr>
              <w:jc w:val="center"/>
              <w:rPr>
                <w:rFonts w:hint="eastAsia" w:ascii="宋体" w:hAnsi="宋体" w:eastAsia="宋体" w:cs="宋体"/>
                <w:i w:val="0"/>
                <w:iCs w:val="0"/>
                <w:color w:val="auto"/>
                <w:sz w:val="22"/>
                <w:szCs w:val="22"/>
                <w:u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3D7F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w:t>
            </w: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915F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BF76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820</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B880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37373">
            <w:pPr>
              <w:jc w:val="center"/>
              <w:rPr>
                <w:rFonts w:hint="eastAsia" w:ascii="宋体" w:hAnsi="宋体" w:eastAsia="宋体" w:cs="宋体"/>
                <w:i w:val="0"/>
                <w:iCs w:val="0"/>
                <w:color w:val="auto"/>
                <w:sz w:val="22"/>
                <w:szCs w:val="22"/>
                <w:u w:val="none"/>
              </w:rPr>
            </w:pPr>
          </w:p>
        </w:tc>
      </w:tr>
      <w:tr w14:paraId="1D7A2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43BF39">
            <w:pPr>
              <w:jc w:val="center"/>
              <w:rPr>
                <w:rFonts w:hint="eastAsia" w:ascii="宋体" w:hAnsi="宋体" w:eastAsia="宋体" w:cs="宋体"/>
                <w:i w:val="0"/>
                <w:iCs w:val="0"/>
                <w:color w:val="auto"/>
                <w:sz w:val="22"/>
                <w:szCs w:val="22"/>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7445CA">
            <w:pPr>
              <w:jc w:val="center"/>
              <w:rPr>
                <w:rFonts w:hint="eastAsia" w:ascii="宋体" w:hAnsi="宋体" w:eastAsia="宋体" w:cs="宋体"/>
                <w:i w:val="0"/>
                <w:iCs w:val="0"/>
                <w:color w:val="auto"/>
                <w:sz w:val="22"/>
                <w:szCs w:val="22"/>
                <w:u w:val="none"/>
              </w:rPr>
            </w:pPr>
          </w:p>
        </w:tc>
        <w:tc>
          <w:tcPr>
            <w:tcW w:w="2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78D2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20≤D≤30</w:t>
            </w:r>
          </w:p>
        </w:tc>
        <w:tc>
          <w:tcPr>
            <w:tcW w:w="7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A87A32">
            <w:pPr>
              <w:jc w:val="center"/>
              <w:rPr>
                <w:rFonts w:hint="eastAsia" w:ascii="宋体" w:hAnsi="宋体" w:eastAsia="宋体" w:cs="宋体"/>
                <w:i w:val="0"/>
                <w:iCs w:val="0"/>
                <w:color w:val="auto"/>
                <w:sz w:val="22"/>
                <w:szCs w:val="22"/>
                <w:u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C7A9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w:t>
            </w: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6E51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7A4A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245</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69A6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ADE32">
            <w:pPr>
              <w:jc w:val="center"/>
              <w:rPr>
                <w:rFonts w:hint="eastAsia" w:ascii="宋体" w:hAnsi="宋体" w:eastAsia="宋体" w:cs="宋体"/>
                <w:i w:val="0"/>
                <w:iCs w:val="0"/>
                <w:color w:val="auto"/>
                <w:sz w:val="22"/>
                <w:szCs w:val="22"/>
                <w:u w:val="none"/>
              </w:rPr>
            </w:pPr>
          </w:p>
        </w:tc>
      </w:tr>
      <w:tr w14:paraId="192E8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6CBE02">
            <w:pPr>
              <w:jc w:val="center"/>
              <w:rPr>
                <w:rFonts w:hint="eastAsia" w:ascii="宋体" w:hAnsi="宋体" w:eastAsia="宋体" w:cs="宋体"/>
                <w:i w:val="0"/>
                <w:iCs w:val="0"/>
                <w:color w:val="auto"/>
                <w:sz w:val="22"/>
                <w:szCs w:val="22"/>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4C6249">
            <w:pPr>
              <w:jc w:val="center"/>
              <w:rPr>
                <w:rFonts w:hint="eastAsia" w:ascii="宋体" w:hAnsi="宋体" w:eastAsia="宋体" w:cs="宋体"/>
                <w:i w:val="0"/>
                <w:iCs w:val="0"/>
                <w:color w:val="auto"/>
                <w:sz w:val="22"/>
                <w:szCs w:val="22"/>
                <w:u w:val="none"/>
              </w:rPr>
            </w:pPr>
          </w:p>
        </w:tc>
        <w:tc>
          <w:tcPr>
            <w:tcW w:w="2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F0A1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30&lt;D≤40</w:t>
            </w:r>
          </w:p>
        </w:tc>
        <w:tc>
          <w:tcPr>
            <w:tcW w:w="7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7C0713">
            <w:pPr>
              <w:jc w:val="center"/>
              <w:rPr>
                <w:rFonts w:hint="eastAsia" w:ascii="宋体" w:hAnsi="宋体" w:eastAsia="宋体" w:cs="宋体"/>
                <w:i w:val="0"/>
                <w:iCs w:val="0"/>
                <w:color w:val="auto"/>
                <w:sz w:val="22"/>
                <w:szCs w:val="22"/>
                <w:u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A86A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w:t>
            </w: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9B67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17D1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195</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1349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B6671">
            <w:pPr>
              <w:jc w:val="center"/>
              <w:rPr>
                <w:rFonts w:hint="eastAsia" w:ascii="宋体" w:hAnsi="宋体" w:eastAsia="宋体" w:cs="宋体"/>
                <w:i w:val="0"/>
                <w:iCs w:val="0"/>
                <w:color w:val="auto"/>
                <w:sz w:val="22"/>
                <w:szCs w:val="22"/>
                <w:u w:val="none"/>
              </w:rPr>
            </w:pPr>
          </w:p>
        </w:tc>
      </w:tr>
      <w:tr w14:paraId="46659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5FD12A">
            <w:pPr>
              <w:jc w:val="center"/>
              <w:rPr>
                <w:rFonts w:hint="eastAsia" w:ascii="宋体" w:hAnsi="宋体" w:eastAsia="宋体" w:cs="宋体"/>
                <w:i w:val="0"/>
                <w:iCs w:val="0"/>
                <w:color w:val="auto"/>
                <w:sz w:val="22"/>
                <w:szCs w:val="22"/>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46275B">
            <w:pPr>
              <w:jc w:val="center"/>
              <w:rPr>
                <w:rFonts w:hint="eastAsia" w:ascii="宋体" w:hAnsi="宋体" w:eastAsia="宋体" w:cs="宋体"/>
                <w:i w:val="0"/>
                <w:iCs w:val="0"/>
                <w:color w:val="auto"/>
                <w:sz w:val="22"/>
                <w:szCs w:val="22"/>
                <w:u w:val="none"/>
              </w:rPr>
            </w:pPr>
          </w:p>
        </w:tc>
        <w:tc>
          <w:tcPr>
            <w:tcW w:w="2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4F60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40&lt;D≤50</w:t>
            </w:r>
          </w:p>
        </w:tc>
        <w:tc>
          <w:tcPr>
            <w:tcW w:w="7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0BA098">
            <w:pPr>
              <w:jc w:val="center"/>
              <w:rPr>
                <w:rFonts w:hint="eastAsia" w:ascii="宋体" w:hAnsi="宋体" w:eastAsia="宋体" w:cs="宋体"/>
                <w:i w:val="0"/>
                <w:iCs w:val="0"/>
                <w:color w:val="auto"/>
                <w:sz w:val="22"/>
                <w:szCs w:val="22"/>
                <w:u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9B31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w:t>
            </w: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AADE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59F1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160</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906C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79BA7">
            <w:pPr>
              <w:jc w:val="center"/>
              <w:rPr>
                <w:rFonts w:hint="eastAsia" w:ascii="宋体" w:hAnsi="宋体" w:eastAsia="宋体" w:cs="宋体"/>
                <w:i w:val="0"/>
                <w:iCs w:val="0"/>
                <w:color w:val="auto"/>
                <w:sz w:val="22"/>
                <w:szCs w:val="22"/>
                <w:u w:val="none"/>
              </w:rPr>
            </w:pPr>
          </w:p>
        </w:tc>
      </w:tr>
      <w:tr w14:paraId="589C2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382C03">
            <w:pPr>
              <w:jc w:val="center"/>
              <w:rPr>
                <w:rFonts w:hint="eastAsia" w:ascii="宋体" w:hAnsi="宋体" w:eastAsia="宋体" w:cs="宋体"/>
                <w:i w:val="0"/>
                <w:iCs w:val="0"/>
                <w:color w:val="auto"/>
                <w:sz w:val="22"/>
                <w:szCs w:val="22"/>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536ACD">
            <w:pPr>
              <w:jc w:val="center"/>
              <w:rPr>
                <w:rFonts w:hint="eastAsia" w:ascii="宋体" w:hAnsi="宋体" w:eastAsia="宋体" w:cs="宋体"/>
                <w:i w:val="0"/>
                <w:iCs w:val="0"/>
                <w:color w:val="auto"/>
                <w:sz w:val="22"/>
                <w:szCs w:val="22"/>
                <w:u w:val="none"/>
              </w:rPr>
            </w:pPr>
          </w:p>
        </w:tc>
        <w:tc>
          <w:tcPr>
            <w:tcW w:w="2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E86E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50&lt;D≤60</w:t>
            </w:r>
          </w:p>
        </w:tc>
        <w:tc>
          <w:tcPr>
            <w:tcW w:w="7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616396">
            <w:pPr>
              <w:jc w:val="center"/>
              <w:rPr>
                <w:rFonts w:hint="eastAsia" w:ascii="宋体" w:hAnsi="宋体" w:eastAsia="宋体" w:cs="宋体"/>
                <w:i w:val="0"/>
                <w:iCs w:val="0"/>
                <w:color w:val="auto"/>
                <w:sz w:val="22"/>
                <w:szCs w:val="22"/>
                <w:u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AE1D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w:t>
            </w: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1C75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5824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100</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1736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BAC7C">
            <w:pPr>
              <w:jc w:val="center"/>
              <w:rPr>
                <w:rFonts w:hint="eastAsia" w:ascii="宋体" w:hAnsi="宋体" w:eastAsia="宋体" w:cs="宋体"/>
                <w:i w:val="0"/>
                <w:iCs w:val="0"/>
                <w:color w:val="auto"/>
                <w:sz w:val="22"/>
                <w:szCs w:val="22"/>
                <w:u w:val="none"/>
              </w:rPr>
            </w:pPr>
          </w:p>
        </w:tc>
      </w:tr>
      <w:tr w14:paraId="3C26D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9C884C">
            <w:pPr>
              <w:jc w:val="center"/>
              <w:rPr>
                <w:rFonts w:hint="eastAsia" w:ascii="宋体" w:hAnsi="宋体" w:eastAsia="宋体" w:cs="宋体"/>
                <w:i w:val="0"/>
                <w:iCs w:val="0"/>
                <w:color w:val="auto"/>
                <w:sz w:val="22"/>
                <w:szCs w:val="22"/>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6AA4A0">
            <w:pPr>
              <w:jc w:val="center"/>
              <w:rPr>
                <w:rFonts w:hint="eastAsia" w:ascii="宋体" w:hAnsi="宋体" w:eastAsia="宋体" w:cs="宋体"/>
                <w:i w:val="0"/>
                <w:iCs w:val="0"/>
                <w:color w:val="auto"/>
                <w:sz w:val="22"/>
                <w:szCs w:val="22"/>
                <w:u w:val="none"/>
              </w:rPr>
            </w:pPr>
          </w:p>
        </w:tc>
        <w:tc>
          <w:tcPr>
            <w:tcW w:w="2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C853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60&lt;D≤70</w:t>
            </w:r>
          </w:p>
        </w:tc>
        <w:tc>
          <w:tcPr>
            <w:tcW w:w="7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9AE8DC">
            <w:pPr>
              <w:jc w:val="center"/>
              <w:rPr>
                <w:rFonts w:hint="eastAsia" w:ascii="宋体" w:hAnsi="宋体" w:eastAsia="宋体" w:cs="宋体"/>
                <w:i w:val="0"/>
                <w:iCs w:val="0"/>
                <w:color w:val="auto"/>
                <w:sz w:val="22"/>
                <w:szCs w:val="22"/>
                <w:u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F6EA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w:t>
            </w: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6335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6F4F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F9AB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F1FD0">
            <w:pPr>
              <w:jc w:val="center"/>
              <w:rPr>
                <w:rFonts w:hint="eastAsia" w:ascii="宋体" w:hAnsi="宋体" w:eastAsia="宋体" w:cs="宋体"/>
                <w:i w:val="0"/>
                <w:iCs w:val="0"/>
                <w:color w:val="auto"/>
                <w:sz w:val="22"/>
                <w:szCs w:val="22"/>
                <w:u w:val="none"/>
              </w:rPr>
            </w:pPr>
          </w:p>
        </w:tc>
      </w:tr>
      <w:tr w14:paraId="2B564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1D2CDF">
            <w:pPr>
              <w:jc w:val="center"/>
              <w:rPr>
                <w:rFonts w:hint="eastAsia" w:ascii="宋体" w:hAnsi="宋体" w:eastAsia="宋体" w:cs="宋体"/>
                <w:i w:val="0"/>
                <w:iCs w:val="0"/>
                <w:color w:val="auto"/>
                <w:sz w:val="22"/>
                <w:szCs w:val="22"/>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272FFE">
            <w:pPr>
              <w:jc w:val="center"/>
              <w:rPr>
                <w:rFonts w:hint="eastAsia" w:ascii="宋体" w:hAnsi="宋体" w:eastAsia="宋体" w:cs="宋体"/>
                <w:i w:val="0"/>
                <w:iCs w:val="0"/>
                <w:color w:val="auto"/>
                <w:sz w:val="22"/>
                <w:szCs w:val="22"/>
                <w:u w:val="none"/>
              </w:rPr>
            </w:pPr>
          </w:p>
        </w:tc>
        <w:tc>
          <w:tcPr>
            <w:tcW w:w="32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8D483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技术工作费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BDE98">
            <w:pPr>
              <w:jc w:val="center"/>
              <w:rPr>
                <w:rFonts w:hint="eastAsia" w:ascii="宋体" w:hAnsi="宋体" w:eastAsia="宋体" w:cs="宋体"/>
                <w:i w:val="0"/>
                <w:iCs w:val="0"/>
                <w:color w:val="auto"/>
                <w:sz w:val="22"/>
                <w:szCs w:val="22"/>
                <w:u w:val="none"/>
              </w:rPr>
            </w:pP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C970A">
            <w:pPr>
              <w:jc w:val="center"/>
              <w:rPr>
                <w:rFonts w:hint="eastAsia" w:ascii="宋体" w:hAnsi="宋体" w:eastAsia="宋体" w:cs="宋体"/>
                <w:i w:val="0"/>
                <w:iCs w:val="0"/>
                <w:color w:val="auto"/>
                <w:sz w:val="22"/>
                <w:szCs w:val="22"/>
                <w:u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EACAB">
            <w:pPr>
              <w:jc w:val="center"/>
              <w:rPr>
                <w:rFonts w:hint="eastAsia" w:ascii="宋体" w:hAnsi="宋体" w:eastAsia="宋体" w:cs="宋体"/>
                <w:i w:val="0"/>
                <w:iCs w:val="0"/>
                <w:color w:val="auto"/>
                <w:sz w:val="22"/>
                <w:szCs w:val="22"/>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1C2C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AE2FD">
            <w:pPr>
              <w:jc w:val="center"/>
              <w:rPr>
                <w:rFonts w:hint="eastAsia" w:ascii="宋体" w:hAnsi="宋体" w:eastAsia="宋体" w:cs="宋体"/>
                <w:i w:val="0"/>
                <w:iCs w:val="0"/>
                <w:color w:val="auto"/>
                <w:sz w:val="22"/>
                <w:szCs w:val="22"/>
                <w:u w:val="none"/>
              </w:rPr>
            </w:pPr>
          </w:p>
        </w:tc>
      </w:tr>
      <w:tr w14:paraId="706C5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4FE9E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0068E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原位测试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7B4F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标准贯入试验D≤20</w:t>
            </w:r>
          </w:p>
        </w:tc>
        <w:tc>
          <w:tcPr>
            <w:tcW w:w="7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7C4C9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Ⅱ</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D109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次</w:t>
            </w: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2E68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61DA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126</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7681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B7061">
            <w:pPr>
              <w:jc w:val="center"/>
              <w:rPr>
                <w:rFonts w:hint="eastAsia" w:ascii="宋体" w:hAnsi="宋体" w:eastAsia="宋体" w:cs="宋体"/>
                <w:i w:val="0"/>
                <w:iCs w:val="0"/>
                <w:color w:val="auto"/>
                <w:sz w:val="22"/>
                <w:szCs w:val="22"/>
                <w:u w:val="none"/>
              </w:rPr>
            </w:pPr>
          </w:p>
        </w:tc>
      </w:tr>
      <w:tr w14:paraId="258F9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358678">
            <w:pPr>
              <w:jc w:val="center"/>
              <w:rPr>
                <w:rFonts w:hint="eastAsia" w:ascii="宋体" w:hAnsi="宋体" w:eastAsia="宋体" w:cs="宋体"/>
                <w:i w:val="0"/>
                <w:iCs w:val="0"/>
                <w:color w:val="auto"/>
                <w:sz w:val="22"/>
                <w:szCs w:val="22"/>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755C0">
            <w:pPr>
              <w:jc w:val="center"/>
              <w:rPr>
                <w:rFonts w:hint="eastAsia" w:ascii="宋体" w:hAnsi="宋体" w:eastAsia="宋体" w:cs="宋体"/>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EB94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标准贯入试验20&lt;D≤50</w:t>
            </w:r>
          </w:p>
        </w:tc>
        <w:tc>
          <w:tcPr>
            <w:tcW w:w="7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95C153">
            <w:pPr>
              <w:jc w:val="center"/>
              <w:rPr>
                <w:rFonts w:hint="eastAsia" w:ascii="宋体" w:hAnsi="宋体" w:eastAsia="宋体" w:cs="宋体"/>
                <w:i w:val="0"/>
                <w:iCs w:val="0"/>
                <w:color w:val="auto"/>
                <w:sz w:val="22"/>
                <w:szCs w:val="22"/>
                <w:u w:val="none"/>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634D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次</w:t>
            </w: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A370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EC38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24</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32DA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2B481">
            <w:pPr>
              <w:jc w:val="center"/>
              <w:rPr>
                <w:rFonts w:hint="eastAsia" w:ascii="宋体" w:hAnsi="宋体" w:eastAsia="宋体" w:cs="宋体"/>
                <w:i w:val="0"/>
                <w:iCs w:val="0"/>
                <w:color w:val="auto"/>
                <w:sz w:val="22"/>
                <w:szCs w:val="22"/>
                <w:u w:val="none"/>
              </w:rPr>
            </w:pPr>
          </w:p>
        </w:tc>
      </w:tr>
      <w:tr w14:paraId="0FBCEB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A62BBD">
            <w:pPr>
              <w:jc w:val="center"/>
              <w:rPr>
                <w:rFonts w:hint="eastAsia" w:ascii="宋体" w:hAnsi="宋体" w:eastAsia="宋体" w:cs="宋体"/>
                <w:i w:val="0"/>
                <w:iCs w:val="0"/>
                <w:color w:val="auto"/>
                <w:sz w:val="22"/>
                <w:szCs w:val="22"/>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46B11F">
            <w:pPr>
              <w:jc w:val="center"/>
              <w:rPr>
                <w:rFonts w:hint="eastAsia" w:ascii="宋体" w:hAnsi="宋体" w:eastAsia="宋体" w:cs="宋体"/>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D91E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圆锥动力触探试验</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769A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Ⅲ</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2FCC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w:t>
            </w: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089EC">
            <w:pPr>
              <w:jc w:val="center"/>
              <w:rPr>
                <w:rFonts w:hint="eastAsia" w:ascii="宋体" w:hAnsi="宋体" w:eastAsia="宋体" w:cs="宋体"/>
                <w:i w:val="0"/>
                <w:iCs w:val="0"/>
                <w:color w:val="auto"/>
                <w:sz w:val="22"/>
                <w:szCs w:val="22"/>
                <w:u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A247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EB78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9E544">
            <w:pPr>
              <w:jc w:val="center"/>
              <w:rPr>
                <w:rFonts w:hint="eastAsia" w:ascii="宋体" w:hAnsi="宋体" w:eastAsia="宋体" w:cs="宋体"/>
                <w:i w:val="0"/>
                <w:iCs w:val="0"/>
                <w:color w:val="auto"/>
                <w:sz w:val="22"/>
                <w:szCs w:val="22"/>
                <w:u w:val="none"/>
              </w:rPr>
            </w:pPr>
          </w:p>
        </w:tc>
      </w:tr>
      <w:tr w14:paraId="1A338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E42FD6">
            <w:pPr>
              <w:jc w:val="center"/>
              <w:rPr>
                <w:rFonts w:hint="eastAsia" w:ascii="宋体" w:hAnsi="宋体" w:eastAsia="宋体" w:cs="宋体"/>
                <w:i w:val="0"/>
                <w:iCs w:val="0"/>
                <w:color w:val="auto"/>
                <w:sz w:val="22"/>
                <w:szCs w:val="22"/>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D486AF">
            <w:pPr>
              <w:jc w:val="center"/>
              <w:rPr>
                <w:rFonts w:hint="eastAsia" w:ascii="宋体" w:hAnsi="宋体" w:eastAsia="宋体" w:cs="宋体"/>
                <w:i w:val="0"/>
                <w:iCs w:val="0"/>
                <w:color w:val="auto"/>
                <w:sz w:val="22"/>
                <w:szCs w:val="22"/>
                <w:u w:val="none"/>
              </w:rPr>
            </w:pPr>
          </w:p>
        </w:tc>
        <w:tc>
          <w:tcPr>
            <w:tcW w:w="32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2345D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技术工作费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BC7DD">
            <w:pPr>
              <w:jc w:val="center"/>
              <w:rPr>
                <w:rFonts w:hint="eastAsia" w:ascii="宋体" w:hAnsi="宋体" w:eastAsia="宋体" w:cs="宋体"/>
                <w:i w:val="0"/>
                <w:iCs w:val="0"/>
                <w:color w:val="auto"/>
                <w:sz w:val="22"/>
                <w:szCs w:val="22"/>
                <w:u w:val="none"/>
              </w:rPr>
            </w:pP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962BE">
            <w:pPr>
              <w:jc w:val="center"/>
              <w:rPr>
                <w:rFonts w:hint="eastAsia" w:ascii="宋体" w:hAnsi="宋体" w:eastAsia="宋体" w:cs="宋体"/>
                <w:i w:val="0"/>
                <w:iCs w:val="0"/>
                <w:color w:val="auto"/>
                <w:sz w:val="22"/>
                <w:szCs w:val="22"/>
                <w:u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CE510">
            <w:pPr>
              <w:jc w:val="center"/>
              <w:rPr>
                <w:rFonts w:hint="eastAsia" w:ascii="宋体" w:hAnsi="宋体" w:eastAsia="宋体" w:cs="宋体"/>
                <w:i w:val="0"/>
                <w:iCs w:val="0"/>
                <w:color w:val="auto"/>
                <w:sz w:val="22"/>
                <w:szCs w:val="22"/>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6912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DF362">
            <w:pPr>
              <w:jc w:val="center"/>
              <w:rPr>
                <w:rFonts w:hint="eastAsia" w:ascii="宋体" w:hAnsi="宋体" w:eastAsia="宋体" w:cs="宋体"/>
                <w:i w:val="0"/>
                <w:iCs w:val="0"/>
                <w:color w:val="auto"/>
                <w:sz w:val="22"/>
                <w:szCs w:val="22"/>
                <w:u w:val="none"/>
              </w:rPr>
            </w:pPr>
          </w:p>
        </w:tc>
      </w:tr>
      <w:tr w14:paraId="1644D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C3DFF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4DCF7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取样</w:t>
            </w:r>
          </w:p>
        </w:tc>
        <w:tc>
          <w:tcPr>
            <w:tcW w:w="32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0944C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取扰动样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3FD6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件</w:t>
            </w: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8CE8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6F24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32</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B06B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E77B7">
            <w:pPr>
              <w:jc w:val="center"/>
              <w:rPr>
                <w:rFonts w:hint="eastAsia" w:ascii="宋体" w:hAnsi="宋体" w:eastAsia="宋体" w:cs="宋体"/>
                <w:i w:val="0"/>
                <w:iCs w:val="0"/>
                <w:color w:val="auto"/>
                <w:sz w:val="22"/>
                <w:szCs w:val="22"/>
                <w:u w:val="none"/>
              </w:rPr>
            </w:pPr>
          </w:p>
        </w:tc>
      </w:tr>
      <w:tr w14:paraId="68CDA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933064">
            <w:pPr>
              <w:jc w:val="center"/>
              <w:rPr>
                <w:rFonts w:hint="eastAsia" w:ascii="宋体" w:hAnsi="宋体" w:eastAsia="宋体" w:cs="宋体"/>
                <w:i w:val="0"/>
                <w:iCs w:val="0"/>
                <w:color w:val="auto"/>
                <w:sz w:val="22"/>
                <w:szCs w:val="22"/>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2A4684">
            <w:pPr>
              <w:jc w:val="center"/>
              <w:rPr>
                <w:rFonts w:hint="eastAsia" w:ascii="宋体" w:hAnsi="宋体" w:eastAsia="宋体" w:cs="宋体"/>
                <w:i w:val="0"/>
                <w:iCs w:val="0"/>
                <w:color w:val="auto"/>
                <w:sz w:val="22"/>
                <w:szCs w:val="22"/>
                <w:u w:val="none"/>
              </w:rPr>
            </w:pPr>
          </w:p>
        </w:tc>
        <w:tc>
          <w:tcPr>
            <w:tcW w:w="32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FF5A7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取原状样(深度≤30m）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0A4E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件</w:t>
            </w: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C6AB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AA78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306</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A34C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4FEF1">
            <w:pPr>
              <w:jc w:val="center"/>
              <w:rPr>
                <w:rFonts w:hint="eastAsia" w:ascii="宋体" w:hAnsi="宋体" w:eastAsia="宋体" w:cs="宋体"/>
                <w:i w:val="0"/>
                <w:iCs w:val="0"/>
                <w:color w:val="auto"/>
                <w:sz w:val="22"/>
                <w:szCs w:val="22"/>
                <w:u w:val="none"/>
              </w:rPr>
            </w:pPr>
          </w:p>
        </w:tc>
      </w:tr>
      <w:tr w14:paraId="55304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C4ADC3">
            <w:pPr>
              <w:jc w:val="center"/>
              <w:rPr>
                <w:rFonts w:hint="eastAsia" w:ascii="宋体" w:hAnsi="宋体" w:eastAsia="宋体" w:cs="宋体"/>
                <w:i w:val="0"/>
                <w:iCs w:val="0"/>
                <w:color w:val="auto"/>
                <w:sz w:val="22"/>
                <w:szCs w:val="22"/>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3C7743">
            <w:pPr>
              <w:jc w:val="center"/>
              <w:rPr>
                <w:rFonts w:hint="eastAsia" w:ascii="宋体" w:hAnsi="宋体" w:eastAsia="宋体" w:cs="宋体"/>
                <w:i w:val="0"/>
                <w:iCs w:val="0"/>
                <w:color w:val="auto"/>
                <w:sz w:val="22"/>
                <w:szCs w:val="22"/>
                <w:u w:val="none"/>
              </w:rPr>
            </w:pPr>
          </w:p>
        </w:tc>
        <w:tc>
          <w:tcPr>
            <w:tcW w:w="32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A3EA2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取原状样（深度&gt;30m)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00FE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件</w:t>
            </w: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736E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3104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66</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16DB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B094D">
            <w:pPr>
              <w:jc w:val="center"/>
              <w:rPr>
                <w:rFonts w:hint="eastAsia" w:ascii="宋体" w:hAnsi="宋体" w:eastAsia="宋体" w:cs="宋体"/>
                <w:i w:val="0"/>
                <w:iCs w:val="0"/>
                <w:color w:val="auto"/>
                <w:sz w:val="22"/>
                <w:szCs w:val="22"/>
                <w:u w:val="none"/>
              </w:rPr>
            </w:pPr>
          </w:p>
        </w:tc>
      </w:tr>
      <w:tr w14:paraId="31972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37AEE7">
            <w:pPr>
              <w:jc w:val="center"/>
              <w:rPr>
                <w:rFonts w:hint="eastAsia" w:ascii="宋体" w:hAnsi="宋体" w:eastAsia="宋体" w:cs="宋体"/>
                <w:i w:val="0"/>
                <w:iCs w:val="0"/>
                <w:color w:val="auto"/>
                <w:sz w:val="22"/>
                <w:szCs w:val="22"/>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81018D">
            <w:pPr>
              <w:jc w:val="center"/>
              <w:rPr>
                <w:rFonts w:hint="eastAsia" w:ascii="宋体" w:hAnsi="宋体" w:eastAsia="宋体" w:cs="宋体"/>
                <w:i w:val="0"/>
                <w:iCs w:val="0"/>
                <w:color w:val="auto"/>
                <w:sz w:val="22"/>
                <w:szCs w:val="22"/>
                <w:u w:val="none"/>
              </w:rPr>
            </w:pPr>
          </w:p>
        </w:tc>
        <w:tc>
          <w:tcPr>
            <w:tcW w:w="32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7EF98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取岩样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F7F2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件</w:t>
            </w: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B020F">
            <w:pPr>
              <w:jc w:val="center"/>
              <w:rPr>
                <w:rFonts w:hint="eastAsia" w:ascii="宋体" w:hAnsi="宋体" w:eastAsia="宋体" w:cs="宋体"/>
                <w:i w:val="0"/>
                <w:iCs w:val="0"/>
                <w:color w:val="auto"/>
                <w:sz w:val="22"/>
                <w:szCs w:val="22"/>
                <w:u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3286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9120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5BAD8">
            <w:pPr>
              <w:jc w:val="center"/>
              <w:rPr>
                <w:rFonts w:hint="eastAsia" w:ascii="宋体" w:hAnsi="宋体" w:eastAsia="宋体" w:cs="宋体"/>
                <w:i w:val="0"/>
                <w:iCs w:val="0"/>
                <w:color w:val="auto"/>
                <w:sz w:val="22"/>
                <w:szCs w:val="22"/>
                <w:u w:val="none"/>
              </w:rPr>
            </w:pPr>
          </w:p>
        </w:tc>
      </w:tr>
      <w:tr w14:paraId="42832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AF0EF3">
            <w:pPr>
              <w:jc w:val="center"/>
              <w:rPr>
                <w:rFonts w:hint="eastAsia" w:ascii="宋体" w:hAnsi="宋体" w:eastAsia="宋体" w:cs="宋体"/>
                <w:i w:val="0"/>
                <w:iCs w:val="0"/>
                <w:color w:val="auto"/>
                <w:sz w:val="22"/>
                <w:szCs w:val="22"/>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4D6D61">
            <w:pPr>
              <w:jc w:val="center"/>
              <w:rPr>
                <w:rFonts w:hint="eastAsia" w:ascii="宋体" w:hAnsi="宋体" w:eastAsia="宋体" w:cs="宋体"/>
                <w:i w:val="0"/>
                <w:iCs w:val="0"/>
                <w:color w:val="auto"/>
                <w:sz w:val="22"/>
                <w:szCs w:val="22"/>
                <w:u w:val="none"/>
              </w:rPr>
            </w:pPr>
          </w:p>
        </w:tc>
        <w:tc>
          <w:tcPr>
            <w:tcW w:w="32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AE476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取水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E380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件</w:t>
            </w: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A93A9">
            <w:pPr>
              <w:jc w:val="center"/>
              <w:rPr>
                <w:rFonts w:hint="eastAsia" w:ascii="宋体" w:hAnsi="宋体" w:eastAsia="宋体" w:cs="宋体"/>
                <w:i w:val="0"/>
                <w:iCs w:val="0"/>
                <w:color w:val="auto"/>
                <w:sz w:val="22"/>
                <w:szCs w:val="22"/>
                <w:u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A2E3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4A3F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28FDE">
            <w:pPr>
              <w:jc w:val="center"/>
              <w:rPr>
                <w:rFonts w:hint="eastAsia" w:ascii="宋体" w:hAnsi="宋体" w:eastAsia="宋体" w:cs="宋体"/>
                <w:i w:val="0"/>
                <w:iCs w:val="0"/>
                <w:color w:val="auto"/>
                <w:sz w:val="22"/>
                <w:szCs w:val="22"/>
                <w:u w:val="none"/>
              </w:rPr>
            </w:pPr>
          </w:p>
        </w:tc>
      </w:tr>
      <w:tr w14:paraId="636D0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0BDAB0">
            <w:pPr>
              <w:jc w:val="center"/>
              <w:rPr>
                <w:rFonts w:hint="eastAsia" w:ascii="宋体" w:hAnsi="宋体" w:eastAsia="宋体" w:cs="宋体"/>
                <w:i w:val="0"/>
                <w:iCs w:val="0"/>
                <w:color w:val="auto"/>
                <w:sz w:val="22"/>
                <w:szCs w:val="22"/>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BE13C7">
            <w:pPr>
              <w:jc w:val="center"/>
              <w:rPr>
                <w:rFonts w:hint="eastAsia" w:ascii="宋体" w:hAnsi="宋体" w:eastAsia="宋体" w:cs="宋体"/>
                <w:i w:val="0"/>
                <w:iCs w:val="0"/>
                <w:color w:val="auto"/>
                <w:sz w:val="22"/>
                <w:szCs w:val="22"/>
                <w:u w:val="none"/>
              </w:rPr>
            </w:pPr>
          </w:p>
        </w:tc>
        <w:tc>
          <w:tcPr>
            <w:tcW w:w="32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E1843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技术工作费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41B5C">
            <w:pPr>
              <w:jc w:val="center"/>
              <w:rPr>
                <w:rFonts w:hint="eastAsia" w:ascii="宋体" w:hAnsi="宋体" w:eastAsia="宋体" w:cs="宋体"/>
                <w:i w:val="0"/>
                <w:iCs w:val="0"/>
                <w:color w:val="auto"/>
                <w:sz w:val="22"/>
                <w:szCs w:val="22"/>
                <w:u w:val="none"/>
              </w:rPr>
            </w:pP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6DFBC">
            <w:pPr>
              <w:jc w:val="center"/>
              <w:rPr>
                <w:rFonts w:hint="eastAsia" w:ascii="宋体" w:hAnsi="宋体" w:eastAsia="宋体" w:cs="宋体"/>
                <w:i w:val="0"/>
                <w:iCs w:val="0"/>
                <w:color w:val="auto"/>
                <w:sz w:val="22"/>
                <w:szCs w:val="22"/>
                <w:u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85BBB">
            <w:pPr>
              <w:jc w:val="center"/>
              <w:rPr>
                <w:rFonts w:hint="eastAsia" w:ascii="宋体" w:hAnsi="宋体" w:eastAsia="宋体" w:cs="宋体"/>
                <w:i w:val="0"/>
                <w:iCs w:val="0"/>
                <w:color w:val="auto"/>
                <w:sz w:val="22"/>
                <w:szCs w:val="22"/>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D49E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4D683">
            <w:pPr>
              <w:jc w:val="center"/>
              <w:rPr>
                <w:rFonts w:hint="eastAsia" w:ascii="宋体" w:hAnsi="宋体" w:eastAsia="宋体" w:cs="宋体"/>
                <w:i w:val="0"/>
                <w:iCs w:val="0"/>
                <w:color w:val="auto"/>
                <w:sz w:val="22"/>
                <w:szCs w:val="22"/>
                <w:u w:val="none"/>
              </w:rPr>
            </w:pPr>
          </w:p>
        </w:tc>
      </w:tr>
      <w:tr w14:paraId="2F839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510FF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895B1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室内试验</w:t>
            </w:r>
          </w:p>
        </w:tc>
        <w:tc>
          <w:tcPr>
            <w:tcW w:w="32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5D378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岩样加工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171D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块</w:t>
            </w: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7E851">
            <w:pPr>
              <w:jc w:val="center"/>
              <w:rPr>
                <w:rFonts w:hint="eastAsia" w:ascii="宋体" w:hAnsi="宋体" w:eastAsia="宋体" w:cs="宋体"/>
                <w:i w:val="0"/>
                <w:iCs w:val="0"/>
                <w:color w:val="auto"/>
                <w:sz w:val="22"/>
                <w:szCs w:val="22"/>
                <w:u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220DD">
            <w:pPr>
              <w:jc w:val="center"/>
              <w:rPr>
                <w:rFonts w:hint="eastAsia" w:ascii="宋体" w:hAnsi="宋体" w:eastAsia="宋体" w:cs="宋体"/>
                <w:i w:val="0"/>
                <w:iCs w:val="0"/>
                <w:color w:val="auto"/>
                <w:sz w:val="22"/>
                <w:szCs w:val="22"/>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7881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1E61D">
            <w:pPr>
              <w:jc w:val="center"/>
              <w:rPr>
                <w:rFonts w:hint="eastAsia" w:ascii="宋体" w:hAnsi="宋体" w:eastAsia="宋体" w:cs="宋体"/>
                <w:i w:val="0"/>
                <w:iCs w:val="0"/>
                <w:color w:val="auto"/>
                <w:sz w:val="22"/>
                <w:szCs w:val="22"/>
                <w:u w:val="none"/>
              </w:rPr>
            </w:pPr>
          </w:p>
        </w:tc>
      </w:tr>
      <w:tr w14:paraId="0AC7C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49764B">
            <w:pPr>
              <w:jc w:val="center"/>
              <w:rPr>
                <w:rFonts w:hint="eastAsia" w:ascii="宋体" w:hAnsi="宋体" w:eastAsia="宋体" w:cs="宋体"/>
                <w:i w:val="0"/>
                <w:iCs w:val="0"/>
                <w:color w:val="auto"/>
                <w:sz w:val="22"/>
                <w:szCs w:val="22"/>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2979DA">
            <w:pPr>
              <w:jc w:val="center"/>
              <w:rPr>
                <w:rFonts w:hint="eastAsia" w:ascii="宋体" w:hAnsi="宋体" w:eastAsia="宋体" w:cs="宋体"/>
                <w:i w:val="0"/>
                <w:iCs w:val="0"/>
                <w:color w:val="auto"/>
                <w:sz w:val="22"/>
                <w:szCs w:val="22"/>
                <w:u w:val="none"/>
              </w:rPr>
            </w:pPr>
          </w:p>
        </w:tc>
        <w:tc>
          <w:tcPr>
            <w:tcW w:w="3243"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14:paraId="26106C4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单轴饱和抗压</w:t>
            </w:r>
          </w:p>
        </w:tc>
        <w:tc>
          <w:tcPr>
            <w:tcW w:w="0" w:type="auto"/>
            <w:tcBorders>
              <w:top w:val="single" w:color="000000" w:sz="4" w:space="0"/>
              <w:left w:val="single" w:color="000000" w:sz="4" w:space="0"/>
              <w:bottom w:val="single" w:color="auto" w:sz="4" w:space="0"/>
              <w:right w:val="single" w:color="000000" w:sz="4" w:space="0"/>
            </w:tcBorders>
            <w:shd w:val="clear" w:color="auto" w:fill="auto"/>
            <w:noWrap/>
            <w:vAlign w:val="center"/>
          </w:tcPr>
          <w:p w14:paraId="3DD97B6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组</w:t>
            </w:r>
          </w:p>
        </w:tc>
        <w:tc>
          <w:tcPr>
            <w:tcW w:w="957" w:type="dxa"/>
            <w:tcBorders>
              <w:top w:val="single" w:color="000000" w:sz="4" w:space="0"/>
              <w:left w:val="single" w:color="000000" w:sz="4" w:space="0"/>
              <w:bottom w:val="single" w:color="auto" w:sz="4" w:space="0"/>
              <w:right w:val="single" w:color="000000" w:sz="4" w:space="0"/>
            </w:tcBorders>
            <w:shd w:val="clear" w:color="auto" w:fill="auto"/>
            <w:vAlign w:val="center"/>
          </w:tcPr>
          <w:p w14:paraId="6EE13378">
            <w:pPr>
              <w:jc w:val="center"/>
              <w:rPr>
                <w:rFonts w:hint="eastAsia" w:ascii="宋体" w:hAnsi="宋体" w:eastAsia="宋体" w:cs="宋体"/>
                <w:i w:val="0"/>
                <w:iCs w:val="0"/>
                <w:color w:val="auto"/>
                <w:sz w:val="22"/>
                <w:szCs w:val="22"/>
                <w:u w:val="none"/>
              </w:rPr>
            </w:pPr>
          </w:p>
        </w:tc>
        <w:tc>
          <w:tcPr>
            <w:tcW w:w="911" w:type="dxa"/>
            <w:tcBorders>
              <w:top w:val="single" w:color="000000" w:sz="4" w:space="0"/>
              <w:left w:val="single" w:color="000000" w:sz="4" w:space="0"/>
              <w:bottom w:val="single" w:color="auto" w:sz="4" w:space="0"/>
              <w:right w:val="single" w:color="000000" w:sz="4" w:space="0"/>
            </w:tcBorders>
            <w:shd w:val="clear" w:color="auto" w:fill="auto"/>
            <w:vAlign w:val="center"/>
          </w:tcPr>
          <w:p w14:paraId="0F39B5C5">
            <w:pPr>
              <w:jc w:val="center"/>
              <w:rPr>
                <w:rFonts w:hint="eastAsia" w:ascii="宋体" w:hAnsi="宋体" w:eastAsia="宋体" w:cs="宋体"/>
                <w:i w:val="0"/>
                <w:iCs w:val="0"/>
                <w:color w:val="auto"/>
                <w:sz w:val="22"/>
                <w:szCs w:val="22"/>
                <w:u w:val="none"/>
              </w:rPr>
            </w:pPr>
          </w:p>
        </w:tc>
        <w:tc>
          <w:tcPr>
            <w:tcW w:w="1281" w:type="dxa"/>
            <w:tcBorders>
              <w:top w:val="single" w:color="000000" w:sz="4" w:space="0"/>
              <w:left w:val="single" w:color="000000" w:sz="4" w:space="0"/>
              <w:bottom w:val="single" w:color="auto" w:sz="4" w:space="0"/>
              <w:right w:val="single" w:color="000000" w:sz="4" w:space="0"/>
            </w:tcBorders>
            <w:shd w:val="clear" w:color="auto" w:fill="auto"/>
            <w:vAlign w:val="center"/>
          </w:tcPr>
          <w:p w14:paraId="6B96558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000000" w:sz="4" w:space="0"/>
              <w:left w:val="single" w:color="000000" w:sz="4" w:space="0"/>
              <w:bottom w:val="single" w:color="auto" w:sz="4" w:space="0"/>
              <w:right w:val="single" w:color="000000" w:sz="4" w:space="0"/>
            </w:tcBorders>
            <w:shd w:val="clear" w:color="auto" w:fill="auto"/>
            <w:vAlign w:val="center"/>
          </w:tcPr>
          <w:p w14:paraId="107ACD0A">
            <w:pPr>
              <w:jc w:val="center"/>
              <w:rPr>
                <w:rFonts w:hint="eastAsia" w:ascii="宋体" w:hAnsi="宋体" w:eastAsia="宋体" w:cs="宋体"/>
                <w:i w:val="0"/>
                <w:iCs w:val="0"/>
                <w:color w:val="auto"/>
                <w:sz w:val="22"/>
                <w:szCs w:val="22"/>
                <w:u w:val="none"/>
              </w:rPr>
            </w:pPr>
          </w:p>
        </w:tc>
      </w:tr>
      <w:tr w14:paraId="4F106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9"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2C64B5">
            <w:pPr>
              <w:jc w:val="center"/>
              <w:rPr>
                <w:rFonts w:hint="eastAsia" w:ascii="宋体" w:hAnsi="宋体" w:eastAsia="宋体" w:cs="宋体"/>
                <w:i w:val="0"/>
                <w:iCs w:val="0"/>
                <w:color w:val="auto"/>
                <w:sz w:val="22"/>
                <w:szCs w:val="22"/>
                <w:u w:val="none"/>
              </w:rPr>
            </w:pPr>
          </w:p>
        </w:tc>
        <w:tc>
          <w:tcPr>
            <w:tcW w:w="945"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628BD320">
            <w:pPr>
              <w:jc w:val="center"/>
              <w:rPr>
                <w:rFonts w:hint="eastAsia" w:ascii="宋体" w:hAnsi="宋体" w:eastAsia="宋体" w:cs="宋体"/>
                <w:i w:val="0"/>
                <w:iCs w:val="0"/>
                <w:color w:val="auto"/>
                <w:sz w:val="22"/>
                <w:szCs w:val="22"/>
                <w:u w:val="none"/>
              </w:rPr>
            </w:pPr>
          </w:p>
        </w:tc>
        <w:tc>
          <w:tcPr>
            <w:tcW w:w="3243" w:type="dxa"/>
            <w:gridSpan w:val="2"/>
            <w:tcBorders>
              <w:top w:val="single" w:color="auto" w:sz="4" w:space="0"/>
              <w:left w:val="single" w:color="auto" w:sz="4" w:space="0"/>
              <w:bottom w:val="single" w:color="000000" w:sz="4" w:space="0"/>
              <w:right w:val="single" w:color="000000" w:sz="4" w:space="0"/>
            </w:tcBorders>
            <w:shd w:val="clear" w:color="auto" w:fill="auto"/>
            <w:vAlign w:val="center"/>
          </w:tcPr>
          <w:p w14:paraId="37B692A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土常规（含水率、密度、比重、液限、塑限、慢速法压缩试验）</w:t>
            </w:r>
          </w:p>
        </w:tc>
        <w:tc>
          <w:tcPr>
            <w:tcW w:w="0" w:type="auto"/>
            <w:tcBorders>
              <w:top w:val="single" w:color="auto" w:sz="4" w:space="0"/>
              <w:left w:val="single" w:color="000000" w:sz="4" w:space="0"/>
              <w:bottom w:val="single" w:color="000000" w:sz="4" w:space="0"/>
              <w:right w:val="single" w:color="000000" w:sz="4" w:space="0"/>
            </w:tcBorders>
            <w:shd w:val="clear" w:color="auto" w:fill="auto"/>
            <w:noWrap/>
            <w:vAlign w:val="center"/>
          </w:tcPr>
          <w:p w14:paraId="276A50B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件</w:t>
            </w:r>
          </w:p>
        </w:tc>
        <w:tc>
          <w:tcPr>
            <w:tcW w:w="0" w:type="auto"/>
            <w:tcBorders>
              <w:top w:val="single" w:color="auto" w:sz="4" w:space="0"/>
              <w:left w:val="nil"/>
              <w:bottom w:val="nil"/>
              <w:right w:val="nil"/>
            </w:tcBorders>
            <w:shd w:val="clear" w:color="auto" w:fill="auto"/>
            <w:noWrap/>
            <w:vAlign w:val="center"/>
          </w:tcPr>
          <w:p w14:paraId="7C1CDC0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11" w:type="dxa"/>
            <w:tcBorders>
              <w:top w:val="single" w:color="auto" w:sz="4" w:space="0"/>
              <w:left w:val="single" w:color="000000" w:sz="4" w:space="0"/>
              <w:bottom w:val="single" w:color="000000" w:sz="4" w:space="0"/>
              <w:right w:val="single" w:color="000000" w:sz="4" w:space="0"/>
            </w:tcBorders>
            <w:shd w:val="clear" w:color="auto" w:fill="auto"/>
            <w:vAlign w:val="center"/>
          </w:tcPr>
          <w:p w14:paraId="18AFCDD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404</w:t>
            </w:r>
          </w:p>
        </w:tc>
        <w:tc>
          <w:tcPr>
            <w:tcW w:w="1281" w:type="dxa"/>
            <w:tcBorders>
              <w:top w:val="single" w:color="auto" w:sz="4" w:space="0"/>
              <w:left w:val="single" w:color="000000" w:sz="4" w:space="0"/>
              <w:bottom w:val="single" w:color="000000" w:sz="4" w:space="0"/>
              <w:right w:val="single" w:color="000000" w:sz="4" w:space="0"/>
            </w:tcBorders>
            <w:shd w:val="clear" w:color="auto" w:fill="auto"/>
            <w:vAlign w:val="center"/>
          </w:tcPr>
          <w:p w14:paraId="0904817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auto" w:sz="4" w:space="0"/>
              <w:left w:val="single" w:color="000000" w:sz="4" w:space="0"/>
              <w:bottom w:val="single" w:color="000000" w:sz="4" w:space="0"/>
              <w:right w:val="single" w:color="auto" w:sz="4" w:space="0"/>
            </w:tcBorders>
            <w:shd w:val="clear" w:color="auto" w:fill="auto"/>
            <w:vAlign w:val="center"/>
          </w:tcPr>
          <w:p w14:paraId="140E5533">
            <w:pPr>
              <w:jc w:val="center"/>
              <w:rPr>
                <w:rFonts w:hint="eastAsia" w:ascii="宋体" w:hAnsi="宋体" w:eastAsia="宋体" w:cs="宋体"/>
                <w:i w:val="0"/>
                <w:iCs w:val="0"/>
                <w:color w:val="auto"/>
                <w:sz w:val="22"/>
                <w:szCs w:val="22"/>
                <w:u w:val="none"/>
              </w:rPr>
            </w:pPr>
          </w:p>
        </w:tc>
      </w:tr>
      <w:tr w14:paraId="32D94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9"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D9F0A9">
            <w:pPr>
              <w:jc w:val="center"/>
              <w:rPr>
                <w:rFonts w:hint="eastAsia" w:ascii="宋体" w:hAnsi="宋体" w:eastAsia="宋体" w:cs="宋体"/>
                <w:i w:val="0"/>
                <w:iCs w:val="0"/>
                <w:color w:val="auto"/>
                <w:sz w:val="22"/>
                <w:szCs w:val="22"/>
                <w:u w:val="none"/>
              </w:rPr>
            </w:pPr>
          </w:p>
        </w:tc>
        <w:tc>
          <w:tcPr>
            <w:tcW w:w="945"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2DDDD30A">
            <w:pPr>
              <w:jc w:val="center"/>
              <w:rPr>
                <w:rFonts w:hint="eastAsia" w:ascii="宋体" w:hAnsi="宋体" w:eastAsia="宋体" w:cs="宋体"/>
                <w:i w:val="0"/>
                <w:iCs w:val="0"/>
                <w:color w:val="auto"/>
                <w:sz w:val="22"/>
                <w:szCs w:val="22"/>
                <w:u w:val="none"/>
              </w:rPr>
            </w:pPr>
          </w:p>
        </w:tc>
        <w:tc>
          <w:tcPr>
            <w:tcW w:w="3243"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C64CC9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黄土湿陷性试验（湿陷系数、自重湿陷系数、单线法自重起始压力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CE75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件</w:t>
            </w: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F038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AE75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121</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BEE7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000000" w:sz="4" w:space="0"/>
              <w:left w:val="single" w:color="000000" w:sz="4" w:space="0"/>
              <w:bottom w:val="single" w:color="000000" w:sz="4" w:space="0"/>
              <w:right w:val="single" w:color="auto" w:sz="4" w:space="0"/>
            </w:tcBorders>
            <w:shd w:val="clear" w:color="auto" w:fill="auto"/>
            <w:vAlign w:val="center"/>
          </w:tcPr>
          <w:p w14:paraId="47F61098">
            <w:pPr>
              <w:jc w:val="center"/>
              <w:rPr>
                <w:rFonts w:hint="eastAsia" w:ascii="宋体" w:hAnsi="宋体" w:eastAsia="宋体" w:cs="宋体"/>
                <w:i w:val="0"/>
                <w:iCs w:val="0"/>
                <w:color w:val="auto"/>
                <w:sz w:val="22"/>
                <w:szCs w:val="22"/>
                <w:u w:val="none"/>
              </w:rPr>
            </w:pPr>
          </w:p>
        </w:tc>
      </w:tr>
      <w:tr w14:paraId="18C30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B7F39">
            <w:pPr>
              <w:jc w:val="center"/>
              <w:rPr>
                <w:rFonts w:hint="eastAsia" w:ascii="宋体" w:hAnsi="宋体" w:eastAsia="宋体" w:cs="宋体"/>
                <w:i w:val="0"/>
                <w:iCs w:val="0"/>
                <w:color w:val="auto"/>
                <w:sz w:val="22"/>
                <w:szCs w:val="22"/>
                <w:u w:val="none"/>
              </w:rPr>
            </w:pPr>
          </w:p>
        </w:tc>
        <w:tc>
          <w:tcPr>
            <w:tcW w:w="945"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7CF230B5">
            <w:pPr>
              <w:jc w:val="center"/>
              <w:rPr>
                <w:rFonts w:hint="eastAsia" w:ascii="宋体" w:hAnsi="宋体" w:eastAsia="宋体" w:cs="宋体"/>
                <w:i w:val="0"/>
                <w:iCs w:val="0"/>
                <w:color w:val="auto"/>
                <w:sz w:val="22"/>
                <w:szCs w:val="22"/>
                <w:u w:val="none"/>
              </w:rPr>
            </w:pPr>
          </w:p>
        </w:tc>
        <w:tc>
          <w:tcPr>
            <w:tcW w:w="3243"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ED2A77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固结快剪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8880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件</w:t>
            </w: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2E0A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E552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35</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CB1D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000000" w:sz="4" w:space="0"/>
              <w:left w:val="single" w:color="000000" w:sz="4" w:space="0"/>
              <w:bottom w:val="single" w:color="000000" w:sz="4" w:space="0"/>
              <w:right w:val="single" w:color="auto" w:sz="4" w:space="0"/>
            </w:tcBorders>
            <w:shd w:val="clear" w:color="auto" w:fill="auto"/>
            <w:vAlign w:val="center"/>
          </w:tcPr>
          <w:p w14:paraId="6FB16CFA">
            <w:pPr>
              <w:jc w:val="center"/>
              <w:rPr>
                <w:rFonts w:hint="eastAsia" w:ascii="宋体" w:hAnsi="宋体" w:eastAsia="宋体" w:cs="宋体"/>
                <w:i w:val="0"/>
                <w:iCs w:val="0"/>
                <w:color w:val="auto"/>
                <w:sz w:val="22"/>
                <w:szCs w:val="22"/>
                <w:u w:val="none"/>
              </w:rPr>
            </w:pPr>
          </w:p>
        </w:tc>
      </w:tr>
      <w:tr w14:paraId="619AF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3CC6C0">
            <w:pPr>
              <w:jc w:val="center"/>
              <w:rPr>
                <w:rFonts w:hint="eastAsia" w:ascii="宋体" w:hAnsi="宋体" w:eastAsia="宋体" w:cs="宋体"/>
                <w:i w:val="0"/>
                <w:iCs w:val="0"/>
                <w:color w:val="auto"/>
                <w:sz w:val="22"/>
                <w:szCs w:val="22"/>
                <w:u w:val="none"/>
              </w:rPr>
            </w:pPr>
          </w:p>
        </w:tc>
        <w:tc>
          <w:tcPr>
            <w:tcW w:w="945"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5725FB6A">
            <w:pPr>
              <w:jc w:val="center"/>
              <w:rPr>
                <w:rFonts w:hint="eastAsia" w:ascii="宋体" w:hAnsi="宋体" w:eastAsia="宋体" w:cs="宋体"/>
                <w:i w:val="0"/>
                <w:iCs w:val="0"/>
                <w:color w:val="auto"/>
                <w:sz w:val="22"/>
                <w:szCs w:val="22"/>
                <w:u w:val="none"/>
              </w:rPr>
            </w:pPr>
          </w:p>
        </w:tc>
        <w:tc>
          <w:tcPr>
            <w:tcW w:w="3243"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08A755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重型击实试验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85F0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件</w:t>
            </w: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88D4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8431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8D07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000000" w:sz="4" w:space="0"/>
              <w:left w:val="single" w:color="000000" w:sz="4" w:space="0"/>
              <w:bottom w:val="single" w:color="000000" w:sz="4" w:space="0"/>
              <w:right w:val="single" w:color="auto" w:sz="4" w:space="0"/>
            </w:tcBorders>
            <w:shd w:val="clear" w:color="auto" w:fill="auto"/>
            <w:vAlign w:val="center"/>
          </w:tcPr>
          <w:p w14:paraId="2A8FBDE6">
            <w:pPr>
              <w:jc w:val="center"/>
              <w:rPr>
                <w:rFonts w:hint="eastAsia" w:ascii="宋体" w:hAnsi="宋体" w:eastAsia="宋体" w:cs="宋体"/>
                <w:i w:val="0"/>
                <w:iCs w:val="0"/>
                <w:color w:val="auto"/>
                <w:sz w:val="22"/>
                <w:szCs w:val="22"/>
                <w:u w:val="none"/>
              </w:rPr>
            </w:pPr>
          </w:p>
        </w:tc>
      </w:tr>
      <w:tr w14:paraId="4E9B8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AA4F8">
            <w:pPr>
              <w:jc w:val="center"/>
              <w:rPr>
                <w:rFonts w:hint="eastAsia" w:ascii="宋体" w:hAnsi="宋体" w:eastAsia="宋体" w:cs="宋体"/>
                <w:i w:val="0"/>
                <w:iCs w:val="0"/>
                <w:color w:val="auto"/>
                <w:sz w:val="22"/>
                <w:szCs w:val="22"/>
                <w:u w:val="none"/>
              </w:rPr>
            </w:pPr>
          </w:p>
        </w:tc>
        <w:tc>
          <w:tcPr>
            <w:tcW w:w="945"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7BE3FE95">
            <w:pPr>
              <w:jc w:val="center"/>
              <w:rPr>
                <w:rFonts w:hint="eastAsia" w:ascii="宋体" w:hAnsi="宋体" w:eastAsia="宋体" w:cs="宋体"/>
                <w:i w:val="0"/>
                <w:iCs w:val="0"/>
                <w:color w:val="auto"/>
                <w:sz w:val="22"/>
                <w:szCs w:val="22"/>
                <w:u w:val="none"/>
              </w:rPr>
            </w:pPr>
          </w:p>
        </w:tc>
        <w:tc>
          <w:tcPr>
            <w:tcW w:w="3243"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6BED3B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颗粒筛分（砂、砾）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BCD4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件</w:t>
            </w: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9A3A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EB5F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1A4F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000000" w:sz="4" w:space="0"/>
              <w:left w:val="single" w:color="000000" w:sz="4" w:space="0"/>
              <w:bottom w:val="single" w:color="000000" w:sz="4" w:space="0"/>
              <w:right w:val="single" w:color="auto" w:sz="4" w:space="0"/>
            </w:tcBorders>
            <w:shd w:val="clear" w:color="auto" w:fill="auto"/>
            <w:vAlign w:val="center"/>
          </w:tcPr>
          <w:p w14:paraId="54A8F87D">
            <w:pPr>
              <w:jc w:val="center"/>
              <w:rPr>
                <w:rFonts w:hint="eastAsia" w:ascii="宋体" w:hAnsi="宋体" w:eastAsia="宋体" w:cs="宋体"/>
                <w:i w:val="0"/>
                <w:iCs w:val="0"/>
                <w:color w:val="auto"/>
                <w:sz w:val="22"/>
                <w:szCs w:val="22"/>
                <w:u w:val="none"/>
              </w:rPr>
            </w:pPr>
          </w:p>
        </w:tc>
      </w:tr>
      <w:tr w14:paraId="6044A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630FFB">
            <w:pPr>
              <w:jc w:val="center"/>
              <w:rPr>
                <w:rFonts w:hint="eastAsia" w:ascii="宋体" w:hAnsi="宋体" w:eastAsia="宋体" w:cs="宋体"/>
                <w:i w:val="0"/>
                <w:iCs w:val="0"/>
                <w:color w:val="auto"/>
                <w:sz w:val="22"/>
                <w:szCs w:val="22"/>
                <w:u w:val="none"/>
              </w:rPr>
            </w:pPr>
          </w:p>
        </w:tc>
        <w:tc>
          <w:tcPr>
            <w:tcW w:w="945"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4891E0D0">
            <w:pPr>
              <w:jc w:val="center"/>
              <w:rPr>
                <w:rFonts w:hint="eastAsia" w:ascii="宋体" w:hAnsi="宋体" w:eastAsia="宋体" w:cs="宋体"/>
                <w:i w:val="0"/>
                <w:iCs w:val="0"/>
                <w:color w:val="auto"/>
                <w:sz w:val="22"/>
                <w:szCs w:val="22"/>
                <w:u w:val="none"/>
              </w:rPr>
            </w:pPr>
          </w:p>
        </w:tc>
        <w:tc>
          <w:tcPr>
            <w:tcW w:w="3243" w:type="dxa"/>
            <w:gridSpan w:val="2"/>
            <w:tcBorders>
              <w:top w:val="single" w:color="000000" w:sz="4" w:space="0"/>
              <w:left w:val="single" w:color="auto" w:sz="4" w:space="0"/>
              <w:bottom w:val="single" w:color="auto" w:sz="4" w:space="0"/>
              <w:right w:val="single" w:color="000000" w:sz="4" w:space="0"/>
            </w:tcBorders>
            <w:shd w:val="clear" w:color="auto" w:fill="auto"/>
            <w:vAlign w:val="center"/>
          </w:tcPr>
          <w:p w14:paraId="1900ABB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技术工作费</w:t>
            </w:r>
          </w:p>
        </w:tc>
        <w:tc>
          <w:tcPr>
            <w:tcW w:w="0" w:type="auto"/>
            <w:tcBorders>
              <w:top w:val="single" w:color="000000" w:sz="4" w:space="0"/>
              <w:left w:val="single" w:color="000000" w:sz="4" w:space="0"/>
              <w:bottom w:val="single" w:color="auto" w:sz="4" w:space="0"/>
              <w:right w:val="single" w:color="000000" w:sz="4" w:space="0"/>
            </w:tcBorders>
            <w:shd w:val="clear" w:color="auto" w:fill="auto"/>
            <w:noWrap/>
            <w:vAlign w:val="center"/>
          </w:tcPr>
          <w:p w14:paraId="46090D23">
            <w:pPr>
              <w:jc w:val="center"/>
              <w:rPr>
                <w:rFonts w:hint="eastAsia" w:ascii="宋体" w:hAnsi="宋体" w:eastAsia="宋体" w:cs="宋体"/>
                <w:i w:val="0"/>
                <w:iCs w:val="0"/>
                <w:color w:val="auto"/>
                <w:sz w:val="22"/>
                <w:szCs w:val="22"/>
                <w:u w:val="none"/>
              </w:rPr>
            </w:pPr>
          </w:p>
        </w:tc>
        <w:tc>
          <w:tcPr>
            <w:tcW w:w="957" w:type="dxa"/>
            <w:tcBorders>
              <w:top w:val="single" w:color="000000" w:sz="4" w:space="0"/>
              <w:left w:val="single" w:color="000000" w:sz="4" w:space="0"/>
              <w:bottom w:val="single" w:color="auto" w:sz="4" w:space="0"/>
              <w:right w:val="single" w:color="000000" w:sz="4" w:space="0"/>
            </w:tcBorders>
            <w:shd w:val="clear" w:color="auto" w:fill="auto"/>
            <w:vAlign w:val="center"/>
          </w:tcPr>
          <w:p w14:paraId="60C3D42D">
            <w:pPr>
              <w:jc w:val="center"/>
              <w:rPr>
                <w:rFonts w:hint="eastAsia" w:ascii="宋体" w:hAnsi="宋体" w:eastAsia="宋体" w:cs="宋体"/>
                <w:i w:val="0"/>
                <w:iCs w:val="0"/>
                <w:color w:val="auto"/>
                <w:sz w:val="22"/>
                <w:szCs w:val="22"/>
                <w:u w:val="none"/>
              </w:rPr>
            </w:pPr>
          </w:p>
        </w:tc>
        <w:tc>
          <w:tcPr>
            <w:tcW w:w="911" w:type="dxa"/>
            <w:tcBorders>
              <w:top w:val="single" w:color="000000" w:sz="4" w:space="0"/>
              <w:left w:val="single" w:color="000000" w:sz="4" w:space="0"/>
              <w:bottom w:val="single" w:color="auto" w:sz="4" w:space="0"/>
              <w:right w:val="single" w:color="000000" w:sz="4" w:space="0"/>
            </w:tcBorders>
            <w:shd w:val="clear" w:color="auto" w:fill="auto"/>
            <w:vAlign w:val="center"/>
          </w:tcPr>
          <w:p w14:paraId="0E7FD790">
            <w:pPr>
              <w:jc w:val="center"/>
              <w:rPr>
                <w:rFonts w:hint="eastAsia" w:ascii="宋体" w:hAnsi="宋体" w:eastAsia="宋体" w:cs="宋体"/>
                <w:i w:val="0"/>
                <w:iCs w:val="0"/>
                <w:color w:val="auto"/>
                <w:sz w:val="22"/>
                <w:szCs w:val="22"/>
                <w:u w:val="none"/>
              </w:rPr>
            </w:pPr>
          </w:p>
        </w:tc>
        <w:tc>
          <w:tcPr>
            <w:tcW w:w="1281" w:type="dxa"/>
            <w:tcBorders>
              <w:top w:val="single" w:color="000000" w:sz="4" w:space="0"/>
              <w:left w:val="single" w:color="000000" w:sz="4" w:space="0"/>
              <w:bottom w:val="single" w:color="auto" w:sz="4" w:space="0"/>
              <w:right w:val="single" w:color="000000" w:sz="4" w:space="0"/>
            </w:tcBorders>
            <w:shd w:val="clear" w:color="auto" w:fill="auto"/>
            <w:vAlign w:val="center"/>
          </w:tcPr>
          <w:p w14:paraId="58DE625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000000" w:sz="4" w:space="0"/>
              <w:left w:val="single" w:color="000000" w:sz="4" w:space="0"/>
              <w:bottom w:val="single" w:color="auto" w:sz="4" w:space="0"/>
              <w:right w:val="single" w:color="auto" w:sz="4" w:space="0"/>
            </w:tcBorders>
            <w:shd w:val="clear" w:color="auto" w:fill="auto"/>
            <w:vAlign w:val="center"/>
          </w:tcPr>
          <w:p w14:paraId="15205BAE">
            <w:pPr>
              <w:jc w:val="center"/>
              <w:rPr>
                <w:rFonts w:hint="eastAsia" w:ascii="宋体" w:hAnsi="宋体" w:eastAsia="宋体" w:cs="宋体"/>
                <w:i w:val="0"/>
                <w:iCs w:val="0"/>
                <w:color w:val="auto"/>
                <w:sz w:val="22"/>
                <w:szCs w:val="22"/>
                <w:u w:val="none"/>
              </w:rPr>
            </w:pPr>
          </w:p>
        </w:tc>
      </w:tr>
      <w:tr w14:paraId="425D6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C74B5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F0172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土质腐蚀性分析</w:t>
            </w:r>
          </w:p>
        </w:tc>
        <w:tc>
          <w:tcPr>
            <w:tcW w:w="3243"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14:paraId="7CC2B7A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土质腐蚀性试验</w:t>
            </w:r>
          </w:p>
        </w:tc>
        <w:tc>
          <w:tcPr>
            <w:tcW w:w="0" w:type="auto"/>
            <w:tcBorders>
              <w:top w:val="single" w:color="auto" w:sz="4" w:space="0"/>
              <w:left w:val="single" w:color="000000" w:sz="4" w:space="0"/>
              <w:bottom w:val="single" w:color="000000" w:sz="4" w:space="0"/>
              <w:right w:val="single" w:color="000000" w:sz="4" w:space="0"/>
            </w:tcBorders>
            <w:shd w:val="clear" w:color="auto" w:fill="auto"/>
            <w:noWrap/>
            <w:vAlign w:val="center"/>
          </w:tcPr>
          <w:p w14:paraId="3F58CC7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件</w:t>
            </w:r>
          </w:p>
        </w:tc>
        <w:tc>
          <w:tcPr>
            <w:tcW w:w="957" w:type="dxa"/>
            <w:tcBorders>
              <w:top w:val="single" w:color="auto" w:sz="4" w:space="0"/>
              <w:left w:val="single" w:color="000000" w:sz="4" w:space="0"/>
              <w:bottom w:val="single" w:color="000000" w:sz="4" w:space="0"/>
              <w:right w:val="single" w:color="000000" w:sz="4" w:space="0"/>
            </w:tcBorders>
            <w:shd w:val="clear" w:color="auto" w:fill="auto"/>
            <w:vAlign w:val="center"/>
          </w:tcPr>
          <w:p w14:paraId="4503D70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11" w:type="dxa"/>
            <w:tcBorders>
              <w:top w:val="single" w:color="auto" w:sz="4" w:space="0"/>
              <w:left w:val="single" w:color="000000" w:sz="4" w:space="0"/>
              <w:bottom w:val="single" w:color="000000" w:sz="4" w:space="0"/>
              <w:right w:val="single" w:color="000000" w:sz="4" w:space="0"/>
            </w:tcBorders>
            <w:shd w:val="clear" w:color="auto" w:fill="auto"/>
            <w:vAlign w:val="center"/>
          </w:tcPr>
          <w:p w14:paraId="1FA6A8C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w:t>
            </w:r>
          </w:p>
        </w:tc>
        <w:tc>
          <w:tcPr>
            <w:tcW w:w="1281" w:type="dxa"/>
            <w:tcBorders>
              <w:top w:val="single" w:color="auto" w:sz="4" w:space="0"/>
              <w:left w:val="single" w:color="000000" w:sz="4" w:space="0"/>
              <w:bottom w:val="single" w:color="000000" w:sz="4" w:space="0"/>
              <w:right w:val="single" w:color="000000" w:sz="4" w:space="0"/>
            </w:tcBorders>
            <w:shd w:val="clear" w:color="auto" w:fill="auto"/>
            <w:vAlign w:val="center"/>
          </w:tcPr>
          <w:p w14:paraId="26C89A5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auto" w:sz="4" w:space="0"/>
              <w:left w:val="single" w:color="000000" w:sz="4" w:space="0"/>
              <w:bottom w:val="single" w:color="000000" w:sz="4" w:space="0"/>
              <w:right w:val="single" w:color="000000" w:sz="4" w:space="0"/>
            </w:tcBorders>
            <w:shd w:val="clear" w:color="auto" w:fill="auto"/>
            <w:vAlign w:val="center"/>
          </w:tcPr>
          <w:p w14:paraId="7DDC634F">
            <w:pPr>
              <w:jc w:val="center"/>
              <w:rPr>
                <w:rFonts w:hint="eastAsia" w:ascii="宋体" w:hAnsi="宋体" w:eastAsia="宋体" w:cs="宋体"/>
                <w:i w:val="0"/>
                <w:iCs w:val="0"/>
                <w:color w:val="auto"/>
                <w:sz w:val="22"/>
                <w:szCs w:val="22"/>
                <w:u w:val="none"/>
              </w:rPr>
            </w:pPr>
          </w:p>
        </w:tc>
      </w:tr>
      <w:tr w14:paraId="0C8EA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7"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B5BF6B">
            <w:pPr>
              <w:jc w:val="center"/>
              <w:rPr>
                <w:rFonts w:hint="eastAsia" w:ascii="宋体" w:hAnsi="宋体" w:eastAsia="宋体" w:cs="宋体"/>
                <w:i w:val="0"/>
                <w:iCs w:val="0"/>
                <w:color w:val="auto"/>
                <w:sz w:val="22"/>
                <w:szCs w:val="22"/>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0CCD80">
            <w:pPr>
              <w:jc w:val="center"/>
              <w:rPr>
                <w:rFonts w:hint="eastAsia" w:ascii="宋体" w:hAnsi="宋体" w:eastAsia="宋体" w:cs="宋体"/>
                <w:i w:val="0"/>
                <w:iCs w:val="0"/>
                <w:color w:val="auto"/>
                <w:sz w:val="22"/>
                <w:szCs w:val="22"/>
                <w:u w:val="none"/>
              </w:rPr>
            </w:pPr>
          </w:p>
        </w:tc>
        <w:tc>
          <w:tcPr>
            <w:tcW w:w="32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34AA6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技术工作费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CA1BD">
            <w:pPr>
              <w:jc w:val="center"/>
              <w:rPr>
                <w:rFonts w:hint="eastAsia" w:ascii="宋体" w:hAnsi="宋体" w:eastAsia="宋体" w:cs="宋体"/>
                <w:i w:val="0"/>
                <w:iCs w:val="0"/>
                <w:color w:val="auto"/>
                <w:sz w:val="22"/>
                <w:szCs w:val="22"/>
                <w:u w:val="none"/>
              </w:rPr>
            </w:pP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A03B0">
            <w:pPr>
              <w:jc w:val="center"/>
              <w:rPr>
                <w:rFonts w:hint="eastAsia" w:ascii="宋体" w:hAnsi="宋体" w:eastAsia="宋体" w:cs="宋体"/>
                <w:i w:val="0"/>
                <w:iCs w:val="0"/>
                <w:color w:val="auto"/>
                <w:sz w:val="22"/>
                <w:szCs w:val="22"/>
                <w:u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F5D23">
            <w:pPr>
              <w:jc w:val="center"/>
              <w:rPr>
                <w:rFonts w:hint="eastAsia" w:ascii="宋体" w:hAnsi="宋体" w:eastAsia="宋体" w:cs="宋体"/>
                <w:i w:val="0"/>
                <w:iCs w:val="0"/>
                <w:color w:val="auto"/>
                <w:sz w:val="22"/>
                <w:szCs w:val="22"/>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C936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754E4">
            <w:pPr>
              <w:jc w:val="center"/>
              <w:rPr>
                <w:rFonts w:hint="eastAsia" w:ascii="宋体" w:hAnsi="宋体" w:eastAsia="宋体" w:cs="宋体"/>
                <w:i w:val="0"/>
                <w:iCs w:val="0"/>
                <w:color w:val="auto"/>
                <w:sz w:val="22"/>
                <w:szCs w:val="22"/>
                <w:u w:val="none"/>
              </w:rPr>
            </w:pPr>
          </w:p>
        </w:tc>
      </w:tr>
      <w:tr w14:paraId="4DEA2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342EE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w:t>
            </w:r>
          </w:p>
        </w:tc>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7FDA4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水质腐蚀性分析</w:t>
            </w:r>
          </w:p>
        </w:tc>
        <w:tc>
          <w:tcPr>
            <w:tcW w:w="32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AB5D5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水质腐蚀性试验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B9BF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件</w:t>
            </w: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FB939">
            <w:pPr>
              <w:jc w:val="center"/>
              <w:rPr>
                <w:rFonts w:hint="eastAsia" w:ascii="宋体" w:hAnsi="宋体" w:eastAsia="宋体" w:cs="宋体"/>
                <w:i w:val="0"/>
                <w:iCs w:val="0"/>
                <w:color w:val="auto"/>
                <w:sz w:val="22"/>
                <w:szCs w:val="22"/>
                <w:u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FA3D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2B30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F73D6">
            <w:pPr>
              <w:jc w:val="center"/>
              <w:rPr>
                <w:rFonts w:hint="eastAsia" w:ascii="宋体" w:hAnsi="宋体" w:eastAsia="宋体" w:cs="宋体"/>
                <w:i w:val="0"/>
                <w:iCs w:val="0"/>
                <w:color w:val="auto"/>
                <w:sz w:val="22"/>
                <w:szCs w:val="22"/>
                <w:u w:val="none"/>
              </w:rPr>
            </w:pPr>
          </w:p>
        </w:tc>
      </w:tr>
      <w:tr w14:paraId="10E63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0925E6">
            <w:pPr>
              <w:jc w:val="center"/>
              <w:rPr>
                <w:rFonts w:hint="eastAsia" w:ascii="宋体" w:hAnsi="宋体" w:eastAsia="宋体" w:cs="宋体"/>
                <w:i w:val="0"/>
                <w:iCs w:val="0"/>
                <w:color w:val="auto"/>
                <w:sz w:val="22"/>
                <w:szCs w:val="22"/>
                <w:u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D3C2CD">
            <w:pPr>
              <w:jc w:val="center"/>
              <w:rPr>
                <w:rFonts w:hint="eastAsia" w:ascii="宋体" w:hAnsi="宋体" w:eastAsia="宋体" w:cs="宋体"/>
                <w:i w:val="0"/>
                <w:iCs w:val="0"/>
                <w:color w:val="auto"/>
                <w:sz w:val="22"/>
                <w:szCs w:val="22"/>
                <w:u w:val="none"/>
              </w:rPr>
            </w:pPr>
          </w:p>
        </w:tc>
        <w:tc>
          <w:tcPr>
            <w:tcW w:w="32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63219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技术工作费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81817">
            <w:pPr>
              <w:jc w:val="center"/>
              <w:rPr>
                <w:rFonts w:hint="eastAsia" w:ascii="宋体" w:hAnsi="宋体" w:eastAsia="宋体" w:cs="宋体"/>
                <w:i w:val="0"/>
                <w:iCs w:val="0"/>
                <w:color w:val="auto"/>
                <w:sz w:val="22"/>
                <w:szCs w:val="22"/>
                <w:u w:val="none"/>
              </w:rPr>
            </w:pP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A2119">
            <w:pPr>
              <w:jc w:val="center"/>
              <w:rPr>
                <w:rFonts w:hint="eastAsia" w:ascii="宋体" w:hAnsi="宋体" w:eastAsia="宋体" w:cs="宋体"/>
                <w:i w:val="0"/>
                <w:iCs w:val="0"/>
                <w:color w:val="auto"/>
                <w:sz w:val="22"/>
                <w:szCs w:val="22"/>
                <w:u w:val="none"/>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B8481">
            <w:pPr>
              <w:jc w:val="center"/>
              <w:rPr>
                <w:rFonts w:hint="eastAsia" w:ascii="宋体" w:hAnsi="宋体" w:eastAsia="宋体" w:cs="宋体"/>
                <w:i w:val="0"/>
                <w:iCs w:val="0"/>
                <w:color w:val="auto"/>
                <w:sz w:val="22"/>
                <w:szCs w:val="22"/>
                <w:u w:val="none"/>
              </w:rPr>
            </w:pP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DFF5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5E93A">
            <w:pPr>
              <w:jc w:val="center"/>
              <w:rPr>
                <w:rFonts w:hint="eastAsia" w:ascii="宋体" w:hAnsi="宋体" w:eastAsia="宋体" w:cs="宋体"/>
                <w:i w:val="0"/>
                <w:iCs w:val="0"/>
                <w:color w:val="auto"/>
                <w:sz w:val="22"/>
                <w:szCs w:val="22"/>
                <w:u w:val="none"/>
              </w:rPr>
            </w:pPr>
          </w:p>
        </w:tc>
      </w:tr>
      <w:tr w14:paraId="61866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FC10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w:t>
            </w:r>
          </w:p>
        </w:tc>
        <w:tc>
          <w:tcPr>
            <w:tcW w:w="418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BFA37D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总计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1037D">
            <w:pPr>
              <w:jc w:val="center"/>
              <w:rPr>
                <w:rFonts w:hint="eastAsia" w:ascii="宋体" w:hAnsi="宋体" w:eastAsia="宋体" w:cs="宋体"/>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81D12">
            <w:pPr>
              <w:jc w:val="center"/>
              <w:rPr>
                <w:rFonts w:hint="eastAsia" w:ascii="宋体" w:hAnsi="宋体" w:eastAsia="宋体" w:cs="宋体"/>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E80C7">
            <w:pPr>
              <w:jc w:val="center"/>
              <w:rPr>
                <w:rFonts w:hint="eastAsia" w:ascii="宋体" w:hAnsi="宋体" w:eastAsia="宋体" w:cs="宋体"/>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DCFF8">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76357">
            <w:pPr>
              <w:jc w:val="center"/>
              <w:rPr>
                <w:rFonts w:hint="eastAsia" w:ascii="宋体" w:hAnsi="宋体" w:eastAsia="宋体" w:cs="宋体"/>
                <w:b/>
                <w:bCs/>
                <w:i w:val="0"/>
                <w:iCs w:val="0"/>
                <w:color w:val="auto"/>
                <w:sz w:val="22"/>
                <w:szCs w:val="22"/>
                <w:u w:val="none"/>
              </w:rPr>
            </w:pPr>
          </w:p>
        </w:tc>
      </w:tr>
    </w:tbl>
    <w:p w14:paraId="37671D47">
      <w:pPr>
        <w:rPr>
          <w:rFonts w:hint="eastAsia" w:ascii="宋体" w:hAnsi="宋体" w:eastAsia="宋体" w:cs="宋体"/>
          <w:b w:val="0"/>
          <w:bCs/>
          <w:color w:val="auto"/>
          <w:highlight w:val="none"/>
        </w:rPr>
        <w:sectPr>
          <w:pgSz w:w="11910" w:h="16840"/>
          <w:pgMar w:top="1440" w:right="1080" w:bottom="1440" w:left="1080" w:header="517" w:footer="1004" w:gutter="0"/>
          <w:pgNumType w:fmt="decimal"/>
          <w:cols w:space="720" w:num="1"/>
        </w:sectPr>
      </w:pPr>
    </w:p>
    <w:tbl>
      <w:tblPr>
        <w:tblStyle w:val="24"/>
        <w:tblW w:w="100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57"/>
        <w:gridCol w:w="958"/>
        <w:gridCol w:w="1856"/>
        <w:gridCol w:w="786"/>
        <w:gridCol w:w="958"/>
        <w:gridCol w:w="965"/>
        <w:gridCol w:w="965"/>
        <w:gridCol w:w="1288"/>
        <w:gridCol w:w="1287"/>
      </w:tblGrid>
      <w:tr w14:paraId="0A189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10020" w:type="dxa"/>
            <w:gridSpan w:val="9"/>
            <w:tcBorders>
              <w:top w:val="nil"/>
              <w:left w:val="nil"/>
              <w:bottom w:val="nil"/>
              <w:right w:val="nil"/>
            </w:tcBorders>
            <w:shd w:val="clear" w:color="auto" w:fill="auto"/>
            <w:vAlign w:val="center"/>
          </w:tcPr>
          <w:p w14:paraId="0ACCD60C">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绥德县城市公益性公墓、殡仪馆建设项目建筑物勘察</w:t>
            </w:r>
          </w:p>
        </w:tc>
      </w:tr>
      <w:tr w14:paraId="292B4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9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7A17BC">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序号</w:t>
            </w: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4AD89E">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项目名称</w:t>
            </w:r>
          </w:p>
        </w:tc>
        <w:tc>
          <w:tcPr>
            <w:tcW w:w="26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EF3F4E">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地层</w:t>
            </w: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28353E">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单位</w:t>
            </w:r>
          </w:p>
        </w:tc>
        <w:tc>
          <w:tcPr>
            <w:tcW w:w="32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6F430E6">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12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0FA636">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备注</w:t>
            </w:r>
          </w:p>
        </w:tc>
      </w:tr>
      <w:tr w14:paraId="241A3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3" w:hRule="atLeast"/>
        </w:trPr>
        <w:tc>
          <w:tcPr>
            <w:tcW w:w="9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D08657">
            <w:pPr>
              <w:jc w:val="center"/>
              <w:rPr>
                <w:rFonts w:hint="eastAsia" w:ascii="宋体" w:hAnsi="宋体" w:eastAsia="宋体" w:cs="宋体"/>
                <w:b/>
                <w:bCs/>
                <w:i w:val="0"/>
                <w:iCs w:val="0"/>
                <w:color w:val="auto"/>
                <w:sz w:val="22"/>
                <w:szCs w:val="22"/>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CF3E2">
            <w:pPr>
              <w:jc w:val="center"/>
              <w:rPr>
                <w:rFonts w:hint="eastAsia" w:ascii="宋体" w:hAnsi="宋体" w:eastAsia="宋体" w:cs="宋体"/>
                <w:b/>
                <w:bCs/>
                <w:i w:val="0"/>
                <w:iCs w:val="0"/>
                <w:color w:val="auto"/>
                <w:sz w:val="22"/>
                <w:szCs w:val="22"/>
                <w:u w:val="none"/>
              </w:rPr>
            </w:pP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EFFCC">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深度范围(m)</w:t>
            </w: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854AA">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类别</w:t>
            </w: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E81DE">
            <w:pPr>
              <w:jc w:val="center"/>
              <w:rPr>
                <w:rFonts w:hint="eastAsia" w:ascii="宋体" w:hAnsi="宋体" w:eastAsia="宋体" w:cs="宋体"/>
                <w:b/>
                <w:bCs/>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8142B">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单价</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4D8E4">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工作量</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44F53">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小计（元）</w:t>
            </w:r>
          </w:p>
        </w:tc>
        <w:tc>
          <w:tcPr>
            <w:tcW w:w="12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894ADF">
            <w:pPr>
              <w:jc w:val="center"/>
              <w:rPr>
                <w:rFonts w:hint="eastAsia" w:ascii="宋体" w:hAnsi="宋体" w:eastAsia="宋体" w:cs="宋体"/>
                <w:b/>
                <w:bCs/>
                <w:i w:val="0"/>
                <w:iCs w:val="0"/>
                <w:color w:val="auto"/>
                <w:sz w:val="22"/>
                <w:szCs w:val="22"/>
                <w:u w:val="none"/>
              </w:rPr>
            </w:pPr>
          </w:p>
        </w:tc>
      </w:tr>
      <w:tr w14:paraId="2B986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trPr>
        <w:tc>
          <w:tcPr>
            <w:tcW w:w="9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C405E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0B14C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测放点</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24EC9">
            <w:pPr>
              <w:jc w:val="center"/>
              <w:rPr>
                <w:rFonts w:hint="eastAsia" w:ascii="宋体" w:hAnsi="宋体" w:eastAsia="宋体" w:cs="宋体"/>
                <w:i w:val="0"/>
                <w:iCs w:val="0"/>
                <w:color w:val="auto"/>
                <w:sz w:val="22"/>
                <w:szCs w:val="22"/>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E3A45">
            <w:pPr>
              <w:jc w:val="center"/>
              <w:rPr>
                <w:rFonts w:hint="eastAsia" w:ascii="宋体" w:hAnsi="宋体" w:eastAsia="宋体" w:cs="宋体"/>
                <w:i w:val="0"/>
                <w:iCs w:val="0"/>
                <w:color w:val="auto"/>
                <w:sz w:val="22"/>
                <w:szCs w:val="22"/>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AFE8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组日</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2D8A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F195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2 </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E0FE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D8AB9">
            <w:pPr>
              <w:jc w:val="center"/>
              <w:rPr>
                <w:rFonts w:hint="eastAsia" w:ascii="宋体" w:hAnsi="宋体" w:eastAsia="宋体" w:cs="宋体"/>
                <w:i w:val="0"/>
                <w:iCs w:val="0"/>
                <w:color w:val="auto"/>
                <w:sz w:val="22"/>
                <w:szCs w:val="22"/>
                <w:u w:val="none"/>
              </w:rPr>
            </w:pPr>
          </w:p>
        </w:tc>
      </w:tr>
      <w:tr w14:paraId="608F8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9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E2BCB9">
            <w:pPr>
              <w:jc w:val="center"/>
              <w:rPr>
                <w:rFonts w:hint="eastAsia" w:ascii="宋体" w:hAnsi="宋体" w:eastAsia="宋体" w:cs="宋体"/>
                <w:i w:val="0"/>
                <w:iCs w:val="0"/>
                <w:color w:val="auto"/>
                <w:sz w:val="22"/>
                <w:szCs w:val="22"/>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CC7420">
            <w:pPr>
              <w:jc w:val="center"/>
              <w:rPr>
                <w:rFonts w:hint="eastAsia" w:ascii="宋体" w:hAnsi="宋体" w:eastAsia="宋体" w:cs="宋体"/>
                <w:i w:val="0"/>
                <w:iCs w:val="0"/>
                <w:color w:val="auto"/>
                <w:sz w:val="22"/>
                <w:szCs w:val="22"/>
                <w:u w:val="none"/>
              </w:rPr>
            </w:pPr>
          </w:p>
        </w:tc>
        <w:tc>
          <w:tcPr>
            <w:tcW w:w="26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E45FE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技术工作费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9EAC5">
            <w:pPr>
              <w:jc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16F6F">
            <w:pPr>
              <w:jc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3A89C">
            <w:pPr>
              <w:jc w:val="center"/>
              <w:rPr>
                <w:rFonts w:hint="eastAsia" w:ascii="宋体" w:hAnsi="宋体" w:eastAsia="宋体" w:cs="宋体"/>
                <w:i w:val="0"/>
                <w:iCs w:val="0"/>
                <w:color w:val="auto"/>
                <w:sz w:val="22"/>
                <w:szCs w:val="22"/>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8927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7F876">
            <w:pPr>
              <w:jc w:val="center"/>
              <w:rPr>
                <w:rFonts w:hint="eastAsia" w:ascii="宋体" w:hAnsi="宋体" w:eastAsia="宋体" w:cs="宋体"/>
                <w:i w:val="0"/>
                <w:iCs w:val="0"/>
                <w:color w:val="auto"/>
                <w:sz w:val="22"/>
                <w:szCs w:val="22"/>
                <w:u w:val="none"/>
              </w:rPr>
            </w:pPr>
          </w:p>
        </w:tc>
      </w:tr>
      <w:tr w14:paraId="1D5CD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trPr>
        <w:tc>
          <w:tcPr>
            <w:tcW w:w="9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36907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7F264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钻探</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C234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D≤10</w:t>
            </w:r>
          </w:p>
        </w:tc>
        <w:tc>
          <w:tcPr>
            <w:tcW w:w="7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3DF56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Ⅱ</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FBEA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70B2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5D79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840 </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C5F9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7AA9D">
            <w:pPr>
              <w:jc w:val="center"/>
              <w:rPr>
                <w:rFonts w:hint="eastAsia" w:ascii="宋体" w:hAnsi="宋体" w:eastAsia="宋体" w:cs="宋体"/>
                <w:i w:val="0"/>
                <w:iCs w:val="0"/>
                <w:color w:val="auto"/>
                <w:sz w:val="22"/>
                <w:szCs w:val="22"/>
                <w:u w:val="none"/>
              </w:rPr>
            </w:pPr>
          </w:p>
        </w:tc>
      </w:tr>
      <w:tr w14:paraId="08C3E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9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6F4675">
            <w:pPr>
              <w:jc w:val="center"/>
              <w:rPr>
                <w:rFonts w:hint="eastAsia" w:ascii="宋体" w:hAnsi="宋体" w:eastAsia="宋体" w:cs="宋体"/>
                <w:i w:val="0"/>
                <w:iCs w:val="0"/>
                <w:color w:val="auto"/>
                <w:sz w:val="22"/>
                <w:szCs w:val="22"/>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B6A368">
            <w:pPr>
              <w:jc w:val="center"/>
              <w:rPr>
                <w:rFonts w:hint="eastAsia" w:ascii="宋体" w:hAnsi="宋体" w:eastAsia="宋体" w:cs="宋体"/>
                <w:i w:val="0"/>
                <w:iCs w:val="0"/>
                <w:color w:val="auto"/>
                <w:sz w:val="22"/>
                <w:szCs w:val="22"/>
                <w:u w:val="none"/>
              </w:rPr>
            </w:pP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6069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10&lt;D≤20</w:t>
            </w:r>
          </w:p>
        </w:tc>
        <w:tc>
          <w:tcPr>
            <w:tcW w:w="7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324E76">
            <w:pPr>
              <w:jc w:val="center"/>
              <w:rPr>
                <w:rFonts w:hint="eastAsia" w:ascii="宋体" w:hAnsi="宋体" w:eastAsia="宋体" w:cs="宋体"/>
                <w:i w:val="0"/>
                <w:iCs w:val="0"/>
                <w:color w:val="auto"/>
                <w:sz w:val="22"/>
                <w:szCs w:val="22"/>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8431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56A3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0787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750 </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9FF8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1D28B">
            <w:pPr>
              <w:jc w:val="center"/>
              <w:rPr>
                <w:rFonts w:hint="eastAsia" w:ascii="宋体" w:hAnsi="宋体" w:eastAsia="宋体" w:cs="宋体"/>
                <w:i w:val="0"/>
                <w:iCs w:val="0"/>
                <w:color w:val="auto"/>
                <w:sz w:val="22"/>
                <w:szCs w:val="22"/>
                <w:u w:val="none"/>
              </w:rPr>
            </w:pPr>
          </w:p>
        </w:tc>
      </w:tr>
      <w:tr w14:paraId="7DFFA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9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81C925">
            <w:pPr>
              <w:jc w:val="center"/>
              <w:rPr>
                <w:rFonts w:hint="eastAsia" w:ascii="宋体" w:hAnsi="宋体" w:eastAsia="宋体" w:cs="宋体"/>
                <w:i w:val="0"/>
                <w:iCs w:val="0"/>
                <w:color w:val="auto"/>
                <w:sz w:val="22"/>
                <w:szCs w:val="22"/>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9A5289">
            <w:pPr>
              <w:jc w:val="center"/>
              <w:rPr>
                <w:rFonts w:hint="eastAsia" w:ascii="宋体" w:hAnsi="宋体" w:eastAsia="宋体" w:cs="宋体"/>
                <w:i w:val="0"/>
                <w:iCs w:val="0"/>
                <w:color w:val="auto"/>
                <w:sz w:val="22"/>
                <w:szCs w:val="22"/>
                <w:u w:val="none"/>
              </w:rPr>
            </w:pP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6C1D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20≤D≤30</w:t>
            </w:r>
          </w:p>
        </w:tc>
        <w:tc>
          <w:tcPr>
            <w:tcW w:w="7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724FF1">
            <w:pPr>
              <w:jc w:val="center"/>
              <w:rPr>
                <w:rFonts w:hint="eastAsia" w:ascii="宋体" w:hAnsi="宋体" w:eastAsia="宋体" w:cs="宋体"/>
                <w:i w:val="0"/>
                <w:iCs w:val="0"/>
                <w:color w:val="auto"/>
                <w:sz w:val="22"/>
                <w:szCs w:val="22"/>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C342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A618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A80F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295 </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5872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8C1F9">
            <w:pPr>
              <w:jc w:val="center"/>
              <w:rPr>
                <w:rFonts w:hint="eastAsia" w:ascii="宋体" w:hAnsi="宋体" w:eastAsia="宋体" w:cs="宋体"/>
                <w:i w:val="0"/>
                <w:iCs w:val="0"/>
                <w:color w:val="auto"/>
                <w:sz w:val="22"/>
                <w:szCs w:val="22"/>
                <w:u w:val="none"/>
              </w:rPr>
            </w:pPr>
          </w:p>
        </w:tc>
      </w:tr>
      <w:tr w14:paraId="4A34E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9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C21A32">
            <w:pPr>
              <w:jc w:val="center"/>
              <w:rPr>
                <w:rFonts w:hint="eastAsia" w:ascii="宋体" w:hAnsi="宋体" w:eastAsia="宋体" w:cs="宋体"/>
                <w:i w:val="0"/>
                <w:iCs w:val="0"/>
                <w:color w:val="auto"/>
                <w:sz w:val="22"/>
                <w:szCs w:val="22"/>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3F6F1F">
            <w:pPr>
              <w:jc w:val="center"/>
              <w:rPr>
                <w:rFonts w:hint="eastAsia" w:ascii="宋体" w:hAnsi="宋体" w:eastAsia="宋体" w:cs="宋体"/>
                <w:i w:val="0"/>
                <w:iCs w:val="0"/>
                <w:color w:val="auto"/>
                <w:sz w:val="22"/>
                <w:szCs w:val="22"/>
                <w:u w:val="none"/>
              </w:rPr>
            </w:pP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5352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30&lt;D≤40</w:t>
            </w:r>
          </w:p>
        </w:tc>
        <w:tc>
          <w:tcPr>
            <w:tcW w:w="7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B28AC1">
            <w:pPr>
              <w:jc w:val="center"/>
              <w:rPr>
                <w:rFonts w:hint="eastAsia" w:ascii="宋体" w:hAnsi="宋体" w:eastAsia="宋体" w:cs="宋体"/>
                <w:i w:val="0"/>
                <w:iCs w:val="0"/>
                <w:color w:val="auto"/>
                <w:sz w:val="22"/>
                <w:szCs w:val="22"/>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8BD2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F313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FF4D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235 </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9C57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82C87">
            <w:pPr>
              <w:jc w:val="center"/>
              <w:rPr>
                <w:rFonts w:hint="eastAsia" w:ascii="宋体" w:hAnsi="宋体" w:eastAsia="宋体" w:cs="宋体"/>
                <w:i w:val="0"/>
                <w:iCs w:val="0"/>
                <w:color w:val="auto"/>
                <w:sz w:val="22"/>
                <w:szCs w:val="22"/>
                <w:u w:val="none"/>
              </w:rPr>
            </w:pPr>
          </w:p>
        </w:tc>
      </w:tr>
      <w:tr w14:paraId="76901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trPr>
        <w:tc>
          <w:tcPr>
            <w:tcW w:w="9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31E137">
            <w:pPr>
              <w:jc w:val="center"/>
              <w:rPr>
                <w:rFonts w:hint="eastAsia" w:ascii="宋体" w:hAnsi="宋体" w:eastAsia="宋体" w:cs="宋体"/>
                <w:i w:val="0"/>
                <w:iCs w:val="0"/>
                <w:color w:val="auto"/>
                <w:sz w:val="22"/>
                <w:szCs w:val="22"/>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51EDBF">
            <w:pPr>
              <w:jc w:val="center"/>
              <w:rPr>
                <w:rFonts w:hint="eastAsia" w:ascii="宋体" w:hAnsi="宋体" w:eastAsia="宋体" w:cs="宋体"/>
                <w:i w:val="0"/>
                <w:iCs w:val="0"/>
                <w:color w:val="auto"/>
                <w:sz w:val="22"/>
                <w:szCs w:val="22"/>
                <w:u w:val="none"/>
              </w:rPr>
            </w:pP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C0AF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40&lt;D≤50</w:t>
            </w:r>
          </w:p>
        </w:tc>
        <w:tc>
          <w:tcPr>
            <w:tcW w:w="7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AE40DF">
            <w:pPr>
              <w:jc w:val="center"/>
              <w:rPr>
                <w:rFonts w:hint="eastAsia" w:ascii="宋体" w:hAnsi="宋体" w:eastAsia="宋体" w:cs="宋体"/>
                <w:i w:val="0"/>
                <w:iCs w:val="0"/>
                <w:color w:val="auto"/>
                <w:sz w:val="22"/>
                <w:szCs w:val="22"/>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85E9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CBA0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6FD3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210 </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BE35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E328D">
            <w:pPr>
              <w:jc w:val="center"/>
              <w:rPr>
                <w:rFonts w:hint="eastAsia" w:ascii="宋体" w:hAnsi="宋体" w:eastAsia="宋体" w:cs="宋体"/>
                <w:i w:val="0"/>
                <w:iCs w:val="0"/>
                <w:color w:val="auto"/>
                <w:sz w:val="22"/>
                <w:szCs w:val="22"/>
                <w:u w:val="none"/>
              </w:rPr>
            </w:pPr>
          </w:p>
        </w:tc>
      </w:tr>
      <w:tr w14:paraId="49139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9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986213">
            <w:pPr>
              <w:jc w:val="center"/>
              <w:rPr>
                <w:rFonts w:hint="eastAsia" w:ascii="宋体" w:hAnsi="宋体" w:eastAsia="宋体" w:cs="宋体"/>
                <w:i w:val="0"/>
                <w:iCs w:val="0"/>
                <w:color w:val="auto"/>
                <w:sz w:val="22"/>
                <w:szCs w:val="22"/>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B25368">
            <w:pPr>
              <w:jc w:val="center"/>
              <w:rPr>
                <w:rFonts w:hint="eastAsia" w:ascii="宋体" w:hAnsi="宋体" w:eastAsia="宋体" w:cs="宋体"/>
                <w:i w:val="0"/>
                <w:iCs w:val="0"/>
                <w:color w:val="auto"/>
                <w:sz w:val="22"/>
                <w:szCs w:val="22"/>
                <w:u w:val="none"/>
              </w:rPr>
            </w:pP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8B66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50&lt;D≤60</w:t>
            </w:r>
          </w:p>
        </w:tc>
        <w:tc>
          <w:tcPr>
            <w:tcW w:w="7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8713BB">
            <w:pPr>
              <w:jc w:val="center"/>
              <w:rPr>
                <w:rFonts w:hint="eastAsia" w:ascii="宋体" w:hAnsi="宋体" w:eastAsia="宋体" w:cs="宋体"/>
                <w:i w:val="0"/>
                <w:iCs w:val="0"/>
                <w:color w:val="auto"/>
                <w:sz w:val="22"/>
                <w:szCs w:val="22"/>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D4C6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C2C3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DB8E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150 </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2F6D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301C3">
            <w:pPr>
              <w:jc w:val="center"/>
              <w:rPr>
                <w:rFonts w:hint="eastAsia" w:ascii="宋体" w:hAnsi="宋体" w:eastAsia="宋体" w:cs="宋体"/>
                <w:i w:val="0"/>
                <w:iCs w:val="0"/>
                <w:color w:val="auto"/>
                <w:sz w:val="22"/>
                <w:szCs w:val="22"/>
                <w:u w:val="none"/>
              </w:rPr>
            </w:pPr>
          </w:p>
        </w:tc>
      </w:tr>
      <w:tr w14:paraId="2C91F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trPr>
        <w:tc>
          <w:tcPr>
            <w:tcW w:w="9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93F6A1">
            <w:pPr>
              <w:jc w:val="center"/>
              <w:rPr>
                <w:rFonts w:hint="eastAsia" w:ascii="宋体" w:hAnsi="宋体" w:eastAsia="宋体" w:cs="宋体"/>
                <w:i w:val="0"/>
                <w:iCs w:val="0"/>
                <w:color w:val="auto"/>
                <w:sz w:val="22"/>
                <w:szCs w:val="22"/>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7AB17">
            <w:pPr>
              <w:jc w:val="center"/>
              <w:rPr>
                <w:rFonts w:hint="eastAsia" w:ascii="宋体" w:hAnsi="宋体" w:eastAsia="宋体" w:cs="宋体"/>
                <w:i w:val="0"/>
                <w:iCs w:val="0"/>
                <w:color w:val="auto"/>
                <w:sz w:val="22"/>
                <w:szCs w:val="22"/>
                <w:u w:val="none"/>
              </w:rPr>
            </w:pP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3416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60&lt;D≤70</w:t>
            </w:r>
          </w:p>
        </w:tc>
        <w:tc>
          <w:tcPr>
            <w:tcW w:w="7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FEB476">
            <w:pPr>
              <w:jc w:val="center"/>
              <w:rPr>
                <w:rFonts w:hint="eastAsia" w:ascii="宋体" w:hAnsi="宋体" w:eastAsia="宋体" w:cs="宋体"/>
                <w:i w:val="0"/>
                <w:iCs w:val="0"/>
                <w:color w:val="auto"/>
                <w:sz w:val="22"/>
                <w:szCs w:val="22"/>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A0C9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BE55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9AC7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65 </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4698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5A674">
            <w:pPr>
              <w:jc w:val="center"/>
              <w:rPr>
                <w:rFonts w:hint="eastAsia" w:ascii="宋体" w:hAnsi="宋体" w:eastAsia="宋体" w:cs="宋体"/>
                <w:i w:val="0"/>
                <w:iCs w:val="0"/>
                <w:color w:val="auto"/>
                <w:sz w:val="22"/>
                <w:szCs w:val="22"/>
                <w:u w:val="none"/>
              </w:rPr>
            </w:pPr>
          </w:p>
        </w:tc>
      </w:tr>
      <w:tr w14:paraId="6A851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9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E3C20F">
            <w:pPr>
              <w:jc w:val="center"/>
              <w:rPr>
                <w:rFonts w:hint="eastAsia" w:ascii="宋体" w:hAnsi="宋体" w:eastAsia="宋体" w:cs="宋体"/>
                <w:i w:val="0"/>
                <w:iCs w:val="0"/>
                <w:color w:val="auto"/>
                <w:sz w:val="22"/>
                <w:szCs w:val="22"/>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977074">
            <w:pPr>
              <w:jc w:val="center"/>
              <w:rPr>
                <w:rFonts w:hint="eastAsia" w:ascii="宋体" w:hAnsi="宋体" w:eastAsia="宋体" w:cs="宋体"/>
                <w:i w:val="0"/>
                <w:iCs w:val="0"/>
                <w:color w:val="auto"/>
                <w:sz w:val="22"/>
                <w:szCs w:val="22"/>
                <w:u w:val="none"/>
              </w:rPr>
            </w:pP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B613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70&lt;D≤80</w:t>
            </w:r>
          </w:p>
        </w:tc>
        <w:tc>
          <w:tcPr>
            <w:tcW w:w="7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6EE0ED">
            <w:pPr>
              <w:jc w:val="center"/>
              <w:rPr>
                <w:rFonts w:hint="eastAsia" w:ascii="宋体" w:hAnsi="宋体" w:eastAsia="宋体" w:cs="宋体"/>
                <w:i w:val="0"/>
                <w:iCs w:val="0"/>
                <w:color w:val="auto"/>
                <w:sz w:val="22"/>
                <w:szCs w:val="22"/>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4F8D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855F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7226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30 </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CB4E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EF3DA">
            <w:pPr>
              <w:jc w:val="center"/>
              <w:rPr>
                <w:rFonts w:hint="eastAsia" w:ascii="宋体" w:hAnsi="宋体" w:eastAsia="宋体" w:cs="宋体"/>
                <w:i w:val="0"/>
                <w:iCs w:val="0"/>
                <w:color w:val="auto"/>
                <w:sz w:val="22"/>
                <w:szCs w:val="22"/>
                <w:u w:val="none"/>
              </w:rPr>
            </w:pPr>
          </w:p>
        </w:tc>
      </w:tr>
      <w:tr w14:paraId="2C755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trPr>
        <w:tc>
          <w:tcPr>
            <w:tcW w:w="9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492985">
            <w:pPr>
              <w:jc w:val="center"/>
              <w:rPr>
                <w:rFonts w:hint="eastAsia" w:ascii="宋体" w:hAnsi="宋体" w:eastAsia="宋体" w:cs="宋体"/>
                <w:i w:val="0"/>
                <w:iCs w:val="0"/>
                <w:color w:val="auto"/>
                <w:sz w:val="22"/>
                <w:szCs w:val="22"/>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D53F57">
            <w:pPr>
              <w:jc w:val="center"/>
              <w:rPr>
                <w:rFonts w:hint="eastAsia" w:ascii="宋体" w:hAnsi="宋体" w:eastAsia="宋体" w:cs="宋体"/>
                <w:i w:val="0"/>
                <w:iCs w:val="0"/>
                <w:color w:val="auto"/>
                <w:sz w:val="22"/>
                <w:szCs w:val="22"/>
                <w:u w:val="none"/>
              </w:rPr>
            </w:pPr>
          </w:p>
        </w:tc>
        <w:tc>
          <w:tcPr>
            <w:tcW w:w="26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99D8D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技术工作费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7A1E5">
            <w:pPr>
              <w:jc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9D872">
            <w:pPr>
              <w:jc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5A60C">
            <w:pPr>
              <w:jc w:val="center"/>
              <w:rPr>
                <w:rFonts w:hint="eastAsia" w:ascii="宋体" w:hAnsi="宋体" w:eastAsia="宋体" w:cs="宋体"/>
                <w:i w:val="0"/>
                <w:iCs w:val="0"/>
                <w:color w:val="auto"/>
                <w:sz w:val="22"/>
                <w:szCs w:val="22"/>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5F5E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5081F">
            <w:pPr>
              <w:jc w:val="center"/>
              <w:rPr>
                <w:rFonts w:hint="eastAsia" w:ascii="宋体" w:hAnsi="宋体" w:eastAsia="宋体" w:cs="宋体"/>
                <w:i w:val="0"/>
                <w:iCs w:val="0"/>
                <w:color w:val="auto"/>
                <w:sz w:val="22"/>
                <w:szCs w:val="22"/>
                <w:u w:val="none"/>
              </w:rPr>
            </w:pPr>
          </w:p>
        </w:tc>
      </w:tr>
      <w:tr w14:paraId="76986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trPr>
        <w:tc>
          <w:tcPr>
            <w:tcW w:w="9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BC380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955DF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原位测试</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E1B16">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标准贯入试验D≤20</w:t>
            </w:r>
          </w:p>
        </w:tc>
        <w:tc>
          <w:tcPr>
            <w:tcW w:w="7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40124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Ⅱ</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AFC8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次</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D270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F5E6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72 </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EABB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A7C87">
            <w:pPr>
              <w:jc w:val="center"/>
              <w:rPr>
                <w:rFonts w:hint="eastAsia" w:ascii="宋体" w:hAnsi="宋体" w:eastAsia="宋体" w:cs="宋体"/>
                <w:i w:val="0"/>
                <w:iCs w:val="0"/>
                <w:color w:val="auto"/>
                <w:sz w:val="22"/>
                <w:szCs w:val="22"/>
                <w:u w:val="none"/>
              </w:rPr>
            </w:pPr>
          </w:p>
        </w:tc>
      </w:tr>
      <w:tr w14:paraId="6E87F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trPr>
        <w:tc>
          <w:tcPr>
            <w:tcW w:w="9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D4C98E">
            <w:pPr>
              <w:jc w:val="center"/>
              <w:rPr>
                <w:rFonts w:hint="eastAsia" w:ascii="宋体" w:hAnsi="宋体" w:eastAsia="宋体" w:cs="宋体"/>
                <w:i w:val="0"/>
                <w:iCs w:val="0"/>
                <w:color w:val="auto"/>
                <w:sz w:val="22"/>
                <w:szCs w:val="22"/>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8732AD">
            <w:pPr>
              <w:jc w:val="center"/>
              <w:rPr>
                <w:rFonts w:hint="eastAsia" w:ascii="宋体" w:hAnsi="宋体" w:eastAsia="宋体" w:cs="宋体"/>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5E22F">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标准贯入试验20&lt;D≤50</w:t>
            </w:r>
          </w:p>
        </w:tc>
        <w:tc>
          <w:tcPr>
            <w:tcW w:w="7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26A27B">
            <w:pPr>
              <w:jc w:val="center"/>
              <w:rPr>
                <w:rFonts w:hint="eastAsia" w:ascii="宋体" w:hAnsi="宋体" w:eastAsia="宋体" w:cs="宋体"/>
                <w:i w:val="0"/>
                <w:iCs w:val="0"/>
                <w:color w:val="auto"/>
                <w:sz w:val="22"/>
                <w:szCs w:val="22"/>
                <w:u w:val="none"/>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11D3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次</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38A6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7470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60 </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0D4D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54EFF">
            <w:pPr>
              <w:jc w:val="center"/>
              <w:rPr>
                <w:rFonts w:hint="eastAsia" w:ascii="宋体" w:hAnsi="宋体" w:eastAsia="宋体" w:cs="宋体"/>
                <w:i w:val="0"/>
                <w:iCs w:val="0"/>
                <w:color w:val="auto"/>
                <w:sz w:val="22"/>
                <w:szCs w:val="22"/>
                <w:u w:val="none"/>
              </w:rPr>
            </w:pPr>
          </w:p>
        </w:tc>
      </w:tr>
      <w:tr w14:paraId="3CDFA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trPr>
        <w:tc>
          <w:tcPr>
            <w:tcW w:w="9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B5F4C6">
            <w:pPr>
              <w:jc w:val="center"/>
              <w:rPr>
                <w:rFonts w:hint="eastAsia" w:ascii="宋体" w:hAnsi="宋体" w:eastAsia="宋体" w:cs="宋体"/>
                <w:i w:val="0"/>
                <w:iCs w:val="0"/>
                <w:color w:val="auto"/>
                <w:sz w:val="22"/>
                <w:szCs w:val="22"/>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6221DD">
            <w:pPr>
              <w:jc w:val="center"/>
              <w:rPr>
                <w:rFonts w:hint="eastAsia" w:ascii="宋体" w:hAnsi="宋体" w:eastAsia="宋体" w:cs="宋体"/>
                <w:i w:val="0"/>
                <w:iCs w:val="0"/>
                <w:color w:val="auto"/>
                <w:sz w:val="22"/>
                <w:szCs w:val="22"/>
                <w:u w:val="none"/>
              </w:rPr>
            </w:pP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E0194">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圆锥动力触探试验</w:t>
            </w: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B0DB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Ⅲ</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2BF7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2E646">
            <w:pPr>
              <w:jc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978B3">
            <w:pPr>
              <w:jc w:val="center"/>
              <w:rPr>
                <w:rFonts w:hint="eastAsia" w:ascii="宋体" w:hAnsi="宋体" w:eastAsia="宋体" w:cs="宋体"/>
                <w:i w:val="0"/>
                <w:iCs w:val="0"/>
                <w:color w:val="auto"/>
                <w:sz w:val="22"/>
                <w:szCs w:val="22"/>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1A9D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0409B">
            <w:pPr>
              <w:jc w:val="center"/>
              <w:rPr>
                <w:rFonts w:hint="eastAsia" w:ascii="宋体" w:hAnsi="宋体" w:eastAsia="宋体" w:cs="宋体"/>
                <w:i w:val="0"/>
                <w:iCs w:val="0"/>
                <w:color w:val="auto"/>
                <w:sz w:val="22"/>
                <w:szCs w:val="22"/>
                <w:u w:val="none"/>
              </w:rPr>
            </w:pPr>
          </w:p>
        </w:tc>
      </w:tr>
      <w:tr w14:paraId="460EB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trPr>
        <w:tc>
          <w:tcPr>
            <w:tcW w:w="9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7C9192">
            <w:pPr>
              <w:jc w:val="center"/>
              <w:rPr>
                <w:rFonts w:hint="eastAsia" w:ascii="宋体" w:hAnsi="宋体" w:eastAsia="宋体" w:cs="宋体"/>
                <w:i w:val="0"/>
                <w:iCs w:val="0"/>
                <w:color w:val="auto"/>
                <w:sz w:val="22"/>
                <w:szCs w:val="22"/>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9997B4">
            <w:pPr>
              <w:jc w:val="center"/>
              <w:rPr>
                <w:rFonts w:hint="eastAsia" w:ascii="宋体" w:hAnsi="宋体" w:eastAsia="宋体" w:cs="宋体"/>
                <w:i w:val="0"/>
                <w:iCs w:val="0"/>
                <w:color w:val="auto"/>
                <w:sz w:val="22"/>
                <w:szCs w:val="22"/>
                <w:u w:val="none"/>
              </w:rPr>
            </w:pPr>
          </w:p>
        </w:tc>
        <w:tc>
          <w:tcPr>
            <w:tcW w:w="26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DF128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技术工作费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D07B1">
            <w:pPr>
              <w:jc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B61C1">
            <w:pPr>
              <w:jc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20A79">
            <w:pPr>
              <w:jc w:val="center"/>
              <w:rPr>
                <w:rFonts w:hint="eastAsia" w:ascii="宋体" w:hAnsi="宋体" w:eastAsia="宋体" w:cs="宋体"/>
                <w:i w:val="0"/>
                <w:iCs w:val="0"/>
                <w:color w:val="auto"/>
                <w:sz w:val="22"/>
                <w:szCs w:val="22"/>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8F8D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96AE7">
            <w:pPr>
              <w:jc w:val="center"/>
              <w:rPr>
                <w:rFonts w:hint="eastAsia" w:ascii="宋体" w:hAnsi="宋体" w:eastAsia="宋体" w:cs="宋体"/>
                <w:i w:val="0"/>
                <w:iCs w:val="0"/>
                <w:color w:val="auto"/>
                <w:sz w:val="22"/>
                <w:szCs w:val="22"/>
                <w:u w:val="none"/>
              </w:rPr>
            </w:pPr>
          </w:p>
        </w:tc>
      </w:tr>
      <w:tr w14:paraId="2B092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trPr>
        <w:tc>
          <w:tcPr>
            <w:tcW w:w="9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C62D1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28543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取样</w:t>
            </w:r>
          </w:p>
        </w:tc>
        <w:tc>
          <w:tcPr>
            <w:tcW w:w="26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263FE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取扰动样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1C84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件</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F653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D802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28 </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1C07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9C2DF">
            <w:pPr>
              <w:jc w:val="center"/>
              <w:rPr>
                <w:rFonts w:hint="eastAsia" w:ascii="宋体" w:hAnsi="宋体" w:eastAsia="宋体" w:cs="宋体"/>
                <w:i w:val="0"/>
                <w:iCs w:val="0"/>
                <w:color w:val="auto"/>
                <w:sz w:val="22"/>
                <w:szCs w:val="22"/>
                <w:u w:val="none"/>
              </w:rPr>
            </w:pPr>
          </w:p>
        </w:tc>
      </w:tr>
      <w:tr w14:paraId="0436F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trPr>
        <w:tc>
          <w:tcPr>
            <w:tcW w:w="9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036140">
            <w:pPr>
              <w:jc w:val="center"/>
              <w:rPr>
                <w:rFonts w:hint="eastAsia" w:ascii="宋体" w:hAnsi="宋体" w:eastAsia="宋体" w:cs="宋体"/>
                <w:i w:val="0"/>
                <w:iCs w:val="0"/>
                <w:color w:val="auto"/>
                <w:sz w:val="22"/>
                <w:szCs w:val="22"/>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D9EF0">
            <w:pPr>
              <w:jc w:val="center"/>
              <w:rPr>
                <w:rFonts w:hint="eastAsia" w:ascii="宋体" w:hAnsi="宋体" w:eastAsia="宋体" w:cs="宋体"/>
                <w:i w:val="0"/>
                <w:iCs w:val="0"/>
                <w:color w:val="auto"/>
                <w:sz w:val="22"/>
                <w:szCs w:val="22"/>
                <w:u w:val="none"/>
              </w:rPr>
            </w:pPr>
          </w:p>
        </w:tc>
        <w:tc>
          <w:tcPr>
            <w:tcW w:w="26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8232E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取原状样(深度≤30m）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4D4B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件</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AE6C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940C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96 </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FC42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DA85A">
            <w:pPr>
              <w:jc w:val="center"/>
              <w:rPr>
                <w:rFonts w:hint="eastAsia" w:ascii="宋体" w:hAnsi="宋体" w:eastAsia="宋体" w:cs="宋体"/>
                <w:i w:val="0"/>
                <w:iCs w:val="0"/>
                <w:color w:val="auto"/>
                <w:sz w:val="22"/>
                <w:szCs w:val="22"/>
                <w:u w:val="none"/>
              </w:rPr>
            </w:pPr>
          </w:p>
        </w:tc>
      </w:tr>
      <w:tr w14:paraId="49F19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9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1FB397">
            <w:pPr>
              <w:jc w:val="center"/>
              <w:rPr>
                <w:rFonts w:hint="eastAsia" w:ascii="宋体" w:hAnsi="宋体" w:eastAsia="宋体" w:cs="宋体"/>
                <w:i w:val="0"/>
                <w:iCs w:val="0"/>
                <w:color w:val="auto"/>
                <w:sz w:val="22"/>
                <w:szCs w:val="22"/>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865002">
            <w:pPr>
              <w:jc w:val="center"/>
              <w:rPr>
                <w:rFonts w:hint="eastAsia" w:ascii="宋体" w:hAnsi="宋体" w:eastAsia="宋体" w:cs="宋体"/>
                <w:i w:val="0"/>
                <w:iCs w:val="0"/>
                <w:color w:val="auto"/>
                <w:sz w:val="22"/>
                <w:szCs w:val="22"/>
                <w:u w:val="none"/>
              </w:rPr>
            </w:pPr>
          </w:p>
        </w:tc>
        <w:tc>
          <w:tcPr>
            <w:tcW w:w="26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C5449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取原状样(深度&gt;30m)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913D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件</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13F5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7633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72 </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C283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18DCD">
            <w:pPr>
              <w:jc w:val="center"/>
              <w:rPr>
                <w:rFonts w:hint="eastAsia" w:ascii="宋体" w:hAnsi="宋体" w:eastAsia="宋体" w:cs="宋体"/>
                <w:i w:val="0"/>
                <w:iCs w:val="0"/>
                <w:color w:val="auto"/>
                <w:sz w:val="22"/>
                <w:szCs w:val="22"/>
                <w:u w:val="none"/>
              </w:rPr>
            </w:pPr>
          </w:p>
        </w:tc>
      </w:tr>
      <w:tr w14:paraId="3B170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9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7F1823">
            <w:pPr>
              <w:jc w:val="center"/>
              <w:rPr>
                <w:rFonts w:hint="eastAsia" w:ascii="宋体" w:hAnsi="宋体" w:eastAsia="宋体" w:cs="宋体"/>
                <w:i w:val="0"/>
                <w:iCs w:val="0"/>
                <w:color w:val="auto"/>
                <w:sz w:val="22"/>
                <w:szCs w:val="22"/>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1FEBA6">
            <w:pPr>
              <w:jc w:val="center"/>
              <w:rPr>
                <w:rFonts w:hint="eastAsia" w:ascii="宋体" w:hAnsi="宋体" w:eastAsia="宋体" w:cs="宋体"/>
                <w:i w:val="0"/>
                <w:iCs w:val="0"/>
                <w:color w:val="auto"/>
                <w:sz w:val="22"/>
                <w:szCs w:val="22"/>
                <w:u w:val="none"/>
              </w:rPr>
            </w:pPr>
          </w:p>
        </w:tc>
        <w:tc>
          <w:tcPr>
            <w:tcW w:w="26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FF7A3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取岩样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5422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件</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B5C87">
            <w:pPr>
              <w:jc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DC492">
            <w:pPr>
              <w:jc w:val="center"/>
              <w:rPr>
                <w:rFonts w:hint="eastAsia" w:ascii="宋体" w:hAnsi="宋体" w:eastAsia="宋体" w:cs="宋体"/>
                <w:i w:val="0"/>
                <w:iCs w:val="0"/>
                <w:color w:val="auto"/>
                <w:sz w:val="22"/>
                <w:szCs w:val="22"/>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E85D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8268C">
            <w:pPr>
              <w:jc w:val="center"/>
              <w:rPr>
                <w:rFonts w:hint="eastAsia" w:ascii="宋体" w:hAnsi="宋体" w:eastAsia="宋体" w:cs="宋体"/>
                <w:i w:val="0"/>
                <w:iCs w:val="0"/>
                <w:color w:val="auto"/>
                <w:sz w:val="22"/>
                <w:szCs w:val="22"/>
                <w:u w:val="none"/>
              </w:rPr>
            </w:pPr>
          </w:p>
        </w:tc>
      </w:tr>
      <w:tr w14:paraId="54B2C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9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5B33EC">
            <w:pPr>
              <w:jc w:val="center"/>
              <w:rPr>
                <w:rFonts w:hint="eastAsia" w:ascii="宋体" w:hAnsi="宋体" w:eastAsia="宋体" w:cs="宋体"/>
                <w:i w:val="0"/>
                <w:iCs w:val="0"/>
                <w:color w:val="auto"/>
                <w:sz w:val="22"/>
                <w:szCs w:val="22"/>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A5F26">
            <w:pPr>
              <w:jc w:val="center"/>
              <w:rPr>
                <w:rFonts w:hint="eastAsia" w:ascii="宋体" w:hAnsi="宋体" w:eastAsia="宋体" w:cs="宋体"/>
                <w:i w:val="0"/>
                <w:iCs w:val="0"/>
                <w:color w:val="auto"/>
                <w:sz w:val="22"/>
                <w:szCs w:val="22"/>
                <w:u w:val="none"/>
              </w:rPr>
            </w:pPr>
          </w:p>
        </w:tc>
        <w:tc>
          <w:tcPr>
            <w:tcW w:w="26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CE0CE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取水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9574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件</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5DCCF">
            <w:pPr>
              <w:jc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98154">
            <w:pPr>
              <w:jc w:val="center"/>
              <w:rPr>
                <w:rFonts w:hint="eastAsia" w:ascii="宋体" w:hAnsi="宋体" w:eastAsia="宋体" w:cs="宋体"/>
                <w:i w:val="0"/>
                <w:iCs w:val="0"/>
                <w:color w:val="auto"/>
                <w:sz w:val="22"/>
                <w:szCs w:val="22"/>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6364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14CDB">
            <w:pPr>
              <w:jc w:val="center"/>
              <w:rPr>
                <w:rFonts w:hint="eastAsia" w:ascii="宋体" w:hAnsi="宋体" w:eastAsia="宋体" w:cs="宋体"/>
                <w:i w:val="0"/>
                <w:iCs w:val="0"/>
                <w:color w:val="auto"/>
                <w:sz w:val="22"/>
                <w:szCs w:val="22"/>
                <w:u w:val="none"/>
              </w:rPr>
            </w:pPr>
          </w:p>
        </w:tc>
      </w:tr>
      <w:tr w14:paraId="4C919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trPr>
        <w:tc>
          <w:tcPr>
            <w:tcW w:w="9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C9FDF6">
            <w:pPr>
              <w:jc w:val="center"/>
              <w:rPr>
                <w:rFonts w:hint="eastAsia" w:ascii="宋体" w:hAnsi="宋体" w:eastAsia="宋体" w:cs="宋体"/>
                <w:i w:val="0"/>
                <w:iCs w:val="0"/>
                <w:color w:val="auto"/>
                <w:sz w:val="22"/>
                <w:szCs w:val="22"/>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91008E">
            <w:pPr>
              <w:jc w:val="center"/>
              <w:rPr>
                <w:rFonts w:hint="eastAsia" w:ascii="宋体" w:hAnsi="宋体" w:eastAsia="宋体" w:cs="宋体"/>
                <w:i w:val="0"/>
                <w:iCs w:val="0"/>
                <w:color w:val="auto"/>
                <w:sz w:val="22"/>
                <w:szCs w:val="22"/>
                <w:u w:val="none"/>
              </w:rPr>
            </w:pPr>
          </w:p>
        </w:tc>
        <w:tc>
          <w:tcPr>
            <w:tcW w:w="26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12930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技术工作费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197A3">
            <w:pPr>
              <w:jc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C44D4">
            <w:pPr>
              <w:jc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13EE2">
            <w:pPr>
              <w:jc w:val="center"/>
              <w:rPr>
                <w:rFonts w:hint="eastAsia" w:ascii="宋体" w:hAnsi="宋体" w:eastAsia="宋体" w:cs="宋体"/>
                <w:i w:val="0"/>
                <w:iCs w:val="0"/>
                <w:color w:val="auto"/>
                <w:sz w:val="22"/>
                <w:szCs w:val="22"/>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8CA4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3C097">
            <w:pPr>
              <w:jc w:val="center"/>
              <w:rPr>
                <w:rFonts w:hint="eastAsia" w:ascii="宋体" w:hAnsi="宋体" w:eastAsia="宋体" w:cs="宋体"/>
                <w:i w:val="0"/>
                <w:iCs w:val="0"/>
                <w:color w:val="auto"/>
                <w:sz w:val="22"/>
                <w:szCs w:val="22"/>
                <w:u w:val="none"/>
              </w:rPr>
            </w:pPr>
          </w:p>
        </w:tc>
      </w:tr>
      <w:tr w14:paraId="2DA0D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trPr>
        <w:tc>
          <w:tcPr>
            <w:tcW w:w="9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9DE34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965AC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室内试验</w:t>
            </w:r>
          </w:p>
        </w:tc>
        <w:tc>
          <w:tcPr>
            <w:tcW w:w="26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B2CEB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岩样加工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47B9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块</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31123">
            <w:pPr>
              <w:jc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4F7C7">
            <w:pPr>
              <w:jc w:val="center"/>
              <w:rPr>
                <w:rFonts w:hint="eastAsia" w:ascii="宋体" w:hAnsi="宋体" w:eastAsia="宋体" w:cs="宋体"/>
                <w:i w:val="0"/>
                <w:iCs w:val="0"/>
                <w:color w:val="auto"/>
                <w:sz w:val="22"/>
                <w:szCs w:val="22"/>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1996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47AEF">
            <w:pPr>
              <w:jc w:val="center"/>
              <w:rPr>
                <w:rFonts w:hint="eastAsia" w:ascii="宋体" w:hAnsi="宋体" w:eastAsia="宋体" w:cs="宋体"/>
                <w:i w:val="0"/>
                <w:iCs w:val="0"/>
                <w:color w:val="auto"/>
                <w:sz w:val="22"/>
                <w:szCs w:val="22"/>
                <w:u w:val="none"/>
              </w:rPr>
            </w:pPr>
          </w:p>
        </w:tc>
      </w:tr>
      <w:tr w14:paraId="11AAF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trPr>
        <w:tc>
          <w:tcPr>
            <w:tcW w:w="9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BD717">
            <w:pPr>
              <w:jc w:val="center"/>
              <w:rPr>
                <w:rFonts w:hint="eastAsia" w:ascii="宋体" w:hAnsi="宋体" w:eastAsia="宋体" w:cs="宋体"/>
                <w:i w:val="0"/>
                <w:iCs w:val="0"/>
                <w:color w:val="auto"/>
                <w:sz w:val="22"/>
                <w:szCs w:val="22"/>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B20099">
            <w:pPr>
              <w:jc w:val="center"/>
              <w:rPr>
                <w:rFonts w:hint="eastAsia" w:ascii="宋体" w:hAnsi="宋体" w:eastAsia="宋体" w:cs="宋体"/>
                <w:i w:val="0"/>
                <w:iCs w:val="0"/>
                <w:color w:val="auto"/>
                <w:sz w:val="22"/>
                <w:szCs w:val="22"/>
                <w:u w:val="none"/>
              </w:rPr>
            </w:pPr>
          </w:p>
        </w:tc>
        <w:tc>
          <w:tcPr>
            <w:tcW w:w="26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0BEDB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单轴饱和抗压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1BD3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组</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CDBCB">
            <w:pPr>
              <w:jc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4ABCF">
            <w:pPr>
              <w:jc w:val="center"/>
              <w:rPr>
                <w:rFonts w:hint="eastAsia" w:ascii="宋体" w:hAnsi="宋体" w:eastAsia="宋体" w:cs="宋体"/>
                <w:i w:val="0"/>
                <w:iCs w:val="0"/>
                <w:color w:val="auto"/>
                <w:sz w:val="22"/>
                <w:szCs w:val="22"/>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FF2C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0ED6D">
            <w:pPr>
              <w:jc w:val="center"/>
              <w:rPr>
                <w:rFonts w:hint="eastAsia" w:ascii="宋体" w:hAnsi="宋体" w:eastAsia="宋体" w:cs="宋体"/>
                <w:i w:val="0"/>
                <w:iCs w:val="0"/>
                <w:color w:val="auto"/>
                <w:sz w:val="22"/>
                <w:szCs w:val="22"/>
                <w:u w:val="none"/>
              </w:rPr>
            </w:pPr>
          </w:p>
        </w:tc>
      </w:tr>
      <w:tr w14:paraId="0D93F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5" w:hRule="atLeast"/>
        </w:trPr>
        <w:tc>
          <w:tcPr>
            <w:tcW w:w="9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C5852A">
            <w:pPr>
              <w:jc w:val="center"/>
              <w:rPr>
                <w:rFonts w:hint="eastAsia" w:ascii="宋体" w:hAnsi="宋体" w:eastAsia="宋体" w:cs="宋体"/>
                <w:i w:val="0"/>
                <w:iCs w:val="0"/>
                <w:color w:val="auto"/>
                <w:sz w:val="22"/>
                <w:szCs w:val="22"/>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92AB0B">
            <w:pPr>
              <w:jc w:val="center"/>
              <w:rPr>
                <w:rFonts w:hint="eastAsia" w:ascii="宋体" w:hAnsi="宋体" w:eastAsia="宋体" w:cs="宋体"/>
                <w:i w:val="0"/>
                <w:iCs w:val="0"/>
                <w:color w:val="auto"/>
                <w:sz w:val="22"/>
                <w:szCs w:val="22"/>
                <w:u w:val="none"/>
              </w:rPr>
            </w:pPr>
          </w:p>
        </w:tc>
        <w:tc>
          <w:tcPr>
            <w:tcW w:w="26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C16B68">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土常规（含水率、密度、比重、液限、塑限、慢速法压缩试验）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A414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件</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743C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4263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196 </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97DF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3315C">
            <w:pPr>
              <w:jc w:val="center"/>
              <w:rPr>
                <w:rFonts w:hint="eastAsia" w:ascii="宋体" w:hAnsi="宋体" w:eastAsia="宋体" w:cs="宋体"/>
                <w:i w:val="0"/>
                <w:iCs w:val="0"/>
                <w:color w:val="auto"/>
                <w:sz w:val="22"/>
                <w:szCs w:val="22"/>
                <w:u w:val="none"/>
              </w:rPr>
            </w:pPr>
          </w:p>
        </w:tc>
      </w:tr>
      <w:tr w14:paraId="6DB64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6" w:hRule="atLeast"/>
        </w:trPr>
        <w:tc>
          <w:tcPr>
            <w:tcW w:w="9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C98A79">
            <w:pPr>
              <w:jc w:val="center"/>
              <w:rPr>
                <w:rFonts w:hint="eastAsia" w:ascii="宋体" w:hAnsi="宋体" w:eastAsia="宋体" w:cs="宋体"/>
                <w:i w:val="0"/>
                <w:iCs w:val="0"/>
                <w:color w:val="auto"/>
                <w:sz w:val="22"/>
                <w:szCs w:val="22"/>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90093">
            <w:pPr>
              <w:jc w:val="center"/>
              <w:rPr>
                <w:rFonts w:hint="eastAsia" w:ascii="宋体" w:hAnsi="宋体" w:eastAsia="宋体" w:cs="宋体"/>
                <w:i w:val="0"/>
                <w:iCs w:val="0"/>
                <w:color w:val="auto"/>
                <w:sz w:val="22"/>
                <w:szCs w:val="22"/>
                <w:u w:val="none"/>
              </w:rPr>
            </w:pPr>
          </w:p>
        </w:tc>
        <w:tc>
          <w:tcPr>
            <w:tcW w:w="26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C6ECD2">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黄土湿陷性试验（湿陷系数、自重湿陷系数、单线法自重起始压力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8EE3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件</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F2B1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8C46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53 </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95BD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24CE8">
            <w:pPr>
              <w:jc w:val="center"/>
              <w:rPr>
                <w:rFonts w:hint="eastAsia" w:ascii="宋体" w:hAnsi="宋体" w:eastAsia="宋体" w:cs="宋体"/>
                <w:i w:val="0"/>
                <w:iCs w:val="0"/>
                <w:color w:val="auto"/>
                <w:sz w:val="22"/>
                <w:szCs w:val="22"/>
                <w:u w:val="none"/>
              </w:rPr>
            </w:pPr>
          </w:p>
        </w:tc>
      </w:tr>
      <w:tr w14:paraId="71E21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trPr>
        <w:tc>
          <w:tcPr>
            <w:tcW w:w="9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3FFAB5">
            <w:pPr>
              <w:jc w:val="center"/>
              <w:rPr>
                <w:rFonts w:hint="eastAsia" w:ascii="宋体" w:hAnsi="宋体" w:eastAsia="宋体" w:cs="宋体"/>
                <w:i w:val="0"/>
                <w:iCs w:val="0"/>
                <w:color w:val="auto"/>
                <w:sz w:val="22"/>
                <w:szCs w:val="22"/>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B1B451">
            <w:pPr>
              <w:jc w:val="center"/>
              <w:rPr>
                <w:rFonts w:hint="eastAsia" w:ascii="宋体" w:hAnsi="宋体" w:eastAsia="宋体" w:cs="宋体"/>
                <w:i w:val="0"/>
                <w:iCs w:val="0"/>
                <w:color w:val="auto"/>
                <w:sz w:val="22"/>
                <w:szCs w:val="22"/>
                <w:u w:val="none"/>
              </w:rPr>
            </w:pPr>
          </w:p>
        </w:tc>
        <w:tc>
          <w:tcPr>
            <w:tcW w:w="26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3A435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颗粒筛分（砂、砾）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5CFE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件</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8C36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47FA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50 </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8B73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A815D">
            <w:pPr>
              <w:jc w:val="center"/>
              <w:rPr>
                <w:rFonts w:hint="eastAsia" w:ascii="宋体" w:hAnsi="宋体" w:eastAsia="宋体" w:cs="宋体"/>
                <w:i w:val="0"/>
                <w:iCs w:val="0"/>
                <w:color w:val="auto"/>
                <w:sz w:val="22"/>
                <w:szCs w:val="22"/>
                <w:u w:val="none"/>
              </w:rPr>
            </w:pPr>
          </w:p>
        </w:tc>
      </w:tr>
      <w:tr w14:paraId="7450D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trPr>
        <w:tc>
          <w:tcPr>
            <w:tcW w:w="9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ED0F57">
            <w:pPr>
              <w:jc w:val="center"/>
              <w:rPr>
                <w:rFonts w:hint="eastAsia" w:ascii="宋体" w:hAnsi="宋体" w:eastAsia="宋体" w:cs="宋体"/>
                <w:i w:val="0"/>
                <w:iCs w:val="0"/>
                <w:color w:val="auto"/>
                <w:sz w:val="22"/>
                <w:szCs w:val="22"/>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EAE621">
            <w:pPr>
              <w:jc w:val="center"/>
              <w:rPr>
                <w:rFonts w:hint="eastAsia" w:ascii="宋体" w:hAnsi="宋体" w:eastAsia="宋体" w:cs="宋体"/>
                <w:i w:val="0"/>
                <w:iCs w:val="0"/>
                <w:color w:val="auto"/>
                <w:sz w:val="22"/>
                <w:szCs w:val="22"/>
                <w:u w:val="none"/>
              </w:rPr>
            </w:pPr>
          </w:p>
        </w:tc>
        <w:tc>
          <w:tcPr>
            <w:tcW w:w="26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F7C1A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技术工作费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C9423">
            <w:pPr>
              <w:jc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56E7A">
            <w:pPr>
              <w:jc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98951">
            <w:pPr>
              <w:jc w:val="center"/>
              <w:rPr>
                <w:rFonts w:hint="eastAsia" w:ascii="宋体" w:hAnsi="宋体" w:eastAsia="宋体" w:cs="宋体"/>
                <w:i w:val="0"/>
                <w:iCs w:val="0"/>
                <w:color w:val="auto"/>
                <w:sz w:val="22"/>
                <w:szCs w:val="22"/>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30A0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C9981">
            <w:pPr>
              <w:jc w:val="center"/>
              <w:rPr>
                <w:rFonts w:hint="eastAsia" w:ascii="宋体" w:hAnsi="宋体" w:eastAsia="宋体" w:cs="宋体"/>
                <w:i w:val="0"/>
                <w:iCs w:val="0"/>
                <w:color w:val="auto"/>
                <w:sz w:val="22"/>
                <w:szCs w:val="22"/>
                <w:u w:val="none"/>
              </w:rPr>
            </w:pPr>
          </w:p>
        </w:tc>
      </w:tr>
      <w:tr w14:paraId="29025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trPr>
        <w:tc>
          <w:tcPr>
            <w:tcW w:w="9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357B3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03065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土质腐蚀性分析</w:t>
            </w:r>
          </w:p>
        </w:tc>
        <w:tc>
          <w:tcPr>
            <w:tcW w:w="26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8882B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土质腐蚀性试验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7649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件</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215A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BCB5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2 </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666B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68B77">
            <w:pPr>
              <w:jc w:val="center"/>
              <w:rPr>
                <w:rFonts w:hint="eastAsia" w:ascii="宋体" w:hAnsi="宋体" w:eastAsia="宋体" w:cs="宋体"/>
                <w:i w:val="0"/>
                <w:iCs w:val="0"/>
                <w:color w:val="auto"/>
                <w:sz w:val="22"/>
                <w:szCs w:val="22"/>
                <w:u w:val="none"/>
              </w:rPr>
            </w:pPr>
          </w:p>
        </w:tc>
      </w:tr>
      <w:tr w14:paraId="23026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8" w:hRule="atLeast"/>
        </w:trPr>
        <w:tc>
          <w:tcPr>
            <w:tcW w:w="9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D2CE14">
            <w:pPr>
              <w:jc w:val="center"/>
              <w:rPr>
                <w:rFonts w:hint="eastAsia" w:ascii="宋体" w:hAnsi="宋体" w:eastAsia="宋体" w:cs="宋体"/>
                <w:i w:val="0"/>
                <w:iCs w:val="0"/>
                <w:color w:val="auto"/>
                <w:sz w:val="22"/>
                <w:szCs w:val="22"/>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BA9F26">
            <w:pPr>
              <w:jc w:val="center"/>
              <w:rPr>
                <w:rFonts w:hint="eastAsia" w:ascii="宋体" w:hAnsi="宋体" w:eastAsia="宋体" w:cs="宋体"/>
                <w:i w:val="0"/>
                <w:iCs w:val="0"/>
                <w:color w:val="auto"/>
                <w:sz w:val="22"/>
                <w:szCs w:val="22"/>
                <w:u w:val="none"/>
              </w:rPr>
            </w:pPr>
          </w:p>
        </w:tc>
        <w:tc>
          <w:tcPr>
            <w:tcW w:w="26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71644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技术工作费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203CB">
            <w:pPr>
              <w:jc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BB4C3">
            <w:pPr>
              <w:jc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00E53">
            <w:pPr>
              <w:jc w:val="center"/>
              <w:rPr>
                <w:rFonts w:hint="eastAsia" w:ascii="宋体" w:hAnsi="宋体" w:eastAsia="宋体" w:cs="宋体"/>
                <w:i w:val="0"/>
                <w:iCs w:val="0"/>
                <w:color w:val="auto"/>
                <w:sz w:val="22"/>
                <w:szCs w:val="22"/>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25AA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6AC65">
            <w:pPr>
              <w:jc w:val="center"/>
              <w:rPr>
                <w:rFonts w:hint="eastAsia" w:ascii="宋体" w:hAnsi="宋体" w:eastAsia="宋体" w:cs="宋体"/>
                <w:i w:val="0"/>
                <w:iCs w:val="0"/>
                <w:color w:val="auto"/>
                <w:sz w:val="22"/>
                <w:szCs w:val="22"/>
                <w:u w:val="none"/>
              </w:rPr>
            </w:pPr>
          </w:p>
        </w:tc>
      </w:tr>
      <w:tr w14:paraId="0AC82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9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44FF2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w:t>
            </w: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EA4C9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水质腐蚀性分析</w:t>
            </w:r>
          </w:p>
        </w:tc>
        <w:tc>
          <w:tcPr>
            <w:tcW w:w="26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14A3A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水质腐蚀性试验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1C2B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件</w:t>
            </w: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C2F06">
            <w:pPr>
              <w:jc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491E7">
            <w:pPr>
              <w:jc w:val="center"/>
              <w:rPr>
                <w:rFonts w:hint="eastAsia" w:ascii="宋体" w:hAnsi="宋体" w:eastAsia="宋体" w:cs="宋体"/>
                <w:i w:val="0"/>
                <w:iCs w:val="0"/>
                <w:color w:val="auto"/>
                <w:sz w:val="22"/>
                <w:szCs w:val="22"/>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9945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F3E66">
            <w:pPr>
              <w:jc w:val="center"/>
              <w:rPr>
                <w:rFonts w:hint="eastAsia" w:ascii="宋体" w:hAnsi="宋体" w:eastAsia="宋体" w:cs="宋体"/>
                <w:i w:val="0"/>
                <w:iCs w:val="0"/>
                <w:color w:val="auto"/>
                <w:sz w:val="22"/>
                <w:szCs w:val="22"/>
                <w:u w:val="none"/>
              </w:rPr>
            </w:pPr>
          </w:p>
        </w:tc>
      </w:tr>
      <w:tr w14:paraId="50637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8" w:hRule="atLeast"/>
        </w:trPr>
        <w:tc>
          <w:tcPr>
            <w:tcW w:w="9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D7AEEE">
            <w:pPr>
              <w:jc w:val="center"/>
              <w:rPr>
                <w:rFonts w:hint="eastAsia" w:ascii="宋体" w:hAnsi="宋体" w:eastAsia="宋体" w:cs="宋体"/>
                <w:i w:val="0"/>
                <w:iCs w:val="0"/>
                <w:color w:val="auto"/>
                <w:sz w:val="22"/>
                <w:szCs w:val="22"/>
                <w:u w:val="none"/>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6B6836">
            <w:pPr>
              <w:jc w:val="center"/>
              <w:rPr>
                <w:rFonts w:hint="eastAsia" w:ascii="宋体" w:hAnsi="宋体" w:eastAsia="宋体" w:cs="宋体"/>
                <w:i w:val="0"/>
                <w:iCs w:val="0"/>
                <w:color w:val="auto"/>
                <w:sz w:val="22"/>
                <w:szCs w:val="22"/>
                <w:u w:val="none"/>
              </w:rPr>
            </w:pPr>
          </w:p>
        </w:tc>
        <w:tc>
          <w:tcPr>
            <w:tcW w:w="26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9D88C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技术工作费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DC004">
            <w:pPr>
              <w:jc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2AFF2">
            <w:pPr>
              <w:jc w:val="center"/>
              <w:rPr>
                <w:rFonts w:hint="eastAsia" w:ascii="宋体" w:hAnsi="宋体" w:eastAsia="宋体" w:cs="宋体"/>
                <w:i w:val="0"/>
                <w:iCs w:val="0"/>
                <w:color w:val="auto"/>
                <w:sz w:val="22"/>
                <w:szCs w:val="22"/>
                <w:u w:val="none"/>
              </w:rPr>
            </w:pPr>
          </w:p>
        </w:tc>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95CA3">
            <w:pPr>
              <w:jc w:val="center"/>
              <w:rPr>
                <w:rFonts w:hint="eastAsia" w:ascii="宋体" w:hAnsi="宋体" w:eastAsia="宋体" w:cs="宋体"/>
                <w:i w:val="0"/>
                <w:iCs w:val="0"/>
                <w:color w:val="auto"/>
                <w:sz w:val="22"/>
                <w:szCs w:val="22"/>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EF20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C5BC1">
            <w:pPr>
              <w:jc w:val="center"/>
              <w:rPr>
                <w:rFonts w:hint="eastAsia" w:ascii="宋体" w:hAnsi="宋体" w:eastAsia="宋体" w:cs="宋体"/>
                <w:i w:val="0"/>
                <w:iCs w:val="0"/>
                <w:color w:val="auto"/>
                <w:sz w:val="22"/>
                <w:szCs w:val="22"/>
                <w:u w:val="none"/>
              </w:rPr>
            </w:pPr>
          </w:p>
        </w:tc>
      </w:tr>
      <w:tr w14:paraId="27EA7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7DC4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w:t>
            </w:r>
          </w:p>
        </w:tc>
        <w:tc>
          <w:tcPr>
            <w:tcW w:w="360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6DACF8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总计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7CD55">
            <w:pPr>
              <w:rPr>
                <w:rFonts w:hint="eastAsia" w:ascii="宋体" w:hAnsi="宋体" w:eastAsia="宋体" w:cs="宋体"/>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55A24">
            <w:pPr>
              <w:rPr>
                <w:rFonts w:hint="eastAsia" w:ascii="宋体" w:hAnsi="宋体" w:eastAsia="宋体" w:cs="宋体"/>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D4763">
            <w:pPr>
              <w:rPr>
                <w:rFonts w:hint="eastAsia" w:ascii="宋体" w:hAnsi="宋体" w:eastAsia="宋体" w:cs="宋体"/>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4A701">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A0A92">
            <w:pPr>
              <w:rPr>
                <w:rFonts w:hint="eastAsia" w:ascii="宋体" w:hAnsi="宋体" w:eastAsia="宋体" w:cs="宋体"/>
                <w:i w:val="0"/>
                <w:iCs w:val="0"/>
                <w:color w:val="auto"/>
                <w:sz w:val="22"/>
                <w:szCs w:val="22"/>
                <w:u w:val="none"/>
              </w:rPr>
            </w:pPr>
          </w:p>
        </w:tc>
      </w:tr>
    </w:tbl>
    <w:p w14:paraId="575E0313">
      <w:pPr>
        <w:pStyle w:val="2"/>
        <w:spacing w:line="240" w:lineRule="auto"/>
        <w:jc w:val="center"/>
        <w:rPr>
          <w:rFonts w:hint="eastAsia" w:ascii="宋体" w:hAnsi="宋体" w:eastAsia="宋体" w:cs="宋体"/>
          <w:b w:val="0"/>
          <w:bCs/>
          <w:color w:val="auto"/>
          <w:highlight w:val="none"/>
        </w:rPr>
        <w:sectPr>
          <w:pgSz w:w="11910" w:h="16840"/>
          <w:pgMar w:top="1440" w:right="1080" w:bottom="1440" w:left="1080" w:header="517" w:footer="1004" w:gutter="0"/>
          <w:pgNumType w:fmt="decimal"/>
          <w:cols w:space="720" w:num="1"/>
        </w:sectPr>
      </w:pPr>
    </w:p>
    <w:p w14:paraId="40C67F06">
      <w:pPr>
        <w:pStyle w:val="2"/>
        <w:spacing w:line="240" w:lineRule="auto"/>
        <w:jc w:val="center"/>
        <w:rPr>
          <w:rFonts w:hint="eastAsia" w:ascii="宋体" w:hAnsi="宋体" w:eastAsia="宋体" w:cs="宋体"/>
          <w:b w:val="0"/>
          <w:bCs/>
          <w:color w:val="auto"/>
          <w:sz w:val="40"/>
          <w:szCs w:val="18"/>
          <w:highlight w:val="none"/>
        </w:rPr>
      </w:pPr>
      <w:bookmarkStart w:id="540" w:name="_Toc19635"/>
      <w:r>
        <w:rPr>
          <w:rFonts w:hint="eastAsia" w:ascii="宋体" w:hAnsi="宋体" w:eastAsia="宋体" w:cs="宋体"/>
          <w:b w:val="0"/>
          <w:bCs/>
          <w:color w:val="auto"/>
          <w:sz w:val="40"/>
          <w:szCs w:val="18"/>
          <w:highlight w:val="none"/>
        </w:rPr>
        <w:t xml:space="preserve">第七部分 </w:t>
      </w:r>
      <w:r>
        <w:rPr>
          <w:rFonts w:hint="eastAsia" w:ascii="宋体" w:hAnsi="宋体" w:eastAsia="宋体" w:cs="宋体"/>
          <w:b w:val="0"/>
          <w:bCs/>
          <w:color w:val="auto"/>
          <w:sz w:val="40"/>
          <w:szCs w:val="18"/>
          <w:highlight w:val="none"/>
          <w:lang w:val="en-US" w:eastAsia="zh-CN"/>
        </w:rPr>
        <w:t xml:space="preserve"> </w:t>
      </w:r>
      <w:r>
        <w:rPr>
          <w:rFonts w:hint="eastAsia" w:ascii="宋体" w:hAnsi="宋体" w:eastAsia="宋体" w:cs="宋体"/>
          <w:b w:val="0"/>
          <w:bCs/>
          <w:color w:val="auto"/>
          <w:sz w:val="40"/>
          <w:szCs w:val="18"/>
          <w:highlight w:val="none"/>
        </w:rPr>
        <w:t>评审方法</w:t>
      </w:r>
      <w:bookmarkEnd w:id="523"/>
      <w:bookmarkEnd w:id="538"/>
      <w:bookmarkEnd w:id="539"/>
      <w:bookmarkEnd w:id="540"/>
    </w:p>
    <w:p w14:paraId="3C8DE72E">
      <w:pPr>
        <w:spacing w:line="480" w:lineRule="auto"/>
        <w:outlineLvl w:val="1"/>
        <w:rPr>
          <w:rFonts w:hint="eastAsia" w:ascii="宋体" w:hAnsi="宋体" w:eastAsia="宋体" w:cs="宋体"/>
          <w:bCs/>
          <w:color w:val="auto"/>
          <w:sz w:val="24"/>
          <w:szCs w:val="24"/>
          <w:highlight w:val="none"/>
        </w:rPr>
      </w:pPr>
      <w:bookmarkStart w:id="541" w:name="_Toc16422"/>
      <w:bookmarkStart w:id="542" w:name="_Toc15182"/>
      <w:bookmarkStart w:id="543" w:name="_Toc29170"/>
      <w:bookmarkStart w:id="544" w:name="_Toc10736"/>
      <w:r>
        <w:rPr>
          <w:rFonts w:hint="eastAsia" w:ascii="宋体" w:hAnsi="宋体" w:eastAsia="宋体" w:cs="宋体"/>
          <w:bCs/>
          <w:color w:val="auto"/>
          <w:sz w:val="24"/>
          <w:szCs w:val="24"/>
          <w:highlight w:val="none"/>
        </w:rPr>
        <w:t>一、评审方法：本次评审采用最低评审价法</w:t>
      </w:r>
      <w:bookmarkEnd w:id="541"/>
      <w:bookmarkEnd w:id="542"/>
      <w:bookmarkEnd w:id="543"/>
      <w:bookmarkEnd w:id="544"/>
    </w:p>
    <w:p w14:paraId="5D0CC9E5">
      <w:pPr>
        <w:spacing w:line="48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最低评审价法，是指响应文件满足谈判文件全部实质性要求，且谈判报价最低的供应商为成交候选人的评审方法。</w:t>
      </w:r>
    </w:p>
    <w:p w14:paraId="198671D4">
      <w:pPr>
        <w:spacing w:line="480" w:lineRule="auto"/>
        <w:outlineLvl w:val="1"/>
        <w:rPr>
          <w:rFonts w:hint="eastAsia" w:ascii="宋体" w:hAnsi="宋体" w:eastAsia="宋体" w:cs="宋体"/>
          <w:bCs/>
          <w:color w:val="auto"/>
          <w:sz w:val="24"/>
          <w:szCs w:val="24"/>
          <w:highlight w:val="none"/>
        </w:rPr>
      </w:pPr>
      <w:bookmarkStart w:id="545" w:name="_Toc22429"/>
      <w:bookmarkStart w:id="546" w:name="_Toc17679"/>
      <w:bookmarkStart w:id="547" w:name="_Toc31660"/>
      <w:bookmarkStart w:id="548" w:name="_Toc31372"/>
      <w:r>
        <w:rPr>
          <w:rFonts w:hint="eastAsia" w:ascii="宋体" w:hAnsi="宋体" w:eastAsia="宋体" w:cs="宋体"/>
          <w:bCs/>
          <w:color w:val="auto"/>
          <w:sz w:val="24"/>
          <w:szCs w:val="24"/>
          <w:highlight w:val="none"/>
        </w:rPr>
        <w:t>二、谈判程序</w:t>
      </w:r>
      <w:bookmarkEnd w:id="545"/>
      <w:bookmarkEnd w:id="546"/>
      <w:bookmarkEnd w:id="547"/>
      <w:bookmarkEnd w:id="548"/>
    </w:p>
    <w:p w14:paraId="6F2B20D1">
      <w:pPr>
        <w:spacing w:line="48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谈判的全过程分为第一次谈判报价、资格性审查、符合性审查、谈判过程、谈判承诺、最终报价、评审阶段。通过资质审查合格的各供应商，只有在响应文件及谈判承诺符合谈判文件要求和满足技术、商务需要的才有最终报价和评审的机会。</w:t>
      </w:r>
    </w:p>
    <w:p w14:paraId="30574EBE">
      <w:pPr>
        <w:spacing w:line="48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按照以下内容对谈判响应文件符合性审查，一项不合格其投标即为无效投标。</w:t>
      </w:r>
    </w:p>
    <w:p w14:paraId="260AB580">
      <w:pPr>
        <w:spacing w:line="48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1、对谈判响应文件的符合性审查：</w:t>
      </w:r>
    </w:p>
    <w:p w14:paraId="483C247D">
      <w:pPr>
        <w:spacing w:line="48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1）谈判响应文件按照竞争性谈判文件的要求编写，响应文件组成符合要求；</w:t>
      </w:r>
    </w:p>
    <w:p w14:paraId="7EC1085A">
      <w:pPr>
        <w:spacing w:line="48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2）谈判响应文件的项目名称、项目编号、编制、签字、加盖印章合格、有效；</w:t>
      </w:r>
    </w:p>
    <w:p w14:paraId="0F195198">
      <w:pPr>
        <w:spacing w:line="48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3）按照谈判文件要求提供足够数量的谈判响应文件；</w:t>
      </w:r>
    </w:p>
    <w:p w14:paraId="77BA22F3">
      <w:pPr>
        <w:spacing w:line="48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4）供应商在同一份谈判响应文件中，只有一个有效报价的；报价未超过竞争性谈判文件中规定的预算金额或者未与市场价格偏离较大、低于成本、形成不正当竞争的；</w:t>
      </w:r>
    </w:p>
    <w:p w14:paraId="42664BBE">
      <w:pPr>
        <w:spacing w:line="48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5）谈判有效期符合竞争性谈判文件的要求；</w:t>
      </w:r>
    </w:p>
    <w:p w14:paraId="6DAD7ED8">
      <w:pPr>
        <w:spacing w:line="48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6）供应商应保证服务质量标准及要求作出明确承诺；</w:t>
      </w:r>
    </w:p>
    <w:p w14:paraId="02BE7986">
      <w:pPr>
        <w:spacing w:line="48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7）实质性条款响应：各项技术/服务/商务逐条响应并满足竞争性谈判文件要求；响应文件在各项技术/服务/商务响应方面未附加采购单位难以接受的条件；</w:t>
      </w:r>
    </w:p>
    <w:p w14:paraId="38AA3516">
      <w:pPr>
        <w:spacing w:line="48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8）供应商有完整的项目实施方案，技术力量配备详细、实施时间、人员、财力调配等说明，方案详细完整符合项目需求并做出明确的承诺；</w:t>
      </w:r>
    </w:p>
    <w:p w14:paraId="1C8AD700">
      <w:pPr>
        <w:spacing w:line="48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9）供应商有经谈判代表签字并盖章的详细项目管理制度；</w:t>
      </w:r>
    </w:p>
    <w:p w14:paraId="4130A771">
      <w:pPr>
        <w:spacing w:line="48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10）拟投入本项目的项目管理机构人员符合谈判文件要求，并对人员的真实性做出明确承诺；</w:t>
      </w:r>
    </w:p>
    <w:p w14:paraId="3AEC2539">
      <w:pPr>
        <w:spacing w:line="48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11）满足谈判文件规定的其他要求，完全理解并接受法律法规和谈判文件对供应商的各项须知、规约要求和责任义务，没有出现法律法规或谈判文件明确规定的其他被视为“无效响应”的情形。</w:t>
      </w:r>
    </w:p>
    <w:p w14:paraId="64640B82">
      <w:pPr>
        <w:spacing w:line="48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12）响应方案：参照谈判文件各评审条款的要求，结合第五章《采购内容及技术要求》编制符合本项目的响应方案。主要是针对本谈判项目的具体情况作出的实质性响应和满足。技术要求必须明确响应谈判文件要求，不得粘贴复制，否则按无效处理。服务方案必须科学合理、真实可行并适用于本服务项目，能充分体现出自身技术和专业优势。</w:t>
      </w:r>
    </w:p>
    <w:p w14:paraId="23018D30">
      <w:pPr>
        <w:spacing w:line="48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、第一次谈判报价。</w:t>
      </w:r>
    </w:p>
    <w:p w14:paraId="76CF2EDF">
      <w:pPr>
        <w:spacing w:line="48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、资格性审查</w:t>
      </w:r>
    </w:p>
    <w:p w14:paraId="4AA058C3">
      <w:pPr>
        <w:spacing w:line="48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开标结束后，</w:t>
      </w:r>
      <w:r>
        <w:rPr>
          <w:rFonts w:hint="eastAsia" w:ascii="宋体" w:hAnsi="宋体" w:eastAsia="宋体" w:cs="宋体"/>
          <w:bCs/>
          <w:color w:val="auto"/>
          <w:sz w:val="24"/>
          <w:szCs w:val="24"/>
          <w:highlight w:val="none"/>
          <w:lang w:val="en-US" w:eastAsia="zh-CN"/>
        </w:rPr>
        <w:t>评审</w:t>
      </w:r>
      <w:r>
        <w:rPr>
          <w:rFonts w:hint="eastAsia" w:ascii="宋体" w:hAnsi="宋体" w:eastAsia="宋体" w:cs="宋体"/>
          <w:bCs/>
          <w:color w:val="auto"/>
          <w:sz w:val="24"/>
          <w:szCs w:val="24"/>
          <w:highlight w:val="none"/>
        </w:rPr>
        <w:t>小组依法对供应商的资格证明文件进行审查，不符合竞争性谈判文件要求的按无效谈判响应处理，不得进入后续评审，签字确认检查结果。</w:t>
      </w:r>
    </w:p>
    <w:p w14:paraId="07F0AD61">
      <w:pPr>
        <w:spacing w:line="48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不符合竞争性谈判文件要求的按无效文件处理，不得进入后续评审工作。</w:t>
      </w:r>
    </w:p>
    <w:p w14:paraId="3EF562F6">
      <w:pPr>
        <w:spacing w:line="48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合格</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不足三家的，不得评标。</w:t>
      </w:r>
    </w:p>
    <w:p w14:paraId="5F57CC4B">
      <w:pPr>
        <w:spacing w:line="48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、谈判响应文件的符合性审查</w:t>
      </w:r>
    </w:p>
    <w:p w14:paraId="0CE8319A">
      <w:pPr>
        <w:spacing w:line="48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评审小组</w:t>
      </w:r>
      <w:r>
        <w:rPr>
          <w:rFonts w:hint="eastAsia" w:ascii="宋体" w:hAnsi="宋体" w:eastAsia="宋体" w:cs="宋体"/>
          <w:bCs/>
          <w:color w:val="auto"/>
          <w:sz w:val="24"/>
          <w:szCs w:val="24"/>
          <w:highlight w:val="none"/>
        </w:rPr>
        <w:t>依据谈判文件的规定，对谈判响应文件的有效性、完整性和对谈判文件的响应程度进行审查，以确定是否对谈判文件的全部实质性要求做出响应。</w:t>
      </w:r>
    </w:p>
    <w:p w14:paraId="17D400A4">
      <w:pPr>
        <w:spacing w:line="48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评审小组</w:t>
      </w:r>
      <w:r>
        <w:rPr>
          <w:rFonts w:hint="eastAsia" w:ascii="宋体" w:hAnsi="宋体" w:eastAsia="宋体" w:cs="宋体"/>
          <w:bCs/>
          <w:color w:val="auto"/>
          <w:sz w:val="24"/>
          <w:szCs w:val="24"/>
          <w:highlight w:val="none"/>
        </w:rPr>
        <w:t>要审查每份谈判响应文件是否实质上响应了谈判文件的要求。实质上没有响应谈判文件要求的投标作无效响应文件处理。</w:t>
      </w:r>
      <w:r>
        <w:rPr>
          <w:rFonts w:hint="eastAsia" w:ascii="宋体" w:hAnsi="宋体" w:eastAsia="宋体" w:cs="宋体"/>
          <w:bCs/>
          <w:color w:val="auto"/>
          <w:sz w:val="24"/>
          <w:szCs w:val="24"/>
          <w:highlight w:val="none"/>
          <w:lang w:eastAsia="zh-CN"/>
        </w:rPr>
        <w:t>评审小组</w:t>
      </w:r>
      <w:r>
        <w:rPr>
          <w:rFonts w:hint="eastAsia" w:ascii="宋体" w:hAnsi="宋体" w:eastAsia="宋体" w:cs="宋体"/>
          <w:bCs/>
          <w:color w:val="auto"/>
          <w:sz w:val="24"/>
          <w:szCs w:val="24"/>
          <w:highlight w:val="none"/>
        </w:rPr>
        <w:t>应告知有关供应商未通过审查的原因，供应商不得通过修正或撤销不符之处而使其成为实质上响应。</w:t>
      </w:r>
    </w:p>
    <w:p w14:paraId="586C64BE">
      <w:pPr>
        <w:spacing w:line="48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、谈判响应文件的澄清</w:t>
      </w:r>
    </w:p>
    <w:p w14:paraId="0356F828">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评审小组</w:t>
      </w:r>
      <w:r>
        <w:rPr>
          <w:rFonts w:hint="eastAsia" w:ascii="宋体" w:hAnsi="宋体" w:eastAsia="宋体" w:cs="宋体"/>
          <w:bCs/>
          <w:color w:val="auto"/>
          <w:sz w:val="24"/>
          <w:szCs w:val="24"/>
          <w:highlight w:val="none"/>
        </w:rPr>
        <w:t>在对谈判响应文件的有效性、完整性和响应程度进行审查时，可以要求供应商对谈判响应文件中含义不明确、同类问题表述不一致或者有明显文字和计算错误的内容等做出必要的澄清、说明或者补正。</w:t>
      </w:r>
    </w:p>
    <w:p w14:paraId="6063F744">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（2）依照</w:t>
      </w:r>
      <w:r>
        <w:rPr>
          <w:rFonts w:hint="eastAsia" w:ascii="宋体" w:hAnsi="宋体" w:eastAsia="宋体" w:cs="宋体"/>
          <w:color w:val="auto"/>
          <w:sz w:val="24"/>
          <w:szCs w:val="24"/>
          <w:highlight w:val="none"/>
        </w:rPr>
        <w:t>民法典</w:t>
      </w:r>
      <w:r>
        <w:rPr>
          <w:rFonts w:hint="eastAsia" w:ascii="宋体" w:hAnsi="宋体" w:eastAsia="宋体" w:cs="宋体"/>
          <w:bCs/>
          <w:color w:val="auto"/>
          <w:sz w:val="24"/>
          <w:szCs w:val="24"/>
          <w:highlight w:val="none"/>
        </w:rPr>
        <w:t>中的过失责任原则，澄清、说明或补正前</w:t>
      </w:r>
      <w:r>
        <w:rPr>
          <w:rFonts w:hint="eastAsia" w:ascii="宋体" w:hAnsi="宋体" w:eastAsia="宋体" w:cs="宋体"/>
          <w:bCs/>
          <w:color w:val="auto"/>
          <w:sz w:val="24"/>
          <w:szCs w:val="24"/>
          <w:highlight w:val="none"/>
          <w:lang w:eastAsia="zh-CN"/>
        </w:rPr>
        <w:t>评审小组</w:t>
      </w:r>
      <w:r>
        <w:rPr>
          <w:rFonts w:hint="eastAsia" w:ascii="宋体" w:hAnsi="宋体" w:eastAsia="宋体" w:cs="宋体"/>
          <w:bCs/>
          <w:color w:val="auto"/>
          <w:sz w:val="24"/>
          <w:szCs w:val="24"/>
          <w:highlight w:val="none"/>
        </w:rPr>
        <w:t>将按最不利于供应商的原则对谈判响应文件做出评判。</w:t>
      </w:r>
    </w:p>
    <w:p w14:paraId="1D87E0D9">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评审小组</w:t>
      </w:r>
      <w:r>
        <w:rPr>
          <w:rFonts w:hint="eastAsia" w:ascii="宋体" w:hAnsi="宋体" w:eastAsia="宋体" w:cs="宋体"/>
          <w:bCs/>
          <w:color w:val="auto"/>
          <w:sz w:val="24"/>
          <w:szCs w:val="24"/>
          <w:highlight w:val="none"/>
        </w:rPr>
        <w:t>要求供应商澄清、说明或者补正谈判响应文件应通过书面形式通知供应商。供应商应当在规定的澄清时限内按</w:t>
      </w:r>
      <w:r>
        <w:rPr>
          <w:rFonts w:hint="eastAsia" w:ascii="宋体" w:hAnsi="宋体" w:eastAsia="宋体" w:cs="宋体"/>
          <w:bCs/>
          <w:color w:val="auto"/>
          <w:sz w:val="24"/>
          <w:szCs w:val="24"/>
          <w:highlight w:val="none"/>
          <w:lang w:eastAsia="zh-CN"/>
        </w:rPr>
        <w:t>评审小组</w:t>
      </w:r>
      <w:r>
        <w:rPr>
          <w:rFonts w:hint="eastAsia" w:ascii="宋体" w:hAnsi="宋体" w:eastAsia="宋体" w:cs="宋体"/>
          <w:bCs/>
          <w:color w:val="auto"/>
          <w:sz w:val="24"/>
          <w:szCs w:val="24"/>
          <w:highlight w:val="none"/>
        </w:rPr>
        <w:t>要求的方式提交。</w:t>
      </w:r>
    </w:p>
    <w:p w14:paraId="12083E98">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（4）供应商的澄清、说明或者补正不得超出谈判响应文件的范围或者改变谈判响应文件的实质性内容。澄清、说明或者补正的内容将作为合同履行的重要依据。</w:t>
      </w:r>
    </w:p>
    <w:p w14:paraId="23D190AE">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、谈判过程</w:t>
      </w:r>
    </w:p>
    <w:p w14:paraId="06BAEE98">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评审小组</w:t>
      </w:r>
      <w:r>
        <w:rPr>
          <w:rFonts w:hint="eastAsia" w:ascii="宋体" w:hAnsi="宋体" w:eastAsia="宋体" w:cs="宋体"/>
          <w:bCs/>
          <w:color w:val="auto"/>
          <w:sz w:val="24"/>
          <w:szCs w:val="24"/>
          <w:highlight w:val="none"/>
        </w:rPr>
        <w:t>应在符合性评审的基础上对各供应商的响应文件认真阅读，</w:t>
      </w:r>
      <w:r>
        <w:rPr>
          <w:rFonts w:hint="eastAsia" w:ascii="宋体" w:hAnsi="宋体" w:eastAsia="宋体" w:cs="宋体"/>
          <w:bCs/>
          <w:color w:val="auto"/>
          <w:sz w:val="24"/>
          <w:szCs w:val="24"/>
          <w:highlight w:val="none"/>
          <w:lang w:eastAsia="zh-CN"/>
        </w:rPr>
        <w:t>评审小组</w:t>
      </w:r>
      <w:r>
        <w:rPr>
          <w:rFonts w:hint="eastAsia" w:ascii="宋体" w:hAnsi="宋体" w:eastAsia="宋体" w:cs="宋体"/>
          <w:bCs/>
          <w:color w:val="auto"/>
          <w:sz w:val="24"/>
          <w:szCs w:val="24"/>
          <w:highlight w:val="none"/>
        </w:rPr>
        <w:t>必须对响应文件的采购内容等有关要求和供应商一对一谈判。</w:t>
      </w:r>
    </w:p>
    <w:p w14:paraId="24E732CA">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、最终报价</w:t>
      </w:r>
    </w:p>
    <w:p w14:paraId="33E62851">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资格性审查和符合性审查通过的供应商进入最终报价阶段。最终报价是供应商响应文件的有效组成部分。（最后报价相同时，可进行多次报价）</w:t>
      </w:r>
    </w:p>
    <w:p w14:paraId="4485DCC2">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供应商在线进行最终报价。对成交供应商的最终报价出现明显低于或高于同业同期市场平均价的情形时，</w:t>
      </w:r>
      <w:r>
        <w:rPr>
          <w:rFonts w:hint="eastAsia" w:ascii="宋体" w:hAnsi="宋体" w:eastAsia="宋体" w:cs="宋体"/>
          <w:bCs/>
          <w:color w:val="auto"/>
          <w:sz w:val="24"/>
          <w:szCs w:val="24"/>
          <w:highlight w:val="none"/>
          <w:lang w:eastAsia="zh-CN"/>
        </w:rPr>
        <w:t>评审小组</w:t>
      </w:r>
      <w:r>
        <w:rPr>
          <w:rFonts w:hint="eastAsia" w:ascii="宋体" w:hAnsi="宋体" w:eastAsia="宋体" w:cs="宋体"/>
          <w:bCs/>
          <w:color w:val="auto"/>
          <w:sz w:val="24"/>
          <w:szCs w:val="24"/>
          <w:highlight w:val="none"/>
        </w:rPr>
        <w:t>应当在评审意见中详细说明推荐理由。</w:t>
      </w:r>
    </w:p>
    <w:p w14:paraId="421695B1">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评审小组</w:t>
      </w:r>
      <w:r>
        <w:rPr>
          <w:rFonts w:hint="eastAsia" w:ascii="宋体" w:hAnsi="宋体" w:eastAsia="宋体" w:cs="宋体"/>
          <w:bCs/>
          <w:color w:val="auto"/>
          <w:sz w:val="24"/>
          <w:szCs w:val="24"/>
          <w:highlight w:val="none"/>
        </w:rPr>
        <w:t>应审查供应商是否具备“落实政府采购政策”的资格，如不符合相关文件要求或供应商未提供相关声明或证明材料，供应商不可以享受价格折扣优惠政策。</w:t>
      </w:r>
    </w:p>
    <w:p w14:paraId="31B3CF1B">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按照《政府采购促进中小企业发展管理办法》规定提供声明函内容不实的，属于提供虚假材料谋取中标、成交，依照《中华人民共和国政府采购法》等国家有关规定追究相应责任。适用招标投标法的政府采购工程建设项目，供应商按照本办法规定提供声明函内容不实的，属于弄虚作假骗取中标，依照《中华人民共和国招标投标法》等国家有关规定追究相应责任。</w:t>
      </w:r>
    </w:p>
    <w:p w14:paraId="29E055A4">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、推荐成交候选人</w:t>
      </w:r>
    </w:p>
    <w:p w14:paraId="02A9E31B">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经过最后报价，</w:t>
      </w:r>
      <w:r>
        <w:rPr>
          <w:rFonts w:hint="eastAsia" w:ascii="宋体" w:hAnsi="宋体" w:eastAsia="宋体" w:cs="宋体"/>
          <w:bCs/>
          <w:color w:val="auto"/>
          <w:sz w:val="24"/>
          <w:szCs w:val="24"/>
          <w:highlight w:val="none"/>
          <w:lang w:eastAsia="zh-CN"/>
        </w:rPr>
        <w:t>评审小组</w:t>
      </w:r>
      <w:r>
        <w:rPr>
          <w:rFonts w:hint="eastAsia" w:ascii="宋体" w:hAnsi="宋体" w:eastAsia="宋体" w:cs="宋体"/>
          <w:bCs/>
          <w:color w:val="auto"/>
          <w:sz w:val="24"/>
          <w:szCs w:val="24"/>
          <w:highlight w:val="none"/>
        </w:rPr>
        <w:t>按上述规则对最后报价做必要的价格扣除，按扣除后的价格由低到高的顺序推荐</w:t>
      </w:r>
      <w:bookmarkStart w:id="549" w:name="■Finalists_CH2_A■"/>
      <w:r>
        <w:rPr>
          <w:rFonts w:hint="eastAsia" w:ascii="宋体" w:hAnsi="宋体" w:eastAsia="宋体" w:cs="宋体"/>
          <w:bCs/>
          <w:color w:val="auto"/>
          <w:sz w:val="24"/>
          <w:szCs w:val="24"/>
          <w:highlight w:val="none"/>
        </w:rPr>
        <w:t>三名</w:t>
      </w:r>
      <w:bookmarkEnd w:id="549"/>
      <w:r>
        <w:rPr>
          <w:rFonts w:hint="eastAsia" w:ascii="宋体" w:hAnsi="宋体" w:eastAsia="宋体" w:cs="宋体"/>
          <w:bCs/>
          <w:color w:val="auto"/>
          <w:sz w:val="24"/>
          <w:szCs w:val="24"/>
          <w:highlight w:val="none"/>
        </w:rPr>
        <w:t>成交候选人。</w:t>
      </w:r>
    </w:p>
    <w:p w14:paraId="7CC604D4">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、编写评审报告</w:t>
      </w:r>
    </w:p>
    <w:p w14:paraId="1E30B630">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评审小组</w:t>
      </w:r>
      <w:r>
        <w:rPr>
          <w:rFonts w:hint="eastAsia" w:ascii="宋体" w:hAnsi="宋体" w:eastAsia="宋体" w:cs="宋体"/>
          <w:bCs/>
          <w:color w:val="auto"/>
          <w:sz w:val="24"/>
          <w:szCs w:val="24"/>
          <w:highlight w:val="none"/>
        </w:rPr>
        <w:t>应根据全体评审成员签字的原始评审记录和评审结果编写评审报告。评审报告应包括：谈判公告刊登的媒体名称、开标日期和地点；供应商名单和</w:t>
      </w:r>
      <w:r>
        <w:rPr>
          <w:rFonts w:hint="eastAsia" w:ascii="宋体" w:hAnsi="宋体" w:eastAsia="宋体" w:cs="宋体"/>
          <w:bCs/>
          <w:color w:val="auto"/>
          <w:sz w:val="24"/>
          <w:szCs w:val="24"/>
          <w:highlight w:val="none"/>
          <w:lang w:eastAsia="zh-CN"/>
        </w:rPr>
        <w:t>评审小组</w:t>
      </w:r>
      <w:r>
        <w:rPr>
          <w:rFonts w:hint="eastAsia" w:ascii="宋体" w:hAnsi="宋体" w:eastAsia="宋体" w:cs="宋体"/>
          <w:bCs/>
          <w:color w:val="auto"/>
          <w:sz w:val="24"/>
          <w:szCs w:val="24"/>
          <w:highlight w:val="none"/>
        </w:rPr>
        <w:t>成员名单；评审方法和标准；开标记录和评审情况及说明，包括无效供应商名单及原因；评审结果，确定的成交候选人名单或者经采购人委托直接确定的成交人；其他需要说明的情况，包括评审过程中供应商根据</w:t>
      </w:r>
      <w:r>
        <w:rPr>
          <w:rFonts w:hint="eastAsia" w:ascii="宋体" w:hAnsi="宋体" w:eastAsia="宋体" w:cs="宋体"/>
          <w:bCs/>
          <w:color w:val="auto"/>
          <w:sz w:val="24"/>
          <w:szCs w:val="24"/>
          <w:highlight w:val="none"/>
          <w:lang w:eastAsia="zh-CN"/>
        </w:rPr>
        <w:t>评审小组</w:t>
      </w:r>
      <w:r>
        <w:rPr>
          <w:rFonts w:hint="eastAsia" w:ascii="宋体" w:hAnsi="宋体" w:eastAsia="宋体" w:cs="宋体"/>
          <w:bCs/>
          <w:color w:val="auto"/>
          <w:sz w:val="24"/>
          <w:szCs w:val="24"/>
          <w:highlight w:val="none"/>
        </w:rPr>
        <w:t>要求进行的澄清、说明或者补正，</w:t>
      </w:r>
      <w:r>
        <w:rPr>
          <w:rFonts w:hint="eastAsia" w:ascii="宋体" w:hAnsi="宋体" w:eastAsia="宋体" w:cs="宋体"/>
          <w:bCs/>
          <w:color w:val="auto"/>
          <w:sz w:val="24"/>
          <w:szCs w:val="24"/>
          <w:highlight w:val="none"/>
          <w:lang w:eastAsia="zh-CN"/>
        </w:rPr>
        <w:t>评审小组</w:t>
      </w:r>
      <w:r>
        <w:rPr>
          <w:rFonts w:hint="eastAsia" w:ascii="宋体" w:hAnsi="宋体" w:eastAsia="宋体" w:cs="宋体"/>
          <w:bCs/>
          <w:color w:val="auto"/>
          <w:sz w:val="24"/>
          <w:szCs w:val="24"/>
          <w:highlight w:val="none"/>
        </w:rPr>
        <w:t>成员的更换等。</w:t>
      </w:r>
    </w:p>
    <w:p w14:paraId="18F06E43">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评审小组</w:t>
      </w:r>
      <w:r>
        <w:rPr>
          <w:rFonts w:hint="eastAsia" w:ascii="宋体" w:hAnsi="宋体" w:eastAsia="宋体" w:cs="宋体"/>
          <w:bCs/>
          <w:color w:val="auto"/>
          <w:sz w:val="24"/>
          <w:szCs w:val="24"/>
          <w:highlight w:val="none"/>
        </w:rPr>
        <w:t>成员对需要共同认定的事项存在争议的，应当按照少数服从多数的原则做出结论。持不同意见的</w:t>
      </w:r>
      <w:r>
        <w:rPr>
          <w:rFonts w:hint="eastAsia" w:ascii="宋体" w:hAnsi="宋体" w:eastAsia="宋体" w:cs="宋体"/>
          <w:bCs/>
          <w:color w:val="auto"/>
          <w:sz w:val="24"/>
          <w:szCs w:val="24"/>
          <w:highlight w:val="none"/>
          <w:lang w:eastAsia="zh-CN"/>
        </w:rPr>
        <w:t>评审小组</w:t>
      </w:r>
      <w:r>
        <w:rPr>
          <w:rFonts w:hint="eastAsia" w:ascii="宋体" w:hAnsi="宋体" w:eastAsia="宋体" w:cs="宋体"/>
          <w:bCs/>
          <w:color w:val="auto"/>
          <w:sz w:val="24"/>
          <w:szCs w:val="24"/>
          <w:highlight w:val="none"/>
        </w:rPr>
        <w:t>成员应当在评审报告上签署不同意见及理由，否则视为同意评审报告。对拒绝说明理由的，报市财政局处理，并将其评审情况如实计入考核表。</w:t>
      </w:r>
    </w:p>
    <w:p w14:paraId="428EEE18">
      <w:pPr>
        <w:spacing w:line="360" w:lineRule="auto"/>
        <w:outlineLvl w:val="1"/>
        <w:rPr>
          <w:rFonts w:hint="eastAsia" w:ascii="宋体" w:hAnsi="宋体" w:eastAsia="宋体" w:cs="宋体"/>
          <w:bCs/>
          <w:color w:val="auto"/>
          <w:sz w:val="24"/>
          <w:szCs w:val="24"/>
          <w:highlight w:val="none"/>
        </w:rPr>
      </w:pPr>
      <w:bookmarkStart w:id="550" w:name="_Toc10166"/>
      <w:bookmarkStart w:id="551" w:name="_Toc30849"/>
      <w:bookmarkStart w:id="552" w:name="_Toc26376"/>
      <w:bookmarkStart w:id="553" w:name="_Toc8387"/>
      <w:r>
        <w:rPr>
          <w:rFonts w:hint="eastAsia" w:ascii="宋体" w:hAnsi="宋体" w:eastAsia="宋体" w:cs="宋体"/>
          <w:bCs/>
          <w:color w:val="auto"/>
          <w:sz w:val="24"/>
          <w:szCs w:val="24"/>
          <w:highlight w:val="none"/>
        </w:rPr>
        <w:t>三、成交：</w:t>
      </w:r>
      <w:bookmarkEnd w:id="550"/>
      <w:bookmarkEnd w:id="551"/>
      <w:bookmarkEnd w:id="552"/>
      <w:bookmarkEnd w:id="553"/>
    </w:p>
    <w:p w14:paraId="4886C88F">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1、代理机构在评审工作结束后2个工作日内将评审报告送采购人。</w:t>
      </w:r>
    </w:p>
    <w:p w14:paraId="048CB596">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2、采购人在收到评审报告之日起5个工作日内，在评审报告确定的成交候选人名单中按顺序确定成交供应商。</w:t>
      </w:r>
    </w:p>
    <w:p w14:paraId="7FE83C88">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采购人在收到评审报告5个工作日内未按评审报告推荐的成交候选人顺序确定成交供应商，又不能说明合法理由的，视同按评审报告推荐的顺序确定成交供应商，代理机构将发布成交公告。</w:t>
      </w:r>
    </w:p>
    <w:p w14:paraId="17673D92">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3、代理机构将在成交供应商确定之日起2个工作日内，发布媒体为【</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"http://www.ccgp-shaanxi.gov.cn"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陕西省政府采购网</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（www.ccgp-shaanxi.gov.cn）】、【全国公共资源交易平台（陕西省）（http://www.sxggzyjy.cn/）】上公告成交结果。</w:t>
      </w:r>
    </w:p>
    <w:p w14:paraId="3CCB67B9">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成交公告期限为1个工作日。</w:t>
      </w:r>
    </w:p>
    <w:p w14:paraId="6E4D8CFA">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4、在公告成交结果的同时，代理机构向成交供应商发出成交通知书。</w:t>
      </w:r>
    </w:p>
    <w:p w14:paraId="37F64298">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5、成交通知书发出后，采购人不得违法改变成交结果，成交供应商无正当理由不得放弃成交。</w:t>
      </w:r>
    </w:p>
    <w:p w14:paraId="5777AF40">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废标情形</w:t>
      </w:r>
    </w:p>
    <w:p w14:paraId="0FAFCE6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小组发现</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文件存在歧义、重大缺陷导致评标工作无法进行，或者</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文件内容违反国家有关强制性规定的，应当停止评标工作，与</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或者采购代理机构沟通并作书面记录。</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或者采购代理机构确认后，应当</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文件，重新组织采购活动。</w:t>
      </w:r>
    </w:p>
    <w:p w14:paraId="23761B7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（二）根据《政府采购法》第三十六条规定，在招标采购中，出现下列情形之一的，本项目按废标处理：</w:t>
      </w:r>
    </w:p>
    <w:p w14:paraId="1D293B79">
      <w:pPr>
        <w:keepNext w:val="0"/>
        <w:keepLines w:val="0"/>
        <w:pageBreakBefore w:val="0"/>
        <w:widowControl w:val="0"/>
        <w:numPr>
          <w:ilvl w:val="0"/>
          <w:numId w:val="7"/>
        </w:numPr>
        <w:kinsoku/>
        <w:wordWrap w:val="0"/>
        <w:overflowPunct/>
        <w:topLinePunct w:val="0"/>
        <w:autoSpaceDE/>
        <w:autoSpaceDN/>
        <w:bidi w:val="0"/>
        <w:adjustRightInd/>
        <w:snapToGrid/>
        <w:spacing w:line="360" w:lineRule="auto"/>
        <w:ind w:left="0" w:leftChars="0" w:firstLine="40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符合专业条件的供应商或者对招标文件作实质响应的供应商不足三家的；</w:t>
      </w:r>
    </w:p>
    <w:p w14:paraId="63C7B43D">
      <w:pPr>
        <w:keepNext w:val="0"/>
        <w:keepLines w:val="0"/>
        <w:pageBreakBefore w:val="0"/>
        <w:widowControl w:val="0"/>
        <w:numPr>
          <w:ilvl w:val="0"/>
          <w:numId w:val="7"/>
        </w:numPr>
        <w:kinsoku/>
        <w:wordWrap w:val="0"/>
        <w:overflowPunct/>
        <w:topLinePunct w:val="0"/>
        <w:autoSpaceDE/>
        <w:autoSpaceDN/>
        <w:bidi w:val="0"/>
        <w:adjustRightInd/>
        <w:snapToGrid/>
        <w:spacing w:line="360" w:lineRule="auto"/>
        <w:ind w:left="0" w:leftChars="0" w:firstLine="40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出现影响采购公正的违法、违规行为的；</w:t>
      </w:r>
    </w:p>
    <w:p w14:paraId="426BB6FD">
      <w:pPr>
        <w:keepNext w:val="0"/>
        <w:keepLines w:val="0"/>
        <w:pageBreakBefore w:val="0"/>
        <w:widowControl w:val="0"/>
        <w:numPr>
          <w:ilvl w:val="0"/>
          <w:numId w:val="7"/>
        </w:numPr>
        <w:kinsoku/>
        <w:wordWrap w:val="0"/>
        <w:overflowPunct/>
        <w:topLinePunct w:val="0"/>
        <w:autoSpaceDE/>
        <w:autoSpaceDN/>
        <w:bidi w:val="0"/>
        <w:adjustRightInd/>
        <w:snapToGrid/>
        <w:spacing w:line="360" w:lineRule="auto"/>
        <w:ind w:left="0" w:leftChars="0" w:firstLine="40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供应商的报价均超过了采购预算，采购人不能支付的；</w:t>
      </w:r>
    </w:p>
    <w:p w14:paraId="422374CA">
      <w:pPr>
        <w:keepNext w:val="0"/>
        <w:keepLines w:val="0"/>
        <w:pageBreakBefore w:val="0"/>
        <w:widowControl w:val="0"/>
        <w:numPr>
          <w:ilvl w:val="0"/>
          <w:numId w:val="7"/>
        </w:numPr>
        <w:kinsoku/>
        <w:wordWrap w:val="0"/>
        <w:overflowPunct/>
        <w:topLinePunct w:val="0"/>
        <w:autoSpaceDE/>
        <w:autoSpaceDN/>
        <w:bidi w:val="0"/>
        <w:adjustRightInd/>
        <w:snapToGrid/>
        <w:spacing w:line="360" w:lineRule="auto"/>
        <w:ind w:left="0" w:leftChars="0" w:firstLine="40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因重大变故，采购任务取消的。</w:t>
      </w:r>
    </w:p>
    <w:p w14:paraId="6F0EC1B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sectPr>
          <w:pgSz w:w="11910" w:h="16840"/>
          <w:pgMar w:top="1440" w:right="1080" w:bottom="1440" w:left="1080" w:header="517" w:footer="1004" w:gutter="0"/>
          <w:pgNumType w:fmt="decimal"/>
          <w:cols w:space="720" w:num="1"/>
        </w:sectPr>
      </w:pPr>
      <w:r>
        <w:rPr>
          <w:rFonts w:hint="eastAsia" w:ascii="宋体" w:hAnsi="宋体" w:eastAsia="宋体" w:cs="宋体"/>
          <w:color w:val="auto"/>
          <w:sz w:val="24"/>
          <w:szCs w:val="24"/>
          <w:highlight w:val="none"/>
        </w:rPr>
        <w:t>废标后，</w:t>
      </w:r>
      <w:r>
        <w:rPr>
          <w:rFonts w:hint="eastAsia" w:ascii="宋体" w:hAnsi="宋体" w:eastAsia="宋体" w:cs="宋体"/>
          <w:color w:val="auto"/>
          <w:sz w:val="24"/>
          <w:szCs w:val="24"/>
          <w:highlight w:val="none"/>
          <w:lang w:val="en-US" w:eastAsia="zh-CN"/>
        </w:rPr>
        <w:t>采购人应当将废标理由通知所有投标供应商，由</w:t>
      </w:r>
      <w:r>
        <w:rPr>
          <w:rFonts w:hint="eastAsia" w:ascii="宋体" w:hAnsi="宋体" w:eastAsia="宋体" w:cs="宋体"/>
          <w:color w:val="auto"/>
          <w:sz w:val="24"/>
          <w:szCs w:val="24"/>
          <w:highlight w:val="none"/>
        </w:rPr>
        <w:t>采购代理机构</w:t>
      </w:r>
      <w:r>
        <w:rPr>
          <w:rFonts w:hint="eastAsia" w:ascii="宋体" w:hAnsi="宋体" w:eastAsia="宋体" w:cs="宋体"/>
          <w:color w:val="auto"/>
          <w:sz w:val="24"/>
          <w:szCs w:val="24"/>
          <w:highlight w:val="none"/>
          <w:lang w:val="en-US" w:eastAsia="zh-CN"/>
        </w:rPr>
        <w:t>在原公告媒体上</w:t>
      </w:r>
      <w:r>
        <w:rPr>
          <w:rFonts w:hint="eastAsia" w:ascii="宋体" w:hAnsi="宋体" w:eastAsia="宋体" w:cs="宋体"/>
          <w:color w:val="auto"/>
          <w:sz w:val="24"/>
          <w:szCs w:val="24"/>
          <w:highlight w:val="none"/>
        </w:rPr>
        <w:t>发布废标公告。</w:t>
      </w:r>
    </w:p>
    <w:bookmarkEnd w:id="524"/>
    <w:bookmarkEnd w:id="525"/>
    <w:bookmarkEnd w:id="526"/>
    <w:bookmarkEnd w:id="527"/>
    <w:bookmarkEnd w:id="528"/>
    <w:bookmarkEnd w:id="529"/>
    <w:bookmarkEnd w:id="530"/>
    <w:bookmarkEnd w:id="531"/>
    <w:bookmarkEnd w:id="532"/>
    <w:bookmarkEnd w:id="533"/>
    <w:bookmarkEnd w:id="534"/>
    <w:p w14:paraId="04548389">
      <w:pPr>
        <w:pStyle w:val="2"/>
        <w:jc w:val="center"/>
        <w:rPr>
          <w:rFonts w:hint="eastAsia" w:ascii="宋体" w:hAnsi="宋体" w:eastAsia="宋体" w:cs="宋体"/>
          <w:b w:val="0"/>
          <w:bCs/>
          <w:color w:val="auto"/>
          <w:sz w:val="40"/>
          <w:szCs w:val="18"/>
          <w:highlight w:val="none"/>
        </w:rPr>
      </w:pPr>
      <w:bookmarkStart w:id="554" w:name="_Toc6694"/>
      <w:bookmarkStart w:id="555" w:name="_Toc30128"/>
      <w:r>
        <w:rPr>
          <w:rFonts w:hint="eastAsia" w:ascii="宋体" w:hAnsi="宋体" w:eastAsia="宋体" w:cs="宋体"/>
          <w:b w:val="0"/>
          <w:bCs/>
          <w:color w:val="auto"/>
          <w:sz w:val="40"/>
          <w:szCs w:val="18"/>
          <w:highlight w:val="none"/>
        </w:rPr>
        <w:t>第八部分  竞争性谈判响应文件格式</w:t>
      </w:r>
      <w:bookmarkEnd w:id="554"/>
      <w:bookmarkEnd w:id="555"/>
    </w:p>
    <w:p w14:paraId="21726CEA">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32"/>
          <w:szCs w:val="32"/>
          <w:highlight w:val="none"/>
        </w:rPr>
        <w:t>（封面）</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kern w:val="0"/>
          <w:sz w:val="36"/>
          <w:szCs w:val="36"/>
          <w:highlight w:val="none"/>
          <w:bdr w:val="single" w:color="auto" w:sz="4" w:space="0"/>
        </w:rPr>
        <w:t>正/副本</w:t>
      </w:r>
    </w:p>
    <w:p w14:paraId="0A86C3BE">
      <w:pPr>
        <w:spacing w:line="360" w:lineRule="auto"/>
        <w:jc w:val="left"/>
        <w:rPr>
          <w:rFonts w:hint="eastAsia" w:ascii="宋体" w:hAnsi="宋体" w:eastAsia="宋体" w:cs="宋体"/>
          <w:bCs/>
          <w:color w:val="auto"/>
          <w:sz w:val="28"/>
          <w:szCs w:val="28"/>
          <w:highlight w:val="none"/>
        </w:rPr>
      </w:pPr>
    </w:p>
    <w:p w14:paraId="707D2824">
      <w:pPr>
        <w:spacing w:line="360" w:lineRule="auto"/>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采购项目编号：</w:t>
      </w:r>
    </w:p>
    <w:p w14:paraId="56553EE5">
      <w:pPr>
        <w:rPr>
          <w:rFonts w:hint="eastAsia" w:ascii="宋体" w:hAnsi="宋体" w:eastAsia="宋体" w:cs="宋体"/>
          <w:bCs/>
          <w:color w:val="auto"/>
          <w:highlight w:val="none"/>
        </w:rPr>
      </w:pPr>
    </w:p>
    <w:p w14:paraId="5D3B7301">
      <w:pPr>
        <w:pStyle w:val="8"/>
        <w:rPr>
          <w:rFonts w:hint="eastAsia" w:ascii="宋体" w:hAnsi="宋体" w:eastAsia="宋体" w:cs="宋体"/>
          <w:bCs/>
          <w:color w:val="auto"/>
          <w:highlight w:val="none"/>
        </w:rPr>
      </w:pPr>
      <w:r>
        <w:rPr>
          <w:rFonts w:hint="eastAsia" w:ascii="宋体" w:hAnsi="宋体" w:eastAsia="宋体" w:cs="宋体"/>
          <w:bCs/>
          <w:color w:val="auto"/>
          <w:spacing w:val="15"/>
          <w:sz w:val="48"/>
          <w:szCs w:val="48"/>
          <w:highlight w:val="none"/>
          <w:u w:val="single"/>
        </w:rPr>
        <w:t xml:space="preserve">           （项目名称）                            </w:t>
      </w:r>
    </w:p>
    <w:p w14:paraId="66112AC2">
      <w:pPr>
        <w:spacing w:line="360" w:lineRule="auto"/>
        <w:jc w:val="center"/>
        <w:rPr>
          <w:rFonts w:hint="eastAsia" w:ascii="宋体" w:hAnsi="宋体" w:eastAsia="宋体" w:cs="宋体"/>
          <w:bCs/>
          <w:color w:val="auto"/>
          <w:sz w:val="72"/>
          <w:szCs w:val="72"/>
          <w:highlight w:val="none"/>
        </w:rPr>
      </w:pPr>
    </w:p>
    <w:p w14:paraId="2D834792">
      <w:pPr>
        <w:spacing w:line="360" w:lineRule="auto"/>
        <w:jc w:val="center"/>
        <w:rPr>
          <w:rFonts w:hint="eastAsia" w:ascii="宋体" w:hAnsi="宋体" w:eastAsia="宋体" w:cs="宋体"/>
          <w:bCs/>
          <w:color w:val="auto"/>
          <w:sz w:val="72"/>
          <w:szCs w:val="72"/>
          <w:highlight w:val="none"/>
        </w:rPr>
      </w:pPr>
    </w:p>
    <w:p w14:paraId="2D4E614F">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72"/>
          <w:szCs w:val="72"/>
          <w:highlight w:val="none"/>
        </w:rPr>
        <w:t>竞争性谈判响应文件</w:t>
      </w:r>
      <w:r>
        <w:rPr>
          <w:rFonts w:hint="eastAsia" w:ascii="宋体" w:hAnsi="宋体" w:eastAsia="宋体" w:cs="宋体"/>
          <w:bCs/>
          <w:color w:val="auto"/>
          <w:sz w:val="24"/>
          <w:szCs w:val="24"/>
          <w:highlight w:val="none"/>
        </w:rPr>
        <w:t xml:space="preserve"> </w:t>
      </w:r>
    </w:p>
    <w:p w14:paraId="79218670">
      <w:pPr>
        <w:spacing w:line="360" w:lineRule="auto"/>
        <w:rPr>
          <w:rFonts w:hint="eastAsia" w:ascii="宋体" w:hAnsi="宋体" w:eastAsia="宋体" w:cs="宋体"/>
          <w:bCs/>
          <w:color w:val="auto"/>
          <w:sz w:val="24"/>
          <w:szCs w:val="24"/>
          <w:highlight w:val="none"/>
        </w:rPr>
      </w:pPr>
    </w:p>
    <w:p w14:paraId="08965424">
      <w:pPr>
        <w:pStyle w:val="8"/>
        <w:rPr>
          <w:rFonts w:hint="eastAsia" w:ascii="宋体" w:hAnsi="宋体" w:eastAsia="宋体" w:cs="宋体"/>
          <w:bCs/>
          <w:color w:val="auto"/>
          <w:highlight w:val="none"/>
        </w:rPr>
      </w:pPr>
    </w:p>
    <w:p w14:paraId="6DC2E2C7">
      <w:pPr>
        <w:rPr>
          <w:rFonts w:hint="eastAsia" w:ascii="宋体" w:hAnsi="宋体" w:eastAsia="宋体" w:cs="宋体"/>
          <w:bCs/>
          <w:color w:val="auto"/>
          <w:highlight w:val="none"/>
        </w:rPr>
      </w:pPr>
    </w:p>
    <w:p w14:paraId="2F768081">
      <w:pPr>
        <w:pStyle w:val="5"/>
        <w:rPr>
          <w:rFonts w:hint="eastAsia" w:ascii="宋体" w:hAnsi="宋体" w:eastAsia="宋体" w:cs="宋体"/>
          <w:bCs/>
          <w:color w:val="auto"/>
          <w:highlight w:val="none"/>
        </w:rPr>
      </w:pPr>
    </w:p>
    <w:p w14:paraId="1762173E">
      <w:pPr>
        <w:pStyle w:val="5"/>
        <w:rPr>
          <w:rFonts w:hint="eastAsia" w:ascii="宋体" w:hAnsi="宋体" w:eastAsia="宋体" w:cs="宋体"/>
          <w:bCs/>
          <w:color w:val="auto"/>
          <w:highlight w:val="none"/>
        </w:rPr>
      </w:pPr>
    </w:p>
    <w:p w14:paraId="33A317C8">
      <w:pPr>
        <w:pStyle w:val="5"/>
        <w:rPr>
          <w:rFonts w:hint="eastAsia" w:ascii="宋体" w:hAnsi="宋体" w:eastAsia="宋体" w:cs="宋体"/>
          <w:bCs/>
          <w:color w:val="auto"/>
          <w:highlight w:val="none"/>
        </w:rPr>
      </w:pPr>
    </w:p>
    <w:p w14:paraId="6F90A966">
      <w:pPr>
        <w:rPr>
          <w:rFonts w:hint="eastAsia" w:ascii="宋体" w:hAnsi="宋体" w:eastAsia="宋体" w:cs="宋体"/>
          <w:bCs/>
          <w:color w:val="auto"/>
          <w:highlight w:val="none"/>
        </w:rPr>
      </w:pPr>
    </w:p>
    <w:p w14:paraId="24CCD8B9">
      <w:pPr>
        <w:spacing w:line="360" w:lineRule="auto"/>
        <w:ind w:firstLine="1680" w:firstLineChars="600"/>
        <w:jc w:val="both"/>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t>供应商名称：</w:t>
      </w:r>
      <w:r>
        <w:rPr>
          <w:rFonts w:hint="eastAsia" w:ascii="宋体" w:hAnsi="宋体" w:eastAsia="宋体" w:cs="宋体"/>
          <w:bCs/>
          <w:color w:val="auto"/>
          <w:sz w:val="28"/>
          <w:highlight w:val="none"/>
          <w:u w:val="single"/>
        </w:rPr>
        <w:t xml:space="preserve">                     </w:t>
      </w:r>
      <w:r>
        <w:rPr>
          <w:rFonts w:hint="eastAsia" w:ascii="宋体" w:hAnsi="宋体" w:eastAsia="宋体" w:cs="宋体"/>
          <w:bCs/>
          <w:color w:val="auto"/>
          <w:sz w:val="28"/>
          <w:szCs w:val="22"/>
          <w:highlight w:val="none"/>
        </w:rPr>
        <w:t>（盖章）</w:t>
      </w:r>
    </w:p>
    <w:p w14:paraId="21ABEDE1">
      <w:pPr>
        <w:spacing w:line="360" w:lineRule="auto"/>
        <w:ind w:firstLine="1260" w:firstLineChars="450"/>
        <w:rPr>
          <w:rFonts w:hint="eastAsia" w:ascii="宋体" w:hAnsi="宋体" w:eastAsia="宋体" w:cs="宋体"/>
          <w:bCs/>
          <w:color w:val="auto"/>
          <w:sz w:val="28"/>
          <w:szCs w:val="22"/>
          <w:highlight w:val="none"/>
        </w:rPr>
      </w:pPr>
    </w:p>
    <w:p w14:paraId="64C817FE">
      <w:pPr>
        <w:spacing w:line="360" w:lineRule="auto"/>
        <w:ind w:firstLine="1680" w:firstLineChars="600"/>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t>法定代表人或被授权人（签字或盖章）：</w:t>
      </w:r>
    </w:p>
    <w:p w14:paraId="1B6D02B0">
      <w:pPr>
        <w:spacing w:line="360" w:lineRule="auto"/>
        <w:jc w:val="center"/>
        <w:rPr>
          <w:rFonts w:hint="eastAsia" w:ascii="宋体" w:hAnsi="宋体" w:eastAsia="宋体" w:cs="宋体"/>
          <w:bCs/>
          <w:color w:val="auto"/>
          <w:sz w:val="28"/>
          <w:szCs w:val="22"/>
          <w:highlight w:val="none"/>
        </w:rPr>
      </w:pPr>
    </w:p>
    <w:p w14:paraId="32F1DE6B">
      <w:pPr>
        <w:spacing w:line="360" w:lineRule="auto"/>
        <w:ind w:firstLine="1680" w:firstLineChars="600"/>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t xml:space="preserve">日       期：     年   月   日 </w:t>
      </w:r>
    </w:p>
    <w:p w14:paraId="56256AC0">
      <w:pPr>
        <w:rPr>
          <w:rFonts w:hint="eastAsia" w:ascii="宋体" w:hAnsi="宋体" w:eastAsia="宋体" w:cs="宋体"/>
          <w:bCs/>
          <w:color w:val="auto"/>
          <w:sz w:val="24"/>
          <w:szCs w:val="24"/>
          <w:highlight w:val="none"/>
        </w:rPr>
        <w:sectPr>
          <w:footnotePr>
            <w:pos w:val="beneathText"/>
          </w:footnotePr>
          <w:type w:val="continuous"/>
          <w:pgSz w:w="11906" w:h="16838"/>
          <w:pgMar w:top="1440" w:right="1080" w:bottom="1440" w:left="1080" w:header="1091" w:footer="1134" w:gutter="0"/>
          <w:pgNumType w:fmt="decimal"/>
          <w:cols w:space="720" w:num="1"/>
          <w:titlePg/>
          <w:docGrid w:type="lines" w:linePitch="312" w:charSpace="0"/>
        </w:sectPr>
      </w:pPr>
      <w:bookmarkStart w:id="556" w:name="_Toc21305"/>
      <w:bookmarkStart w:id="557" w:name="_Toc357087380"/>
    </w:p>
    <w:p w14:paraId="63E9EDCE">
      <w:pPr>
        <w:tabs>
          <w:tab w:val="left" w:pos="3329"/>
        </w:tabs>
        <w:jc w:val="center"/>
        <w:rPr>
          <w:rFonts w:hint="eastAsia" w:ascii="宋体" w:hAnsi="宋体" w:eastAsia="宋体" w:cs="宋体"/>
          <w:bCs/>
          <w:color w:val="auto"/>
          <w:sz w:val="44"/>
          <w:highlight w:val="none"/>
        </w:rPr>
        <w:sectPr>
          <w:type w:val="continuous"/>
          <w:pgSz w:w="11906" w:h="16838"/>
          <w:pgMar w:top="1440" w:right="1080" w:bottom="1440" w:left="1080" w:header="720" w:footer="720" w:gutter="0"/>
          <w:pgNumType w:fmt="decimal"/>
          <w:cols w:space="720" w:num="1"/>
          <w:docGrid w:type="lines" w:linePitch="312" w:charSpace="0"/>
        </w:sectPr>
      </w:pPr>
      <w:bookmarkStart w:id="558" w:name="_Toc24244"/>
      <w:bookmarkStart w:id="559" w:name="_Toc22764"/>
      <w:bookmarkStart w:id="560" w:name="_Toc465958130"/>
      <w:bookmarkStart w:id="561" w:name="_Toc6250"/>
      <w:bookmarkStart w:id="562" w:name="_Toc30709"/>
      <w:bookmarkStart w:id="563" w:name="_Toc15746"/>
    </w:p>
    <w:bookmarkEnd w:id="556"/>
    <w:bookmarkEnd w:id="557"/>
    <w:bookmarkEnd w:id="558"/>
    <w:bookmarkEnd w:id="559"/>
    <w:bookmarkEnd w:id="560"/>
    <w:bookmarkEnd w:id="561"/>
    <w:bookmarkEnd w:id="562"/>
    <w:bookmarkEnd w:id="563"/>
    <w:p w14:paraId="5035CFB3">
      <w:pPr>
        <w:spacing w:line="360" w:lineRule="auto"/>
        <w:jc w:val="center"/>
        <w:outlineLvl w:val="0"/>
        <w:rPr>
          <w:rFonts w:hint="eastAsia" w:ascii="宋体" w:hAnsi="宋体" w:eastAsia="宋体" w:cs="宋体"/>
          <w:bCs/>
          <w:color w:val="auto"/>
          <w:sz w:val="44"/>
          <w:highlight w:val="none"/>
        </w:rPr>
      </w:pPr>
      <w:bookmarkStart w:id="564" w:name="_Toc1175"/>
      <w:bookmarkStart w:id="565" w:name="_Toc1535"/>
      <w:bookmarkStart w:id="566" w:name="_Toc31289"/>
      <w:bookmarkStart w:id="567" w:name="_Toc14495"/>
      <w:bookmarkStart w:id="568" w:name="_Toc8935"/>
      <w:bookmarkStart w:id="569" w:name="_Toc1595"/>
      <w:bookmarkStart w:id="570" w:name="_Toc15466"/>
      <w:bookmarkStart w:id="571" w:name="_Toc8917"/>
      <w:bookmarkStart w:id="572" w:name="_Toc13680"/>
      <w:bookmarkStart w:id="573" w:name="_Toc30563"/>
      <w:bookmarkStart w:id="574" w:name="_Toc465958141"/>
      <w:r>
        <w:rPr>
          <w:rFonts w:hint="eastAsia" w:ascii="宋体" w:hAnsi="宋体" w:eastAsia="宋体" w:cs="宋体"/>
          <w:bCs/>
          <w:color w:val="auto"/>
          <w:sz w:val="44"/>
          <w:highlight w:val="none"/>
        </w:rPr>
        <w:t>目  录</w:t>
      </w:r>
      <w:bookmarkEnd w:id="564"/>
      <w:bookmarkEnd w:id="565"/>
      <w:bookmarkEnd w:id="566"/>
      <w:bookmarkEnd w:id="567"/>
    </w:p>
    <w:p w14:paraId="7FADC4E6">
      <w:pPr>
        <w:spacing w:line="360" w:lineRule="auto"/>
        <w:jc w:val="center"/>
        <w:rPr>
          <w:rFonts w:hint="eastAsia" w:ascii="宋体" w:hAnsi="宋体" w:eastAsia="宋体" w:cs="宋体"/>
          <w:bCs/>
          <w:color w:val="auto"/>
          <w:sz w:val="32"/>
          <w:szCs w:val="22"/>
          <w:highlight w:val="none"/>
        </w:rPr>
      </w:pPr>
      <w:r>
        <w:rPr>
          <w:rFonts w:hint="eastAsia" w:ascii="宋体" w:hAnsi="宋体" w:eastAsia="宋体" w:cs="宋体"/>
          <w:bCs/>
          <w:color w:val="auto"/>
          <w:kern w:val="0"/>
          <w:sz w:val="24"/>
          <w:szCs w:val="24"/>
          <w:highlight w:val="none"/>
        </w:rPr>
        <w:t>(引用三级目录）</w:t>
      </w:r>
      <w:r>
        <w:rPr>
          <w:rFonts w:hint="eastAsia" w:ascii="宋体" w:hAnsi="宋体" w:eastAsia="宋体" w:cs="宋体"/>
          <w:bCs/>
          <w:color w:val="auto"/>
          <w:highlight w:val="none"/>
        </w:rPr>
        <w:br w:type="page"/>
      </w:r>
      <w:r>
        <w:rPr>
          <w:rFonts w:hint="eastAsia" w:ascii="宋体" w:hAnsi="宋体" w:eastAsia="宋体" w:cs="宋体"/>
          <w:b w:val="0"/>
          <w:bCs/>
          <w:color w:val="auto"/>
          <w:kern w:val="0"/>
          <w:sz w:val="32"/>
          <w:highlight w:val="none"/>
          <w:lang w:val="en-US" w:eastAsia="zh-CN" w:bidi="ar-SA"/>
        </w:rPr>
        <w:t>一、响应函</w:t>
      </w:r>
    </w:p>
    <w:p w14:paraId="6ED09784">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致：</w:t>
      </w:r>
      <w:r>
        <w:rPr>
          <w:rFonts w:hint="eastAsia" w:ascii="宋体" w:hAnsi="宋体" w:eastAsia="宋体" w:cs="宋体"/>
          <w:bCs/>
          <w:color w:val="auto"/>
          <w:sz w:val="24"/>
          <w:szCs w:val="24"/>
          <w:highlight w:val="none"/>
          <w:lang w:eastAsia="zh-CN"/>
        </w:rPr>
        <w:t>鹏泽项目管理有限公司</w:t>
      </w:r>
    </w:p>
    <w:p w14:paraId="173C95CC">
      <w:pPr>
        <w:spacing w:line="360" w:lineRule="auto"/>
        <w:ind w:firstLine="540" w:firstLineChars="2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根据已收到贵方的采购项目编号为（采购项目编号）的（采购项目名称）的竞争性谈判文件，签字代表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(全名、职务)经正式授权并代表 (供应商名称、地址、统一社会信用代码）提交包含下述内容的竞争性谈判响应文件。</w:t>
      </w:r>
    </w:p>
    <w:p w14:paraId="0A33A9A6">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(1) 响应函</w:t>
      </w:r>
    </w:p>
    <w:p w14:paraId="3873859E">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 报价一览表</w:t>
      </w:r>
    </w:p>
    <w:p w14:paraId="29204234">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 按供应商须知要求提供的全部文件和竞争性谈判文件要求的响应文件。</w:t>
      </w:r>
    </w:p>
    <w:p w14:paraId="559A19E7">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(4) 供应商资格证明文件。</w:t>
      </w:r>
    </w:p>
    <w:p w14:paraId="52AC1001">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据此函，签字代表宣布同意如下：</w:t>
      </w:r>
    </w:p>
    <w:p w14:paraId="173201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 所附报价一览表中的投标报价为：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元（即：大写金额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w:t>
      </w:r>
    </w:p>
    <w:p w14:paraId="7C7C7E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 供应商将按竞争性谈判文件的规定履行合同责任和义务；</w:t>
      </w:r>
    </w:p>
    <w:p w14:paraId="4FD200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 供应商已详细审查全部竞争性谈判文件，包括修改文件（如有的话）以及全部参考资料和有关附件。我们完全理解并同意放弃对这方面有不明及误解的权利；</w:t>
      </w:r>
    </w:p>
    <w:p w14:paraId="26226D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 </w:t>
      </w:r>
      <w:r>
        <w:rPr>
          <w:rFonts w:hint="eastAsia" w:ascii="宋体" w:hAnsi="宋体" w:eastAsia="宋体" w:cs="宋体"/>
          <w:bCs/>
          <w:color w:val="auto"/>
          <w:sz w:val="24"/>
          <w:highlight w:val="none"/>
        </w:rPr>
        <w:t>我方的竞争性谈判响应文件在开标之日起有效期为</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szCs w:val="24"/>
          <w:highlight w:val="none"/>
        </w:rPr>
        <w:t>日历天</w:t>
      </w:r>
      <w:r>
        <w:rPr>
          <w:rFonts w:hint="eastAsia" w:ascii="宋体" w:hAnsi="宋体" w:eastAsia="宋体" w:cs="宋体"/>
          <w:bCs/>
          <w:color w:val="auto"/>
          <w:sz w:val="24"/>
          <w:highlight w:val="none"/>
        </w:rPr>
        <w:t>，</w:t>
      </w:r>
      <w:r>
        <w:rPr>
          <w:rFonts w:hint="eastAsia" w:ascii="宋体" w:hAnsi="宋体" w:eastAsia="宋体" w:cs="宋体"/>
          <w:bCs/>
          <w:color w:val="auto"/>
          <w:sz w:val="24"/>
          <w:szCs w:val="24"/>
          <w:highlight w:val="none"/>
        </w:rPr>
        <w:t>如成交，延长至合同执行完毕时止；</w:t>
      </w:r>
    </w:p>
    <w:p w14:paraId="0B8BA3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 供应商同意提供按照贵方可能要求的与其报价有关的一切数据或资料；</w:t>
      </w:r>
    </w:p>
    <w:p w14:paraId="7EAA73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pacing w:val="4"/>
          <w:sz w:val="24"/>
          <w:highlight w:val="none"/>
        </w:rPr>
        <w:t>我们同意，如果成交，向代理机构交纳招标代理服务费</w:t>
      </w:r>
      <w:r>
        <w:rPr>
          <w:rFonts w:hint="eastAsia" w:ascii="宋体" w:hAnsi="宋体" w:eastAsia="宋体" w:cs="宋体"/>
          <w:bCs/>
          <w:color w:val="auto"/>
          <w:sz w:val="24"/>
          <w:szCs w:val="24"/>
          <w:highlight w:val="none"/>
        </w:rPr>
        <w:t>。</w:t>
      </w:r>
    </w:p>
    <w:p w14:paraId="663CEE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 与本谈判有关的一切正式往来通讯请寄：</w:t>
      </w:r>
    </w:p>
    <w:p w14:paraId="1D6116B1">
      <w:pPr>
        <w:spacing w:line="360" w:lineRule="auto"/>
        <w:ind w:firstLine="360" w:firstLineChars="15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地址：</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邮编：</w:t>
      </w:r>
      <w:r>
        <w:rPr>
          <w:rFonts w:hint="eastAsia" w:ascii="宋体" w:hAnsi="宋体" w:eastAsia="宋体" w:cs="宋体"/>
          <w:bCs/>
          <w:color w:val="auto"/>
          <w:sz w:val="24"/>
          <w:szCs w:val="24"/>
          <w:highlight w:val="none"/>
          <w:u w:val="single"/>
        </w:rPr>
        <w:t xml:space="preserve">                    </w:t>
      </w:r>
    </w:p>
    <w:p w14:paraId="141FF5C9">
      <w:pPr>
        <w:spacing w:line="360" w:lineRule="auto"/>
        <w:ind w:firstLine="360" w:firstLineChars="15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传真：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703493D8">
      <w:pPr>
        <w:spacing w:line="360" w:lineRule="auto"/>
        <w:ind w:firstLine="360" w:firstLineChars="15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供应商代表姓名、职务：</w:t>
      </w:r>
      <w:r>
        <w:rPr>
          <w:rFonts w:hint="eastAsia" w:ascii="宋体" w:hAnsi="宋体" w:eastAsia="宋体" w:cs="宋体"/>
          <w:bCs/>
          <w:color w:val="auto"/>
          <w:sz w:val="24"/>
          <w:szCs w:val="24"/>
          <w:highlight w:val="none"/>
          <w:u w:val="single"/>
        </w:rPr>
        <w:t xml:space="preserve">                                   </w:t>
      </w:r>
    </w:p>
    <w:p w14:paraId="4799903B">
      <w:pPr>
        <w:spacing w:line="360" w:lineRule="auto"/>
        <w:ind w:firstLine="360" w:firstLineChars="15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供应商名称：</w:t>
      </w:r>
      <w:r>
        <w:rPr>
          <w:rFonts w:hint="eastAsia" w:ascii="宋体" w:hAnsi="宋体" w:eastAsia="宋体" w:cs="宋体"/>
          <w:bCs/>
          <w:color w:val="auto"/>
          <w:sz w:val="24"/>
          <w:szCs w:val="24"/>
          <w:highlight w:val="none"/>
          <w:u w:val="single"/>
        </w:rPr>
        <w:t xml:space="preserve">                    （公章）</w:t>
      </w:r>
    </w:p>
    <w:p w14:paraId="57EFD519">
      <w:pPr>
        <w:spacing w:line="360" w:lineRule="auto"/>
        <w:ind w:firstLine="360" w:firstLineChars="15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法定代表人（负责人）或被授权代表签字或盖章：</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41E44669">
      <w:pPr>
        <w:spacing w:line="360" w:lineRule="auto"/>
        <w:ind w:firstLine="360" w:firstLineChars="15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w:t>
      </w:r>
    </w:p>
    <w:p w14:paraId="7AC5A609">
      <w:pPr>
        <w:pStyle w:val="3"/>
        <w:jc w:val="center"/>
        <w:rPr>
          <w:rFonts w:hint="eastAsia" w:ascii="宋体" w:hAnsi="宋体" w:eastAsia="宋体" w:cs="宋体"/>
          <w:b w:val="0"/>
          <w:bCs/>
          <w:color w:val="auto"/>
          <w:highlight w:val="none"/>
        </w:rPr>
        <w:sectPr>
          <w:pgSz w:w="11906" w:h="16838"/>
          <w:pgMar w:top="1440" w:right="1080" w:bottom="1440" w:left="1080" w:header="720" w:footer="720" w:gutter="0"/>
          <w:pgNumType w:fmt="decimal"/>
          <w:cols w:space="720" w:num="1"/>
          <w:docGrid w:type="lines" w:linePitch="312" w:charSpace="0"/>
        </w:sectPr>
      </w:pPr>
      <w:bookmarkStart w:id="575" w:name="_Toc18055"/>
      <w:bookmarkStart w:id="576" w:name="_Toc5990"/>
    </w:p>
    <w:p w14:paraId="23A85019">
      <w:pPr>
        <w:pStyle w:val="3"/>
        <w:jc w:val="center"/>
        <w:rPr>
          <w:rFonts w:hint="eastAsia" w:ascii="宋体" w:hAnsi="宋体" w:eastAsia="宋体" w:cs="宋体"/>
          <w:b w:val="0"/>
          <w:bCs/>
          <w:color w:val="auto"/>
          <w:highlight w:val="none"/>
        </w:rPr>
      </w:pPr>
      <w:bookmarkStart w:id="577" w:name="_Toc4668"/>
      <w:bookmarkStart w:id="578" w:name="_Toc19472"/>
      <w:bookmarkStart w:id="579" w:name="_Toc8874"/>
      <w:r>
        <w:rPr>
          <w:rFonts w:hint="eastAsia" w:ascii="宋体" w:hAnsi="宋体" w:eastAsia="宋体" w:cs="宋体"/>
          <w:b w:val="0"/>
          <w:bCs/>
          <w:color w:val="auto"/>
          <w:highlight w:val="none"/>
        </w:rPr>
        <w:t>二、</w:t>
      </w:r>
      <w:r>
        <w:rPr>
          <w:rFonts w:hint="eastAsia" w:ascii="宋体" w:hAnsi="宋体" w:eastAsia="宋体" w:cs="宋体"/>
          <w:b w:val="0"/>
          <w:bCs/>
          <w:color w:val="auto"/>
          <w:highlight w:val="none"/>
          <w:lang w:val="en-US" w:eastAsia="zh-CN"/>
        </w:rPr>
        <w:t>第一次</w:t>
      </w:r>
      <w:r>
        <w:rPr>
          <w:rFonts w:hint="eastAsia" w:ascii="宋体" w:hAnsi="宋体" w:eastAsia="宋体" w:cs="宋体"/>
          <w:b w:val="0"/>
          <w:bCs/>
          <w:color w:val="auto"/>
          <w:highlight w:val="none"/>
          <w:lang w:eastAsia="zh-CN"/>
        </w:rPr>
        <w:t>谈判</w:t>
      </w:r>
      <w:r>
        <w:rPr>
          <w:rFonts w:hint="eastAsia" w:ascii="宋体" w:hAnsi="宋体" w:eastAsia="宋体" w:cs="宋体"/>
          <w:b w:val="0"/>
          <w:bCs/>
          <w:color w:val="auto"/>
          <w:highlight w:val="none"/>
        </w:rPr>
        <w:t>报价表</w:t>
      </w:r>
      <w:bookmarkEnd w:id="575"/>
      <w:bookmarkEnd w:id="576"/>
      <w:bookmarkEnd w:id="577"/>
      <w:bookmarkEnd w:id="578"/>
      <w:bookmarkEnd w:id="579"/>
    </w:p>
    <w:p w14:paraId="08556DD7">
      <w:pPr>
        <w:jc w:val="center"/>
        <w:outlineLvl w:val="1"/>
        <w:rPr>
          <w:rFonts w:hint="eastAsia" w:ascii="宋体" w:hAnsi="宋体" w:eastAsia="宋体" w:cs="宋体"/>
          <w:bCs/>
          <w:color w:val="auto"/>
          <w:sz w:val="28"/>
          <w:szCs w:val="28"/>
          <w:highlight w:val="none"/>
        </w:rPr>
      </w:pPr>
      <w:bookmarkStart w:id="580" w:name="_Toc16594"/>
      <w:bookmarkStart w:id="581" w:name="_Toc18506"/>
      <w:bookmarkStart w:id="582" w:name="_Toc27321"/>
      <w:bookmarkStart w:id="583" w:name="_Toc14011"/>
      <w:r>
        <w:rPr>
          <w:rFonts w:hint="eastAsia" w:ascii="宋体" w:hAnsi="宋体" w:eastAsia="宋体" w:cs="宋体"/>
          <w:bCs/>
          <w:color w:val="auto"/>
          <w:sz w:val="28"/>
          <w:szCs w:val="28"/>
          <w:highlight w:val="none"/>
        </w:rPr>
        <w:t>2.1报价一览表</w:t>
      </w:r>
      <w:bookmarkEnd w:id="580"/>
      <w:bookmarkEnd w:id="581"/>
      <w:bookmarkEnd w:id="582"/>
      <w:bookmarkEnd w:id="583"/>
    </w:p>
    <w:p w14:paraId="7552C70D">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项目编号：</w:t>
      </w:r>
    </w:p>
    <w:p w14:paraId="291A6D79">
      <w:pPr>
        <w:pStyle w:val="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项目名称：</w:t>
      </w:r>
    </w:p>
    <w:tbl>
      <w:tblPr>
        <w:tblStyle w:val="24"/>
        <w:tblW w:w="9439" w:type="dxa"/>
        <w:tblInd w:w="0" w:type="dxa"/>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064"/>
        <w:gridCol w:w="7375"/>
      </w:tblGrid>
      <w:tr w14:paraId="3E7DAD9F">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213" w:hRule="atLeast"/>
        </w:trPr>
        <w:tc>
          <w:tcPr>
            <w:tcW w:w="2064" w:type="dxa"/>
            <w:tcBorders>
              <w:bottom w:val="single" w:color="auto" w:sz="4" w:space="0"/>
            </w:tcBorders>
            <w:noWrap w:val="0"/>
            <w:vAlign w:val="center"/>
          </w:tcPr>
          <w:p w14:paraId="53AB5906">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标题</w:t>
            </w:r>
          </w:p>
        </w:tc>
        <w:tc>
          <w:tcPr>
            <w:tcW w:w="7375" w:type="dxa"/>
            <w:noWrap w:val="0"/>
            <w:vAlign w:val="center"/>
          </w:tcPr>
          <w:p w14:paraId="4AA81819">
            <w:pPr>
              <w:pStyle w:val="2"/>
              <w:spacing w:line="360" w:lineRule="auto"/>
              <w:jc w:val="center"/>
              <w:rPr>
                <w:rFonts w:hint="eastAsia" w:ascii="宋体" w:hAnsi="宋体" w:eastAsia="宋体" w:cs="宋体"/>
                <w:b w:val="0"/>
                <w:bCs/>
                <w:color w:val="auto"/>
                <w:kern w:val="2"/>
                <w:sz w:val="24"/>
                <w:highlight w:val="none"/>
                <w:lang w:val="en-US" w:eastAsia="zh-CN"/>
              </w:rPr>
            </w:pPr>
            <w:bookmarkStart w:id="584" w:name="_Toc9263"/>
            <w:bookmarkStart w:id="585" w:name="_Toc20415"/>
            <w:bookmarkStart w:id="586" w:name="_Toc11144"/>
            <w:bookmarkStart w:id="587" w:name="_Toc16912"/>
            <w:r>
              <w:rPr>
                <w:rFonts w:hint="eastAsia" w:ascii="宋体" w:hAnsi="宋体" w:eastAsia="宋体" w:cs="宋体"/>
                <w:b w:val="0"/>
                <w:bCs/>
                <w:color w:val="auto"/>
                <w:kern w:val="2"/>
                <w:sz w:val="24"/>
                <w:highlight w:val="none"/>
                <w:lang w:val="en-US" w:eastAsia="zh-CN"/>
              </w:rPr>
              <w:t>内容</w:t>
            </w:r>
            <w:bookmarkEnd w:id="584"/>
            <w:bookmarkEnd w:id="585"/>
            <w:bookmarkEnd w:id="586"/>
            <w:bookmarkEnd w:id="587"/>
          </w:p>
        </w:tc>
      </w:tr>
      <w:tr w14:paraId="602BE733">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91" w:hRule="atLeast"/>
        </w:trPr>
        <w:tc>
          <w:tcPr>
            <w:tcW w:w="2064" w:type="dxa"/>
            <w:tcBorders>
              <w:bottom w:val="single" w:color="auto" w:sz="4" w:space="0"/>
            </w:tcBorders>
            <w:noWrap w:val="0"/>
            <w:vAlign w:val="center"/>
          </w:tcPr>
          <w:p w14:paraId="053A85E8">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谈判报价（合计）</w:t>
            </w:r>
          </w:p>
        </w:tc>
        <w:tc>
          <w:tcPr>
            <w:tcW w:w="7375" w:type="dxa"/>
            <w:tcBorders>
              <w:bottom w:val="single" w:color="auto" w:sz="4" w:space="0"/>
            </w:tcBorders>
            <w:noWrap w:val="0"/>
            <w:vAlign w:val="center"/>
          </w:tcPr>
          <w:p w14:paraId="105ECBF8">
            <w:pPr>
              <w:spacing w:line="360" w:lineRule="auto"/>
              <w:jc w:val="center"/>
              <w:rPr>
                <w:rFonts w:hint="eastAsia" w:ascii="宋体" w:hAnsi="宋体" w:eastAsia="宋体" w:cs="宋体"/>
                <w:bCs/>
                <w:color w:val="auto"/>
                <w:sz w:val="24"/>
                <w:highlight w:val="none"/>
              </w:rPr>
            </w:pPr>
          </w:p>
        </w:tc>
      </w:tr>
      <w:tr w14:paraId="77A7CEC6">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74" w:hRule="atLeast"/>
        </w:trPr>
        <w:tc>
          <w:tcPr>
            <w:tcW w:w="2064" w:type="dxa"/>
            <w:noWrap w:val="0"/>
            <w:vAlign w:val="center"/>
          </w:tcPr>
          <w:p w14:paraId="33E7314E">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供应商</w:t>
            </w:r>
          </w:p>
          <w:p w14:paraId="22028756">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（公司名称）</w:t>
            </w:r>
          </w:p>
        </w:tc>
        <w:tc>
          <w:tcPr>
            <w:tcW w:w="7375" w:type="dxa"/>
            <w:noWrap w:val="0"/>
            <w:vAlign w:val="top"/>
          </w:tcPr>
          <w:p w14:paraId="7540F510">
            <w:pPr>
              <w:spacing w:line="360" w:lineRule="auto"/>
              <w:rPr>
                <w:rFonts w:hint="eastAsia" w:ascii="宋体" w:hAnsi="宋体" w:eastAsia="宋体" w:cs="宋体"/>
                <w:bCs/>
                <w:color w:val="auto"/>
                <w:sz w:val="24"/>
                <w:highlight w:val="none"/>
              </w:rPr>
            </w:pPr>
          </w:p>
        </w:tc>
      </w:tr>
      <w:tr w14:paraId="2850AC8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313" w:hRule="atLeast"/>
        </w:trPr>
        <w:tc>
          <w:tcPr>
            <w:tcW w:w="2064" w:type="dxa"/>
            <w:noWrap w:val="0"/>
            <w:vAlign w:val="center"/>
          </w:tcPr>
          <w:p w14:paraId="613BC6F7">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服务期</w:t>
            </w:r>
          </w:p>
        </w:tc>
        <w:tc>
          <w:tcPr>
            <w:tcW w:w="7375" w:type="dxa"/>
            <w:noWrap w:val="0"/>
            <w:vAlign w:val="top"/>
          </w:tcPr>
          <w:p w14:paraId="708AAAD9">
            <w:pPr>
              <w:spacing w:line="360" w:lineRule="auto"/>
              <w:rPr>
                <w:rFonts w:hint="eastAsia" w:ascii="宋体" w:hAnsi="宋体" w:eastAsia="宋体" w:cs="宋体"/>
                <w:bCs/>
                <w:color w:val="auto"/>
                <w:sz w:val="24"/>
                <w:highlight w:val="none"/>
              </w:rPr>
            </w:pPr>
          </w:p>
        </w:tc>
      </w:tr>
      <w:tr w14:paraId="43D2E92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262" w:hRule="atLeast"/>
        </w:trPr>
        <w:tc>
          <w:tcPr>
            <w:tcW w:w="2064" w:type="dxa"/>
            <w:noWrap w:val="0"/>
            <w:vAlign w:val="center"/>
          </w:tcPr>
          <w:p w14:paraId="414A387D">
            <w:pPr>
              <w:spacing w:line="360" w:lineRule="auto"/>
              <w:jc w:val="cente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服务质量</w:t>
            </w:r>
          </w:p>
        </w:tc>
        <w:tc>
          <w:tcPr>
            <w:tcW w:w="7375" w:type="dxa"/>
            <w:noWrap w:val="0"/>
            <w:vAlign w:val="top"/>
          </w:tcPr>
          <w:p w14:paraId="79C2F04F">
            <w:pPr>
              <w:spacing w:line="360" w:lineRule="auto"/>
              <w:rPr>
                <w:rFonts w:hint="eastAsia" w:ascii="宋体" w:hAnsi="宋体" w:eastAsia="宋体" w:cs="宋体"/>
                <w:bCs/>
                <w:color w:val="auto"/>
                <w:sz w:val="24"/>
                <w:highlight w:val="none"/>
              </w:rPr>
            </w:pPr>
          </w:p>
        </w:tc>
      </w:tr>
      <w:tr w14:paraId="6B0FD9DF">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429" w:hRule="atLeast"/>
        </w:trPr>
        <w:tc>
          <w:tcPr>
            <w:tcW w:w="9439" w:type="dxa"/>
            <w:gridSpan w:val="2"/>
            <w:noWrap w:val="0"/>
            <w:vAlign w:val="center"/>
          </w:tcPr>
          <w:p w14:paraId="33F6E60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备注：</w:t>
            </w:r>
            <w:r>
              <w:rPr>
                <w:rFonts w:hint="eastAsia" w:ascii="宋体" w:hAnsi="宋体" w:eastAsia="宋体" w:cs="宋体"/>
                <w:color w:val="auto"/>
                <w:highlight w:val="none"/>
                <w:lang w:val="en-US" w:eastAsia="zh-CN"/>
              </w:rPr>
              <w:t>1、谈判报价是供应商响应本项目要求的全部工作内容的价格体现，包括完成采购内容所需的直接费、间接费、利润、税金及其它相关的一切费用。供应商在报价时应充分考虑所有可能发生的费用，竞争性谈判文件未列明，而供应商认为应当计取的费用均应列入报价中。报价时不论是否计取，采购人均按已计取对待。</w:t>
            </w:r>
          </w:p>
          <w:p w14:paraId="7AF1EE4F">
            <w:pPr>
              <w:spacing w:line="360" w:lineRule="auto"/>
              <w:rPr>
                <w:rFonts w:hint="eastAsia" w:ascii="宋体" w:hAnsi="宋体" w:eastAsia="宋体" w:cs="宋体"/>
                <w:bCs/>
                <w:color w:val="auto"/>
                <w:sz w:val="24"/>
                <w:highlight w:val="none"/>
              </w:rPr>
            </w:pPr>
            <w:r>
              <w:rPr>
                <w:rFonts w:hint="eastAsia" w:ascii="宋体" w:hAnsi="宋体" w:eastAsia="宋体" w:cs="宋体"/>
                <w:color w:val="auto"/>
                <w:highlight w:val="none"/>
              </w:rPr>
              <w:t>2、 以上费用均为含税价格。</w:t>
            </w:r>
          </w:p>
        </w:tc>
      </w:tr>
    </w:tbl>
    <w:p w14:paraId="2EF5119F">
      <w:pPr>
        <w:spacing w:line="360" w:lineRule="auto"/>
        <w:rPr>
          <w:rFonts w:hint="eastAsia" w:ascii="宋体" w:hAnsi="宋体" w:eastAsia="宋体" w:cs="宋体"/>
          <w:bCs/>
          <w:color w:val="auto"/>
          <w:sz w:val="24"/>
          <w:szCs w:val="24"/>
          <w:highlight w:val="none"/>
        </w:rPr>
      </w:pPr>
    </w:p>
    <w:p w14:paraId="409906EE">
      <w:pPr>
        <w:spacing w:line="360" w:lineRule="auto"/>
        <w:ind w:right="-161"/>
        <w:rPr>
          <w:rFonts w:hint="eastAsia" w:ascii="宋体" w:hAnsi="宋体" w:eastAsia="宋体" w:cs="宋体"/>
          <w:bCs/>
          <w:color w:val="auto"/>
          <w:sz w:val="24"/>
          <w:szCs w:val="24"/>
          <w:highlight w:val="none"/>
        </w:rPr>
      </w:pPr>
    </w:p>
    <w:p w14:paraId="6DAD49DC">
      <w:pPr>
        <w:ind w:right="-161" w:firstLine="2640" w:firstLineChars="110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法定代表人或被授权代表（签字或盖章）：</w:t>
      </w:r>
      <w:r>
        <w:rPr>
          <w:rFonts w:hint="eastAsia" w:ascii="宋体" w:hAnsi="宋体" w:eastAsia="宋体" w:cs="宋体"/>
          <w:bCs/>
          <w:color w:val="auto"/>
          <w:sz w:val="24"/>
          <w:szCs w:val="24"/>
          <w:highlight w:val="none"/>
          <w:u w:val="single"/>
        </w:rPr>
        <w:t xml:space="preserve">                           </w:t>
      </w:r>
    </w:p>
    <w:p w14:paraId="40F1F6A7">
      <w:pPr>
        <w:ind w:right="-161" w:firstLine="2640" w:firstLineChars="1100"/>
        <w:rPr>
          <w:rFonts w:hint="eastAsia" w:ascii="宋体" w:hAnsi="宋体" w:eastAsia="宋体" w:cs="宋体"/>
          <w:bCs/>
          <w:color w:val="auto"/>
          <w:sz w:val="24"/>
          <w:szCs w:val="24"/>
          <w:highlight w:val="none"/>
          <w:u w:val="single"/>
        </w:rPr>
      </w:pPr>
    </w:p>
    <w:p w14:paraId="2C0830F6">
      <w:pPr>
        <w:ind w:right="-161" w:firstLine="2640" w:firstLineChars="110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供    应    商  （公  章）：</w:t>
      </w:r>
      <w:r>
        <w:rPr>
          <w:rFonts w:hint="eastAsia" w:ascii="宋体" w:hAnsi="宋体" w:eastAsia="宋体" w:cs="宋体"/>
          <w:bCs/>
          <w:color w:val="auto"/>
          <w:sz w:val="24"/>
          <w:szCs w:val="24"/>
          <w:highlight w:val="none"/>
          <w:u w:val="single"/>
        </w:rPr>
        <w:t xml:space="preserve">                           </w:t>
      </w:r>
    </w:p>
    <w:p w14:paraId="57B7C8CB">
      <w:pPr>
        <w:ind w:right="-161" w:firstLine="2640" w:firstLineChars="1100"/>
        <w:rPr>
          <w:rFonts w:hint="eastAsia" w:ascii="宋体" w:hAnsi="宋体" w:eastAsia="宋体" w:cs="宋体"/>
          <w:bCs/>
          <w:color w:val="auto"/>
          <w:sz w:val="24"/>
          <w:szCs w:val="24"/>
          <w:highlight w:val="none"/>
          <w:u w:val="single"/>
        </w:rPr>
      </w:pPr>
    </w:p>
    <w:p w14:paraId="602EEE0B">
      <w:pPr>
        <w:ind w:right="-161" w:firstLine="2640" w:firstLineChars="11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 ：</w:t>
      </w:r>
      <w:r>
        <w:rPr>
          <w:rFonts w:hint="eastAsia" w:ascii="宋体" w:hAnsi="宋体" w:eastAsia="宋体" w:cs="宋体"/>
          <w:bCs/>
          <w:color w:val="auto"/>
          <w:sz w:val="24"/>
          <w:szCs w:val="24"/>
          <w:highlight w:val="none"/>
          <w:u w:val="single"/>
        </w:rPr>
        <w:t xml:space="preserve">                           </w:t>
      </w:r>
    </w:p>
    <w:p w14:paraId="2F73FA2D">
      <w:pPr>
        <w:spacing w:line="480" w:lineRule="auto"/>
        <w:ind w:right="-161"/>
        <w:jc w:val="center"/>
        <w:rPr>
          <w:rFonts w:hint="eastAsia" w:ascii="宋体" w:hAnsi="宋体" w:eastAsia="宋体" w:cs="宋体"/>
          <w:bCs/>
          <w:color w:val="auto"/>
          <w:sz w:val="36"/>
          <w:szCs w:val="16"/>
          <w:highlight w:val="none"/>
        </w:rPr>
        <w:sectPr>
          <w:pgSz w:w="11906" w:h="16838"/>
          <w:pgMar w:top="1440" w:right="1080" w:bottom="1440" w:left="1080" w:header="720" w:footer="720" w:gutter="0"/>
          <w:pgNumType w:fmt="decimal"/>
          <w:cols w:space="720" w:num="1"/>
          <w:docGrid w:type="lines" w:linePitch="312" w:charSpace="0"/>
        </w:sectPr>
      </w:pPr>
    </w:p>
    <w:p w14:paraId="781E0A0E">
      <w:pPr>
        <w:jc w:val="center"/>
        <w:outlineLvl w:val="1"/>
        <w:rPr>
          <w:rFonts w:hint="eastAsia" w:ascii="宋体" w:hAnsi="宋体" w:eastAsia="宋体" w:cs="宋体"/>
          <w:bCs/>
          <w:color w:val="auto"/>
          <w:sz w:val="28"/>
          <w:szCs w:val="28"/>
          <w:highlight w:val="none"/>
        </w:rPr>
      </w:pPr>
      <w:bookmarkStart w:id="588" w:name="_Toc6511"/>
      <w:bookmarkStart w:id="589" w:name="_Toc4303"/>
      <w:bookmarkStart w:id="590" w:name="_Toc11374"/>
      <w:bookmarkStart w:id="591" w:name="_Toc30169"/>
      <w:r>
        <w:rPr>
          <w:rFonts w:hint="eastAsia" w:ascii="宋体" w:hAnsi="宋体" w:eastAsia="宋体" w:cs="宋体"/>
          <w:bCs/>
          <w:color w:val="auto"/>
          <w:sz w:val="28"/>
          <w:szCs w:val="28"/>
          <w:highlight w:val="none"/>
        </w:rPr>
        <w:t>2.2分项报价表</w:t>
      </w:r>
      <w:bookmarkEnd w:id="588"/>
      <w:bookmarkEnd w:id="589"/>
      <w:bookmarkEnd w:id="590"/>
      <w:bookmarkEnd w:id="591"/>
    </w:p>
    <w:p w14:paraId="3DB00E8C">
      <w:pPr>
        <w:spacing w:line="480" w:lineRule="auto"/>
        <w:ind w:right="-161"/>
        <w:jc w:val="center"/>
        <w:rPr>
          <w:rFonts w:hint="eastAsia" w:ascii="宋体" w:hAnsi="宋体" w:eastAsia="宋体" w:cs="宋体"/>
          <w:bCs/>
          <w:color w:val="auto"/>
          <w:sz w:val="36"/>
          <w:szCs w:val="16"/>
          <w:highlight w:val="none"/>
        </w:rPr>
        <w:sectPr>
          <w:pgSz w:w="11906" w:h="16838"/>
          <w:pgMar w:top="1440" w:right="1080" w:bottom="1440" w:left="1080" w:header="720" w:footer="1134" w:gutter="0"/>
          <w:pgNumType w:fmt="decimal"/>
          <w:cols w:space="720" w:num="1"/>
          <w:docGrid w:type="lines" w:linePitch="312" w:charSpace="0"/>
        </w:sectPr>
      </w:pPr>
      <w:bookmarkStart w:id="592" w:name="_Toc7664"/>
      <w:r>
        <w:rPr>
          <w:rFonts w:hint="eastAsia" w:ascii="宋体" w:hAnsi="宋体" w:eastAsia="宋体" w:cs="宋体"/>
          <w:bCs/>
          <w:color w:val="auto"/>
          <w:sz w:val="36"/>
          <w:szCs w:val="16"/>
          <w:highlight w:val="none"/>
        </w:rPr>
        <w:t>自拟</w:t>
      </w:r>
      <w:bookmarkEnd w:id="592"/>
    </w:p>
    <w:p w14:paraId="65181F04">
      <w:pPr>
        <w:spacing w:line="360" w:lineRule="auto"/>
        <w:jc w:val="center"/>
        <w:rPr>
          <w:rFonts w:hint="eastAsia" w:ascii="宋体" w:hAnsi="宋体" w:eastAsia="宋体" w:cs="宋体"/>
          <w:b w:val="0"/>
          <w:bCs/>
          <w:color w:val="auto"/>
          <w:kern w:val="0"/>
          <w:sz w:val="32"/>
          <w:highlight w:val="none"/>
          <w:lang w:val="en-US" w:eastAsia="zh-CN" w:bidi="ar-SA"/>
        </w:rPr>
      </w:pPr>
      <w:bookmarkStart w:id="593" w:name="_Toc26985"/>
      <w:bookmarkStart w:id="594" w:name="_Toc28411"/>
      <w:bookmarkStart w:id="595" w:name="_Toc31552"/>
      <w:bookmarkStart w:id="596" w:name="_Toc17920"/>
      <w:bookmarkStart w:id="597" w:name="_Toc14662"/>
      <w:r>
        <w:rPr>
          <w:rFonts w:hint="eastAsia" w:ascii="宋体" w:hAnsi="宋体" w:eastAsia="宋体" w:cs="宋体"/>
          <w:b w:val="0"/>
          <w:bCs/>
          <w:color w:val="auto"/>
          <w:kern w:val="0"/>
          <w:sz w:val="32"/>
          <w:highlight w:val="none"/>
          <w:lang w:val="en-US" w:eastAsia="zh-CN" w:bidi="ar-SA"/>
        </w:rPr>
        <w:t>三、资格证明文件</w:t>
      </w:r>
      <w:bookmarkEnd w:id="593"/>
      <w:bookmarkEnd w:id="594"/>
      <w:bookmarkEnd w:id="595"/>
      <w:bookmarkEnd w:id="596"/>
      <w:bookmarkEnd w:id="597"/>
    </w:p>
    <w:p w14:paraId="6A8BD194">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竞争性谈判响应文件中附以下资质证明文件加盖公章。</w:t>
      </w:r>
    </w:p>
    <w:p w14:paraId="01EF61B3">
      <w:pPr>
        <w:rPr>
          <w:rFonts w:hint="eastAsia" w:ascii="宋体" w:hAnsi="宋体" w:eastAsia="宋体" w:cs="宋体"/>
          <w:bCs/>
          <w:color w:val="auto"/>
          <w:highlight w:val="none"/>
        </w:rPr>
      </w:pPr>
    </w:p>
    <w:p w14:paraId="1D65467E">
      <w:pPr>
        <w:spacing w:line="360" w:lineRule="auto"/>
        <w:ind w:firstLine="720" w:firstLineChars="3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1、供应商为本项目提供的资格证明要求见供应商须知前附表；</w:t>
      </w:r>
    </w:p>
    <w:p w14:paraId="7373474E">
      <w:pPr>
        <w:spacing w:line="360" w:lineRule="auto"/>
        <w:ind w:firstLine="720" w:firstLineChars="3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2、供应商按照竞争性谈判文件要求提供本项目所需要的其他资质证明材料。</w:t>
      </w:r>
    </w:p>
    <w:p w14:paraId="11E9029C">
      <w:pPr>
        <w:spacing w:line="360" w:lineRule="auto"/>
        <w:ind w:firstLine="720" w:firstLineChars="300"/>
        <w:rPr>
          <w:rFonts w:hint="eastAsia" w:ascii="宋体" w:hAnsi="宋体" w:eastAsia="宋体" w:cs="宋体"/>
          <w:bCs/>
          <w:color w:val="auto"/>
          <w:highlight w:val="none"/>
        </w:rPr>
      </w:pPr>
      <w:r>
        <w:rPr>
          <w:rFonts w:hint="eastAsia" w:ascii="宋体" w:hAnsi="宋体" w:eastAsia="宋体" w:cs="宋体"/>
          <w:bCs/>
          <w:color w:val="auto"/>
          <w:kern w:val="0"/>
          <w:sz w:val="24"/>
          <w:szCs w:val="24"/>
          <w:highlight w:val="none"/>
        </w:rPr>
        <w:t>3、其他可以证明供应商实力的文件。</w:t>
      </w:r>
    </w:p>
    <w:p w14:paraId="20B7CA41">
      <w:pPr>
        <w:pStyle w:val="2"/>
        <w:spacing w:line="360" w:lineRule="exact"/>
        <w:jc w:val="center"/>
        <w:rPr>
          <w:rFonts w:hint="eastAsia" w:ascii="宋体" w:hAnsi="宋体" w:eastAsia="宋体" w:cs="宋体"/>
          <w:b w:val="0"/>
          <w:bCs/>
          <w:color w:val="auto"/>
          <w:sz w:val="32"/>
          <w:szCs w:val="15"/>
          <w:highlight w:val="none"/>
        </w:rPr>
        <w:sectPr>
          <w:pgSz w:w="11906" w:h="16838"/>
          <w:pgMar w:top="1440" w:right="1080" w:bottom="1440" w:left="1080" w:header="1134" w:footer="1191" w:gutter="0"/>
          <w:pgNumType w:fmt="decimal"/>
          <w:cols w:space="720" w:num="1"/>
          <w:docGrid w:type="lines" w:linePitch="312" w:charSpace="0"/>
        </w:sectPr>
      </w:pPr>
    </w:p>
    <w:p w14:paraId="0B0A0382">
      <w:pPr>
        <w:pStyle w:val="2"/>
        <w:spacing w:line="360" w:lineRule="exact"/>
        <w:jc w:val="left"/>
        <w:rPr>
          <w:rFonts w:hint="eastAsia" w:ascii="宋体" w:hAnsi="宋体" w:eastAsia="宋体" w:cs="宋体"/>
          <w:b w:val="0"/>
          <w:bCs/>
          <w:color w:val="auto"/>
          <w:sz w:val="32"/>
          <w:szCs w:val="32"/>
          <w:highlight w:val="none"/>
          <w:shd w:val="clear" w:color="auto" w:fill="FFFFFF"/>
          <w:lang w:val="en-US" w:eastAsia="zh-CN"/>
        </w:rPr>
      </w:pPr>
      <w:bookmarkStart w:id="598" w:name="_Toc7120"/>
      <w:bookmarkStart w:id="599" w:name="_Toc16349"/>
      <w:bookmarkStart w:id="600" w:name="_Toc3332"/>
      <w:bookmarkStart w:id="601" w:name="_Toc20898"/>
      <w:bookmarkStart w:id="602" w:name="_Toc317"/>
      <w:r>
        <w:rPr>
          <w:rFonts w:hint="eastAsia" w:ascii="宋体" w:hAnsi="宋体" w:eastAsia="宋体" w:cs="宋体"/>
          <w:b w:val="0"/>
          <w:bCs/>
          <w:color w:val="auto"/>
          <w:sz w:val="32"/>
          <w:szCs w:val="32"/>
          <w:highlight w:val="none"/>
          <w:shd w:val="clear" w:color="auto" w:fill="FFFFFF"/>
          <w:lang w:eastAsia="zh-CN"/>
        </w:rPr>
        <w:t>附件：</w:t>
      </w:r>
      <w:r>
        <w:rPr>
          <w:rFonts w:hint="eastAsia" w:ascii="宋体" w:hAnsi="宋体" w:eastAsia="宋体" w:cs="宋体"/>
          <w:b w:val="0"/>
          <w:bCs/>
          <w:color w:val="auto"/>
          <w:sz w:val="32"/>
          <w:szCs w:val="32"/>
          <w:highlight w:val="none"/>
          <w:shd w:val="clear" w:color="auto" w:fill="FFFFFF"/>
          <w:lang w:val="en-US" w:eastAsia="zh-CN"/>
        </w:rPr>
        <w:t>1</w:t>
      </w:r>
      <w:bookmarkEnd w:id="598"/>
      <w:bookmarkEnd w:id="599"/>
      <w:bookmarkEnd w:id="600"/>
      <w:bookmarkEnd w:id="601"/>
      <w:bookmarkEnd w:id="602"/>
    </w:p>
    <w:p w14:paraId="3F5029F8">
      <w:pPr>
        <w:pStyle w:val="2"/>
        <w:spacing w:line="360" w:lineRule="auto"/>
        <w:jc w:val="center"/>
        <w:rPr>
          <w:rFonts w:hint="eastAsia" w:ascii="宋体" w:hAnsi="宋体" w:eastAsia="宋体" w:cs="宋体"/>
          <w:b w:val="0"/>
          <w:bCs/>
          <w:color w:val="auto"/>
          <w:sz w:val="28"/>
          <w:szCs w:val="28"/>
          <w:highlight w:val="none"/>
        </w:rPr>
      </w:pPr>
      <w:bookmarkStart w:id="603" w:name="_Toc13129"/>
      <w:bookmarkStart w:id="604" w:name="_Toc29165"/>
      <w:bookmarkStart w:id="605" w:name="_Toc17491"/>
      <w:bookmarkStart w:id="606" w:name="_Toc16697"/>
      <w:r>
        <w:rPr>
          <w:rFonts w:hint="eastAsia" w:ascii="宋体" w:hAnsi="宋体" w:eastAsia="宋体" w:cs="宋体"/>
          <w:b w:val="0"/>
          <w:bCs/>
          <w:color w:val="auto"/>
          <w:sz w:val="40"/>
          <w:szCs w:val="40"/>
          <w:highlight w:val="none"/>
          <w:shd w:val="clear" w:color="auto" w:fill="FFFFFF"/>
        </w:rPr>
        <w:t>榆林市政府采购</w:t>
      </w:r>
      <w:r>
        <w:rPr>
          <w:rFonts w:hint="eastAsia" w:ascii="宋体" w:hAnsi="宋体" w:eastAsia="宋体" w:cs="宋体"/>
          <w:b w:val="0"/>
          <w:bCs/>
          <w:color w:val="auto"/>
          <w:sz w:val="40"/>
          <w:szCs w:val="40"/>
          <w:highlight w:val="none"/>
          <w:shd w:val="clear" w:color="auto" w:fill="FFFFFF"/>
          <w:lang w:val="en-US" w:eastAsia="zh-CN"/>
        </w:rPr>
        <w:t>服务</w:t>
      </w:r>
      <w:r>
        <w:rPr>
          <w:rFonts w:hint="eastAsia" w:ascii="宋体" w:hAnsi="宋体" w:eastAsia="宋体" w:cs="宋体"/>
          <w:b w:val="0"/>
          <w:bCs/>
          <w:color w:val="auto"/>
          <w:sz w:val="40"/>
          <w:szCs w:val="40"/>
          <w:highlight w:val="none"/>
          <w:shd w:val="clear" w:color="auto" w:fill="FFFFFF"/>
        </w:rPr>
        <w:t>类项目供应商信用承诺书</w:t>
      </w:r>
      <w:bookmarkEnd w:id="603"/>
      <w:bookmarkEnd w:id="604"/>
      <w:bookmarkEnd w:id="605"/>
      <w:bookmarkEnd w:id="606"/>
    </w:p>
    <w:p w14:paraId="73408B5A">
      <w:pPr>
        <w:pStyle w:val="21"/>
        <w:shd w:val="clear" w:color="auto" w:fill="FFFFFF"/>
        <w:adjustRightInd w:val="0"/>
        <w:snapToGrid w:val="0"/>
        <w:spacing w:before="0" w:beforeAutospacing="0" w:after="150" w:afterAutospacing="0" w:line="560" w:lineRule="exact"/>
        <w:ind w:firstLine="480"/>
        <w:jc w:val="both"/>
        <w:rPr>
          <w:rFonts w:hint="eastAsia" w:ascii="宋体" w:hAnsi="宋体" w:eastAsia="宋体" w:cs="宋体"/>
          <w:bCs/>
          <w:color w:val="auto"/>
          <w:szCs w:val="24"/>
          <w:highlight w:val="none"/>
        </w:rPr>
      </w:pPr>
      <w:bookmarkStart w:id="607" w:name="_Toc8477"/>
      <w:r>
        <w:rPr>
          <w:rFonts w:hint="eastAsia" w:ascii="宋体" w:hAnsi="宋体" w:eastAsia="宋体" w:cs="宋体"/>
          <w:bCs/>
          <w:color w:val="auto"/>
          <w:szCs w:val="24"/>
          <w:highlight w:val="none"/>
          <w:shd w:val="clear" w:color="auto" w:fill="FFFFFF"/>
        </w:rPr>
        <w:t>市场主体名称：</w:t>
      </w:r>
    </w:p>
    <w:p w14:paraId="5F8DF1D2">
      <w:pPr>
        <w:pStyle w:val="21"/>
        <w:shd w:val="clear" w:color="auto" w:fill="FFFFFF"/>
        <w:adjustRightInd w:val="0"/>
        <w:snapToGrid w:val="0"/>
        <w:spacing w:before="0" w:beforeAutospacing="0" w:after="150" w:afterAutospacing="0" w:line="560" w:lineRule="exact"/>
        <w:ind w:firstLine="48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证件类型：统一社会信用代码</w:t>
      </w:r>
    </w:p>
    <w:p w14:paraId="49D009AB">
      <w:pPr>
        <w:pStyle w:val="21"/>
        <w:shd w:val="clear" w:color="auto" w:fill="FFFFFF"/>
        <w:adjustRightInd w:val="0"/>
        <w:snapToGrid w:val="0"/>
        <w:spacing w:before="0" w:beforeAutospacing="0" w:after="150" w:afterAutospacing="0" w:line="560" w:lineRule="exact"/>
        <w:ind w:firstLine="480"/>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证件号码：</w:t>
      </w:r>
    </w:p>
    <w:p w14:paraId="1EAD4C8C">
      <w:pPr>
        <w:pStyle w:val="21"/>
        <w:shd w:val="clear" w:color="auto" w:fill="FFFFFF"/>
        <w:adjustRightInd w:val="0"/>
        <w:snapToGrid w:val="0"/>
        <w:spacing w:before="0" w:beforeAutospacing="0" w:after="150" w:afterAutospacing="0" w:line="560" w:lineRule="exact"/>
        <w:ind w:firstLine="480"/>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法人代表：</w:t>
      </w:r>
    </w:p>
    <w:p w14:paraId="723732A3">
      <w:pPr>
        <w:pStyle w:val="21"/>
        <w:shd w:val="clear" w:color="auto" w:fill="FFFFFF"/>
        <w:adjustRightInd w:val="0"/>
        <w:snapToGrid w:val="0"/>
        <w:spacing w:before="0" w:beforeAutospacing="0" w:after="150" w:afterAutospacing="0" w:line="560" w:lineRule="exact"/>
        <w:ind w:firstLine="480"/>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承诺有效期限：   年   月   日—    年    月    日（承诺期限为1年）</w:t>
      </w:r>
    </w:p>
    <w:p w14:paraId="1088DD95">
      <w:pPr>
        <w:pStyle w:val="21"/>
        <w:shd w:val="clear" w:color="auto" w:fill="FFFFFF"/>
        <w:adjustRightInd w:val="0"/>
        <w:snapToGrid w:val="0"/>
        <w:spacing w:before="0" w:beforeAutospacing="0" w:after="150" w:afterAutospacing="0" w:line="560" w:lineRule="exact"/>
        <w:ind w:firstLine="48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承诺内容：</w:t>
      </w:r>
    </w:p>
    <w:p w14:paraId="0A2E175A">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为维护公开、公平、公正的政府采购市场秩序，树立诚实守信的政府采购供应商形象，本单位自愿做出以下承诺：</w:t>
      </w:r>
    </w:p>
    <w:p w14:paraId="5B7FF11B">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一、承诺本单位严格遵守国家法律、法规和规章，全面履行应尽的责任和义务，全面做到履约守信，具备《政府采购法》第二十二条第一款规定的条件；</w:t>
      </w:r>
    </w:p>
    <w:p w14:paraId="4AAFF839">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二、承诺本单位提供给注册登记部门、行业管理部门、司法部门、行业组织以及在政府采购活动中提交的所有资料均合法、真实、有效，无任何伪造、修改、虚假成份，并对所提供资料的真实性负责；</w:t>
      </w:r>
    </w:p>
    <w:p w14:paraId="007531CB">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三、承诺本单位严格依法开展生产经营活动，主动接受行业监管，自愿接受依法开展的日常检查；违法失信经营后将自愿接受约束和惩戒，并依法承担相应责任；</w:t>
      </w:r>
    </w:p>
    <w:p w14:paraId="0DB6448B">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四、承诺本单位自觉接受行政管理部门、行业组织、社会公众、新闻舆论的监督；</w:t>
      </w:r>
    </w:p>
    <w:p w14:paraId="63FE51AC">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五、承诺本单位自我约束、自我管理，重合同、守信用，不制假售假、商标侵权、虚假宣传、违约毁约、恶意逃债、偷税漏税、价格欺诈、垄断和不正当竞争，维护经营者、消费者的合法权益；</w:t>
      </w:r>
    </w:p>
    <w:p w14:paraId="508FF637">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六、承诺本单位提出政府采购质疑和投诉坚持依法依规、诚实信用原则，在全国范围12个月内没有三次以上查无实据的政府采购投诉；</w:t>
      </w:r>
    </w:p>
    <w:p w14:paraId="5D44EDA6">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七、根据政府采购相关法律法规的规定需要作出的其他承诺：</w:t>
      </w:r>
      <w:r>
        <w:rPr>
          <w:rFonts w:hint="eastAsia" w:ascii="宋体" w:hAnsi="宋体" w:eastAsia="宋体" w:cs="宋体"/>
          <w:bCs/>
          <w:color w:val="auto"/>
          <w:szCs w:val="24"/>
          <w:highlight w:val="none"/>
          <w:u w:val="single"/>
          <w:shd w:val="clear" w:color="auto" w:fill="FFFFFF"/>
        </w:rPr>
        <w:t>                                                              </w:t>
      </w:r>
    </w:p>
    <w:p w14:paraId="0C244B23">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3205D26D">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         </w:t>
      </w:r>
    </w:p>
    <w:p w14:paraId="4A5B2F95">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 xml:space="preserve">              承诺单位（盖章）：</w:t>
      </w:r>
    </w:p>
    <w:p w14:paraId="5E08E1C4">
      <w:pPr>
        <w:pStyle w:val="21"/>
        <w:shd w:val="clear" w:color="auto" w:fill="FFFFFF"/>
        <w:adjustRightInd w:val="0"/>
        <w:snapToGrid w:val="0"/>
        <w:spacing w:before="0" w:beforeAutospacing="0" w:after="150" w:afterAutospacing="0" w:line="560" w:lineRule="exact"/>
        <w:ind w:firstLine="1687" w:firstLineChars="703"/>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       法定代表人（负责人）：</w:t>
      </w:r>
    </w:p>
    <w:p w14:paraId="7AB10A5A">
      <w:pPr>
        <w:pStyle w:val="21"/>
        <w:shd w:val="clear" w:color="auto" w:fill="FFFFFF"/>
        <w:adjustRightInd w:val="0"/>
        <w:snapToGrid w:val="0"/>
        <w:spacing w:before="0" w:beforeAutospacing="0" w:after="150" w:afterAutospacing="0" w:line="560" w:lineRule="exact"/>
        <w:ind w:firstLine="2160" w:firstLineChars="900"/>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法定代表人（负责人）身份证号：</w:t>
      </w:r>
    </w:p>
    <w:p w14:paraId="18652086">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         承诺日期：</w:t>
      </w:r>
    </w:p>
    <w:p w14:paraId="5D818B80">
      <w:pPr>
        <w:pStyle w:val="21"/>
        <w:shd w:val="clear" w:color="auto" w:fill="FFFFFF"/>
        <w:adjustRightInd w:val="0"/>
        <w:snapToGrid w:val="0"/>
        <w:spacing w:before="0" w:beforeAutospacing="0" w:after="150" w:afterAutospacing="0" w:line="360" w:lineRule="auto"/>
        <w:ind w:firstLine="480" w:firstLineChars="200"/>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注：法定代表人或负责人、主体名称发生变更的应当重新做出承诺；承诺书标题按照工程类、货物类、服务类确定。</w:t>
      </w:r>
    </w:p>
    <w:p w14:paraId="2C27D2B4">
      <w:pPr>
        <w:pStyle w:val="8"/>
        <w:adjustRightInd w:val="0"/>
        <w:snapToGrid w:val="0"/>
        <w:spacing w:line="500" w:lineRule="exact"/>
        <w:rPr>
          <w:rFonts w:hint="eastAsia" w:ascii="宋体" w:hAnsi="宋体" w:eastAsia="宋体" w:cs="宋体"/>
          <w:bCs/>
          <w:color w:val="auto"/>
          <w:kern w:val="0"/>
          <w:sz w:val="24"/>
          <w:szCs w:val="24"/>
          <w:highlight w:val="none"/>
          <w:shd w:val="clear" w:color="070000" w:fill="FFFFFF"/>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kern w:val="0"/>
          <w:sz w:val="24"/>
          <w:szCs w:val="24"/>
          <w:highlight w:val="none"/>
          <w:shd w:val="clear" w:color="070000" w:fill="FFFFFF"/>
        </w:rPr>
        <w:t xml:space="preserve"> </w:t>
      </w:r>
    </w:p>
    <w:p w14:paraId="1176146D">
      <w:pPr>
        <w:pStyle w:val="2"/>
        <w:spacing w:line="360" w:lineRule="exact"/>
        <w:jc w:val="left"/>
        <w:rPr>
          <w:rFonts w:hint="eastAsia" w:ascii="宋体" w:hAnsi="宋体" w:eastAsia="宋体" w:cs="宋体"/>
          <w:b w:val="0"/>
          <w:bCs/>
          <w:color w:val="auto"/>
          <w:sz w:val="32"/>
          <w:szCs w:val="32"/>
          <w:highlight w:val="none"/>
          <w:shd w:val="clear" w:color="auto" w:fill="FFFFFF"/>
          <w:lang w:eastAsia="zh-CN"/>
        </w:rPr>
        <w:sectPr>
          <w:pgSz w:w="11906" w:h="16838"/>
          <w:pgMar w:top="1440" w:right="1080" w:bottom="1440" w:left="1080" w:header="720" w:footer="1191" w:gutter="0"/>
          <w:pgNumType w:fmt="decimal"/>
          <w:cols w:space="720" w:num="1"/>
          <w:docGrid w:type="lines" w:linePitch="312" w:charSpace="0"/>
        </w:sectPr>
      </w:pPr>
    </w:p>
    <w:p w14:paraId="5FB98D2F">
      <w:pPr>
        <w:pStyle w:val="2"/>
        <w:spacing w:line="360" w:lineRule="exact"/>
        <w:jc w:val="left"/>
        <w:rPr>
          <w:rFonts w:hint="eastAsia" w:ascii="宋体" w:hAnsi="宋体" w:eastAsia="宋体" w:cs="宋体"/>
          <w:b w:val="0"/>
          <w:bCs/>
          <w:color w:val="auto"/>
          <w:sz w:val="32"/>
          <w:szCs w:val="32"/>
          <w:highlight w:val="none"/>
          <w:shd w:val="clear" w:color="auto" w:fill="FFFFFF"/>
          <w:lang w:val="en-US" w:eastAsia="zh-CN"/>
        </w:rPr>
      </w:pPr>
      <w:bookmarkStart w:id="608" w:name="_Toc21837"/>
      <w:bookmarkStart w:id="609" w:name="_Toc894"/>
      <w:bookmarkStart w:id="610" w:name="_Toc27540"/>
      <w:bookmarkStart w:id="611" w:name="_Toc20115"/>
      <w:r>
        <w:rPr>
          <w:rFonts w:hint="eastAsia" w:ascii="宋体" w:hAnsi="宋体" w:eastAsia="宋体" w:cs="宋体"/>
          <w:b w:val="0"/>
          <w:bCs/>
          <w:color w:val="auto"/>
          <w:sz w:val="32"/>
          <w:szCs w:val="32"/>
          <w:highlight w:val="none"/>
          <w:shd w:val="clear" w:color="auto" w:fill="FFFFFF"/>
          <w:lang w:eastAsia="zh-CN"/>
        </w:rPr>
        <w:t>附件：</w:t>
      </w:r>
      <w:r>
        <w:rPr>
          <w:rFonts w:hint="eastAsia" w:ascii="宋体" w:hAnsi="宋体" w:eastAsia="宋体" w:cs="宋体"/>
          <w:b w:val="0"/>
          <w:bCs/>
          <w:color w:val="auto"/>
          <w:sz w:val="32"/>
          <w:szCs w:val="32"/>
          <w:highlight w:val="none"/>
          <w:shd w:val="clear" w:color="auto" w:fill="FFFFFF"/>
          <w:lang w:val="en-US" w:eastAsia="zh-CN"/>
        </w:rPr>
        <w:t>2</w:t>
      </w:r>
      <w:bookmarkEnd w:id="607"/>
      <w:bookmarkEnd w:id="608"/>
      <w:bookmarkEnd w:id="609"/>
      <w:bookmarkEnd w:id="610"/>
      <w:bookmarkEnd w:id="611"/>
    </w:p>
    <w:p w14:paraId="77948E8D">
      <w:pPr>
        <w:spacing w:line="560" w:lineRule="exact"/>
        <w:ind w:right="-2"/>
        <w:jc w:val="center"/>
        <w:rPr>
          <w:rFonts w:hint="eastAsia" w:ascii="宋体" w:hAnsi="宋体" w:eastAsia="宋体" w:cs="宋体"/>
          <w:bCs/>
          <w:color w:val="auto"/>
          <w:kern w:val="0"/>
          <w:sz w:val="24"/>
          <w:highlight w:val="none"/>
        </w:rPr>
      </w:pPr>
      <w:r>
        <w:rPr>
          <w:rFonts w:hint="eastAsia" w:ascii="宋体" w:hAnsi="宋体" w:eastAsia="宋体" w:cs="宋体"/>
          <w:bCs/>
          <w:color w:val="auto"/>
          <w:sz w:val="40"/>
          <w:szCs w:val="40"/>
          <w:highlight w:val="none"/>
        </w:rPr>
        <w:t xml:space="preserve"> 投标信用承诺书</w:t>
      </w:r>
    </w:p>
    <w:p w14:paraId="626323E3">
      <w:pPr>
        <w:widowControl/>
        <w:spacing w:line="540" w:lineRule="exact"/>
        <w:jc w:val="left"/>
        <w:rPr>
          <w:rFonts w:hint="eastAsia" w:ascii="宋体" w:hAnsi="宋体" w:eastAsia="宋体" w:cs="宋体"/>
          <w:bCs/>
          <w:color w:val="auto"/>
          <w:kern w:val="0"/>
          <w:sz w:val="24"/>
          <w:highlight w:val="none"/>
          <w:u w:val="single"/>
        </w:rPr>
      </w:pPr>
      <w:r>
        <w:rPr>
          <w:rFonts w:hint="eastAsia" w:ascii="宋体" w:hAnsi="宋体" w:eastAsia="宋体" w:cs="宋体"/>
          <w:bCs/>
          <w:color w:val="auto"/>
          <w:kern w:val="0"/>
          <w:sz w:val="24"/>
          <w:highlight w:val="none"/>
        </w:rPr>
        <w:t>项目标段：</w:t>
      </w:r>
      <w:r>
        <w:rPr>
          <w:rFonts w:hint="eastAsia" w:ascii="宋体" w:hAnsi="宋体" w:eastAsia="宋体" w:cs="宋体"/>
          <w:bCs/>
          <w:color w:val="auto"/>
          <w:kern w:val="0"/>
          <w:sz w:val="24"/>
          <w:highlight w:val="none"/>
          <w:u w:val="single"/>
        </w:rPr>
        <w:t xml:space="preserve">                                                                  </w:t>
      </w:r>
    </w:p>
    <w:p w14:paraId="5BCF2782">
      <w:pPr>
        <w:widowControl/>
        <w:spacing w:line="540" w:lineRule="exact"/>
        <w:jc w:val="left"/>
        <w:rPr>
          <w:rFonts w:hint="eastAsia" w:ascii="宋体" w:hAnsi="宋体" w:eastAsia="宋体" w:cs="宋体"/>
          <w:bCs/>
          <w:color w:val="auto"/>
          <w:kern w:val="0"/>
          <w:sz w:val="24"/>
          <w:highlight w:val="none"/>
          <w:u w:val="single"/>
        </w:rPr>
      </w:pPr>
      <w:r>
        <w:rPr>
          <w:rFonts w:hint="eastAsia" w:ascii="宋体" w:hAnsi="宋体" w:eastAsia="宋体" w:cs="宋体"/>
          <w:bCs/>
          <w:color w:val="auto"/>
          <w:kern w:val="0"/>
          <w:sz w:val="24"/>
          <w:highlight w:val="none"/>
        </w:rPr>
        <w:t>投标人：</w:t>
      </w:r>
      <w:r>
        <w:rPr>
          <w:rFonts w:hint="eastAsia" w:ascii="宋体" w:hAnsi="宋体" w:eastAsia="宋体" w:cs="宋体"/>
          <w:bCs/>
          <w:color w:val="auto"/>
          <w:kern w:val="0"/>
          <w:sz w:val="24"/>
          <w:highlight w:val="none"/>
          <w:u w:val="single"/>
        </w:rPr>
        <w:t xml:space="preserve">                                                                    </w:t>
      </w:r>
    </w:p>
    <w:p w14:paraId="3A7B6B0F">
      <w:pPr>
        <w:widowControl/>
        <w:spacing w:line="540" w:lineRule="exact"/>
        <w:jc w:val="left"/>
        <w:rPr>
          <w:rFonts w:hint="eastAsia" w:ascii="宋体" w:hAnsi="宋体" w:eastAsia="宋体" w:cs="宋体"/>
          <w:bCs/>
          <w:color w:val="auto"/>
          <w:kern w:val="0"/>
          <w:sz w:val="24"/>
          <w:highlight w:val="none"/>
          <w:u w:val="single"/>
        </w:rPr>
      </w:pPr>
      <w:r>
        <w:rPr>
          <w:rFonts w:hint="eastAsia" w:ascii="宋体" w:hAnsi="宋体" w:eastAsia="宋体" w:cs="宋体"/>
          <w:bCs/>
          <w:color w:val="auto"/>
          <w:kern w:val="0"/>
          <w:sz w:val="24"/>
          <w:highlight w:val="none"/>
        </w:rPr>
        <w:t>统一社会信用代码：</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法人代表：</w:t>
      </w:r>
      <w:r>
        <w:rPr>
          <w:rFonts w:hint="eastAsia" w:ascii="宋体" w:hAnsi="宋体" w:eastAsia="宋体" w:cs="宋体"/>
          <w:bCs/>
          <w:color w:val="auto"/>
          <w:kern w:val="0"/>
          <w:sz w:val="24"/>
          <w:highlight w:val="none"/>
          <w:u w:val="single"/>
        </w:rPr>
        <w:t xml:space="preserve">                 </w:t>
      </w:r>
    </w:p>
    <w:p w14:paraId="2139CE46">
      <w:pPr>
        <w:widowControl/>
        <w:adjustRightInd w:val="0"/>
        <w:snapToGrid w:val="0"/>
        <w:spacing w:line="540" w:lineRule="exact"/>
        <w:ind w:firstLine="480" w:firstLineChars="20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在本项目标段招投标活动中，我公司（单位）自愿作出以下投标信用承诺：</w:t>
      </w:r>
    </w:p>
    <w:p w14:paraId="2456AE9E">
      <w:pPr>
        <w:widowControl/>
        <w:adjustRightInd w:val="0"/>
        <w:snapToGrid w:val="0"/>
        <w:spacing w:line="540" w:lineRule="exact"/>
        <w:ind w:firstLine="480" w:firstLineChars="20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（一）能严格遵守法律法规、职业道德和行业规范。</w:t>
      </w:r>
    </w:p>
    <w:p w14:paraId="31B04FC9">
      <w:pPr>
        <w:widowControl/>
        <w:adjustRightInd w:val="0"/>
        <w:snapToGrid w:val="0"/>
        <w:spacing w:line="540" w:lineRule="exact"/>
        <w:ind w:firstLine="480" w:firstLineChars="20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保证金。5.招投标法规定的其它违法违规行为。</w:t>
      </w:r>
    </w:p>
    <w:p w14:paraId="7A458E04">
      <w:pPr>
        <w:widowControl/>
        <w:adjustRightInd w:val="0"/>
        <w:snapToGrid w:val="0"/>
        <w:spacing w:line="540" w:lineRule="exact"/>
        <w:ind w:firstLine="480" w:firstLineChars="20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75BD23AF">
      <w:pPr>
        <w:widowControl/>
        <w:adjustRightInd w:val="0"/>
        <w:snapToGrid w:val="0"/>
        <w:spacing w:line="540" w:lineRule="exact"/>
        <w:ind w:firstLine="480" w:firstLineChars="200"/>
        <w:jc w:val="left"/>
        <w:rPr>
          <w:rFonts w:hint="eastAsia" w:ascii="宋体" w:hAnsi="宋体" w:eastAsia="宋体" w:cs="宋体"/>
          <w:bCs/>
          <w:color w:val="auto"/>
          <w:kern w:val="0"/>
          <w:sz w:val="24"/>
          <w:highlight w:val="none"/>
        </w:rPr>
      </w:pPr>
    </w:p>
    <w:p w14:paraId="4A4973FE">
      <w:pPr>
        <w:widowControl/>
        <w:tabs>
          <w:tab w:val="left" w:pos="4395"/>
        </w:tabs>
        <w:adjustRightInd w:val="0"/>
        <w:snapToGrid w:val="0"/>
        <w:spacing w:line="500" w:lineRule="exact"/>
        <w:ind w:firstLine="480" w:firstLineChars="20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法定代表人（签章）：             投标人（盖章）：</w:t>
      </w:r>
    </w:p>
    <w:p w14:paraId="2D9B229A">
      <w:pPr>
        <w:adjustRightInd w:val="0"/>
        <w:snapToGrid w:val="0"/>
        <w:spacing w:line="500" w:lineRule="exact"/>
        <w:rPr>
          <w:rFonts w:hint="eastAsia" w:ascii="宋体" w:hAnsi="宋体" w:eastAsia="宋体" w:cs="宋体"/>
          <w:bCs/>
          <w:color w:val="auto"/>
          <w:kern w:val="0"/>
          <w:sz w:val="24"/>
          <w:highlight w:val="none"/>
        </w:rPr>
      </w:pPr>
    </w:p>
    <w:p w14:paraId="6A60625A">
      <w:pPr>
        <w:ind w:firstLine="4560" w:firstLineChars="1900"/>
        <w:rPr>
          <w:rFonts w:hint="eastAsia" w:ascii="宋体" w:hAnsi="宋体" w:eastAsia="宋体" w:cs="宋体"/>
          <w:bCs/>
          <w:color w:val="auto"/>
          <w:sz w:val="24"/>
          <w:szCs w:val="24"/>
          <w:highlight w:val="none"/>
          <w:u w:val="single"/>
        </w:rPr>
      </w:pPr>
      <w:r>
        <w:rPr>
          <w:rFonts w:hint="eastAsia" w:ascii="宋体" w:hAnsi="宋体" w:eastAsia="宋体" w:cs="宋体"/>
          <w:bCs/>
          <w:color w:val="auto"/>
          <w:kern w:val="0"/>
          <w:sz w:val="24"/>
          <w:highlight w:val="none"/>
        </w:rPr>
        <w:t>承诺时间：</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年</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月</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日</w:t>
      </w:r>
    </w:p>
    <w:p w14:paraId="205C6067">
      <w:pPr>
        <w:pStyle w:val="8"/>
        <w:rPr>
          <w:rFonts w:hint="eastAsia" w:ascii="宋体" w:hAnsi="宋体" w:eastAsia="宋体" w:cs="宋体"/>
          <w:bCs/>
          <w:color w:val="auto"/>
          <w:sz w:val="24"/>
          <w:szCs w:val="24"/>
          <w:highlight w:val="none"/>
          <w:u w:val="single"/>
        </w:rPr>
      </w:pPr>
    </w:p>
    <w:p w14:paraId="7006C9F5">
      <w:pPr>
        <w:rPr>
          <w:rFonts w:hint="eastAsia" w:ascii="宋体" w:hAnsi="宋体" w:eastAsia="宋体" w:cs="宋体"/>
          <w:bCs/>
          <w:color w:val="auto"/>
          <w:sz w:val="24"/>
          <w:szCs w:val="24"/>
          <w:highlight w:val="none"/>
          <w:u w:val="single"/>
        </w:rPr>
      </w:pPr>
      <w:r>
        <w:rPr>
          <w:rFonts w:hint="eastAsia" w:ascii="宋体" w:hAnsi="宋体" w:eastAsia="宋体" w:cs="宋体"/>
          <w:bCs/>
          <w:color w:val="auto"/>
          <w:kern w:val="0"/>
          <w:sz w:val="24"/>
          <w:highlight w:val="none"/>
        </w:rPr>
        <w:t>说明：本承诺书效力和作用等同投标保证金，其有效期与投标有效期一致。</w:t>
      </w:r>
    </w:p>
    <w:p w14:paraId="333E8398">
      <w:pPr>
        <w:pStyle w:val="14"/>
        <w:jc w:val="center"/>
        <w:rPr>
          <w:rFonts w:hint="eastAsia" w:ascii="宋体" w:hAnsi="宋体" w:eastAsia="宋体" w:cs="宋体"/>
          <w:bCs/>
          <w:color w:val="auto"/>
          <w:sz w:val="32"/>
          <w:szCs w:val="22"/>
          <w:highlight w:val="none"/>
        </w:rPr>
        <w:sectPr>
          <w:pgSz w:w="11906" w:h="16838"/>
          <w:pgMar w:top="1440" w:right="1080" w:bottom="1440" w:left="1080" w:header="720" w:footer="1134" w:gutter="0"/>
          <w:pgNumType w:fmt="decimal"/>
          <w:cols w:space="720" w:num="1"/>
          <w:docGrid w:type="lines" w:linePitch="312" w:charSpace="0"/>
        </w:sectPr>
      </w:pPr>
    </w:p>
    <w:p w14:paraId="7DE7460E">
      <w:pPr>
        <w:spacing w:line="360" w:lineRule="auto"/>
        <w:jc w:val="center"/>
        <w:rPr>
          <w:rFonts w:hint="eastAsia" w:ascii="宋体" w:hAnsi="宋体" w:eastAsia="宋体" w:cs="宋体"/>
          <w:b w:val="0"/>
          <w:bCs/>
          <w:color w:val="auto"/>
          <w:kern w:val="0"/>
          <w:sz w:val="32"/>
          <w:highlight w:val="none"/>
          <w:lang w:val="en-US" w:eastAsia="zh-CN" w:bidi="ar-SA"/>
        </w:rPr>
      </w:pPr>
      <w:bookmarkStart w:id="612" w:name="_Toc10157"/>
      <w:bookmarkStart w:id="613" w:name="_Toc23670"/>
      <w:bookmarkStart w:id="614" w:name="_Toc12833"/>
      <w:bookmarkStart w:id="615" w:name="_Toc27415"/>
      <w:r>
        <w:rPr>
          <w:rFonts w:hint="eastAsia" w:ascii="宋体" w:hAnsi="宋体" w:eastAsia="宋体" w:cs="宋体"/>
          <w:b w:val="0"/>
          <w:bCs/>
          <w:color w:val="auto"/>
          <w:kern w:val="0"/>
          <w:sz w:val="32"/>
          <w:highlight w:val="none"/>
          <w:lang w:val="en-US" w:eastAsia="zh-CN" w:bidi="ar-SA"/>
        </w:rPr>
        <w:t>四、</w:t>
      </w:r>
      <w:bookmarkEnd w:id="612"/>
      <w:bookmarkEnd w:id="613"/>
      <w:r>
        <w:rPr>
          <w:rFonts w:hint="eastAsia" w:ascii="宋体" w:hAnsi="宋体" w:eastAsia="宋体" w:cs="宋体"/>
          <w:b w:val="0"/>
          <w:bCs/>
          <w:color w:val="auto"/>
          <w:kern w:val="0"/>
          <w:sz w:val="32"/>
          <w:highlight w:val="none"/>
          <w:lang w:val="en-US" w:eastAsia="zh-CN" w:bidi="ar-SA"/>
        </w:rPr>
        <w:t>响应方案</w:t>
      </w:r>
      <w:bookmarkEnd w:id="614"/>
      <w:bookmarkEnd w:id="615"/>
    </w:p>
    <w:p w14:paraId="0C888DF0">
      <w:pPr>
        <w:jc w:val="center"/>
        <w:rPr>
          <w:rFonts w:hint="eastAsia" w:ascii="宋体" w:hAnsi="宋体" w:eastAsia="宋体" w:cs="宋体"/>
          <w:bCs/>
          <w:color w:val="auto"/>
          <w:sz w:val="24"/>
          <w:szCs w:val="24"/>
          <w:highlight w:val="none"/>
        </w:rPr>
      </w:pPr>
    </w:p>
    <w:p w14:paraId="304D0A4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jc w:val="left"/>
        <w:textAlignment w:val="auto"/>
        <w:outlineLvl w:val="0"/>
        <w:rPr>
          <w:rFonts w:hint="eastAsia" w:ascii="宋体" w:hAnsi="宋体" w:eastAsia="宋体" w:cs="宋体"/>
          <w:bCs/>
          <w:color w:val="auto"/>
          <w:sz w:val="28"/>
          <w:szCs w:val="28"/>
          <w:highlight w:val="none"/>
          <w:lang w:val="en-US" w:eastAsia="zh-CN"/>
        </w:rPr>
      </w:pPr>
      <w:bookmarkStart w:id="616" w:name="_Toc25852"/>
      <w:bookmarkStart w:id="617" w:name="_Toc17879"/>
      <w:r>
        <w:rPr>
          <w:rFonts w:hint="eastAsia" w:ascii="宋体" w:hAnsi="宋体" w:eastAsia="宋体" w:cs="宋体"/>
          <w:bCs/>
          <w:color w:val="auto"/>
          <w:sz w:val="28"/>
          <w:szCs w:val="28"/>
          <w:highlight w:val="none"/>
        </w:rPr>
        <w:t>参照谈判文件各评审条款的要求，结合</w:t>
      </w:r>
      <w:r>
        <w:rPr>
          <w:rFonts w:hint="eastAsia" w:ascii="宋体" w:hAnsi="宋体" w:eastAsia="宋体" w:cs="宋体"/>
          <w:bCs/>
          <w:color w:val="auto"/>
          <w:sz w:val="28"/>
          <w:szCs w:val="28"/>
          <w:highlight w:val="none"/>
          <w:lang w:eastAsia="zh-CN"/>
        </w:rPr>
        <w:t>第五章《采购内容及技术要求》</w:t>
      </w:r>
      <w:r>
        <w:rPr>
          <w:rFonts w:hint="eastAsia" w:ascii="宋体" w:hAnsi="宋体" w:eastAsia="宋体" w:cs="宋体"/>
          <w:bCs/>
          <w:color w:val="auto"/>
          <w:sz w:val="28"/>
          <w:szCs w:val="28"/>
          <w:highlight w:val="none"/>
        </w:rPr>
        <w:t>编制</w:t>
      </w:r>
      <w:r>
        <w:rPr>
          <w:rFonts w:hint="eastAsia" w:ascii="宋体" w:hAnsi="宋体" w:eastAsia="宋体" w:cs="宋体"/>
          <w:bCs/>
          <w:color w:val="auto"/>
          <w:sz w:val="28"/>
          <w:szCs w:val="28"/>
          <w:highlight w:val="none"/>
          <w:lang w:val="en-US" w:eastAsia="zh-CN"/>
        </w:rPr>
        <w:t>符合本项目的</w:t>
      </w:r>
      <w:r>
        <w:rPr>
          <w:rFonts w:hint="eastAsia" w:ascii="宋体" w:hAnsi="宋体" w:eastAsia="宋体" w:cs="宋体"/>
          <w:bCs/>
          <w:color w:val="auto"/>
          <w:sz w:val="28"/>
          <w:szCs w:val="28"/>
          <w:highlight w:val="none"/>
        </w:rPr>
        <w:t>响应方案。</w:t>
      </w:r>
      <w:r>
        <w:rPr>
          <w:rFonts w:hint="eastAsia" w:ascii="宋体" w:hAnsi="宋体" w:eastAsia="宋体" w:cs="宋体"/>
          <w:bCs/>
          <w:color w:val="auto"/>
          <w:sz w:val="28"/>
          <w:szCs w:val="28"/>
          <w:highlight w:val="none"/>
          <w:lang w:val="en-US" w:eastAsia="zh-CN"/>
        </w:rPr>
        <w:t>主要是针对本谈判项目的具体情况作出的实质性响应和满足。服务方案必须科学合理、真实可行并适用于本服务项目，能充分体现出自身技术和专业优势。</w:t>
      </w:r>
      <w:bookmarkEnd w:id="616"/>
      <w:bookmarkEnd w:id="617"/>
    </w:p>
    <w:p w14:paraId="7185702D">
      <w:pPr>
        <w:keepNext w:val="0"/>
        <w:keepLines w:val="0"/>
        <w:pageBreakBefore w:val="0"/>
        <w:widowControl w:val="0"/>
        <w:kinsoku/>
        <w:wordWrap/>
        <w:overflowPunct/>
        <w:topLinePunct w:val="0"/>
        <w:autoSpaceDE/>
        <w:autoSpaceDN/>
        <w:bidi w:val="0"/>
        <w:adjustRightInd w:val="0"/>
        <w:snapToGrid w:val="0"/>
        <w:ind w:firstLine="480" w:firstLineChars="200"/>
        <w:jc w:val="center"/>
        <w:textAlignment w:val="auto"/>
        <w:rPr>
          <w:rFonts w:hint="eastAsia" w:ascii="宋体" w:hAnsi="宋体" w:eastAsia="宋体" w:cs="宋体"/>
          <w:bCs/>
          <w:color w:val="auto"/>
          <w:sz w:val="24"/>
          <w:szCs w:val="24"/>
          <w:highlight w:val="none"/>
        </w:rPr>
        <w:sectPr>
          <w:pgSz w:w="11906" w:h="16838"/>
          <w:pgMar w:top="1440" w:right="1080" w:bottom="1440" w:left="1080" w:header="720" w:footer="1134" w:gutter="0"/>
          <w:pgNumType w:fmt="decimal"/>
          <w:cols w:space="720" w:num="1"/>
          <w:docGrid w:type="lines" w:linePitch="312" w:charSpace="0"/>
        </w:sectPr>
      </w:pPr>
    </w:p>
    <w:p w14:paraId="64B9711E">
      <w:pPr>
        <w:spacing w:line="360" w:lineRule="auto"/>
        <w:jc w:val="center"/>
        <w:rPr>
          <w:rFonts w:hint="eastAsia" w:ascii="宋体" w:hAnsi="宋体" w:eastAsia="宋体" w:cs="宋体"/>
          <w:b w:val="0"/>
          <w:bCs/>
          <w:color w:val="auto"/>
          <w:kern w:val="0"/>
          <w:sz w:val="32"/>
          <w:highlight w:val="none"/>
          <w:lang w:val="en-US" w:eastAsia="zh-CN" w:bidi="ar-SA"/>
        </w:rPr>
        <w:sectPr>
          <w:pgSz w:w="11906" w:h="16838"/>
          <w:pgMar w:top="1440" w:right="1080" w:bottom="1440" w:left="1080" w:header="1134" w:footer="1077" w:gutter="0"/>
          <w:pgNumType w:fmt="decimal"/>
          <w:cols w:space="720" w:num="1"/>
          <w:docGrid w:type="lines" w:linePitch="312" w:charSpace="0"/>
        </w:sectPr>
      </w:pPr>
      <w:r>
        <w:rPr>
          <w:rFonts w:hint="eastAsia" w:ascii="宋体" w:hAnsi="宋体" w:eastAsia="宋体" w:cs="宋体"/>
          <w:b w:val="0"/>
          <w:bCs/>
          <w:color w:val="auto"/>
          <w:kern w:val="0"/>
          <w:sz w:val="32"/>
          <w:highlight w:val="none"/>
          <w:lang w:val="en-US" w:eastAsia="zh-CN" w:bidi="ar-SA"/>
        </w:rPr>
        <w:t>五、谈判文件要求的其他材料</w:t>
      </w:r>
    </w:p>
    <w:p w14:paraId="0B028D5F">
      <w:pPr>
        <w:spacing w:line="360" w:lineRule="auto"/>
        <w:jc w:val="center"/>
        <w:rPr>
          <w:rFonts w:hint="eastAsia" w:ascii="宋体" w:hAnsi="宋体" w:eastAsia="宋体" w:cs="宋体"/>
          <w:b w:val="0"/>
          <w:bCs/>
          <w:color w:val="auto"/>
          <w:kern w:val="0"/>
          <w:sz w:val="32"/>
          <w:highlight w:val="none"/>
          <w:lang w:val="en-US" w:eastAsia="zh-CN" w:bidi="ar-SA"/>
        </w:rPr>
      </w:pPr>
      <w:bookmarkStart w:id="618" w:name="_Toc32338"/>
      <w:bookmarkStart w:id="619" w:name="_Toc17270"/>
      <w:bookmarkStart w:id="620" w:name="_Toc3503"/>
      <w:bookmarkStart w:id="621" w:name="_Toc18059"/>
      <w:r>
        <w:rPr>
          <w:rFonts w:hint="eastAsia" w:ascii="宋体" w:hAnsi="宋体" w:eastAsia="宋体" w:cs="宋体"/>
          <w:b w:val="0"/>
          <w:bCs/>
          <w:color w:val="auto"/>
          <w:kern w:val="0"/>
          <w:sz w:val="32"/>
          <w:highlight w:val="none"/>
          <w:lang w:val="en-US" w:eastAsia="zh-CN" w:bidi="ar-SA"/>
        </w:rPr>
        <w:t>六</w:t>
      </w:r>
      <w:bookmarkEnd w:id="618"/>
      <w:bookmarkEnd w:id="619"/>
      <w:bookmarkStart w:id="622" w:name="_Toc13800"/>
      <w:bookmarkStart w:id="623" w:name="_Toc14730"/>
      <w:r>
        <w:rPr>
          <w:rFonts w:hint="eastAsia" w:ascii="宋体" w:hAnsi="宋体" w:eastAsia="宋体" w:cs="宋体"/>
          <w:b w:val="0"/>
          <w:bCs/>
          <w:color w:val="auto"/>
          <w:kern w:val="0"/>
          <w:sz w:val="32"/>
          <w:highlight w:val="none"/>
          <w:lang w:val="en-US" w:eastAsia="zh-CN" w:bidi="ar-SA"/>
        </w:rPr>
        <w:t>、</w:t>
      </w:r>
      <w:bookmarkEnd w:id="622"/>
      <w:bookmarkEnd w:id="623"/>
      <w:r>
        <w:rPr>
          <w:rFonts w:hint="eastAsia" w:ascii="宋体" w:hAnsi="宋体" w:eastAsia="宋体" w:cs="宋体"/>
          <w:b w:val="0"/>
          <w:bCs/>
          <w:color w:val="auto"/>
          <w:kern w:val="0"/>
          <w:sz w:val="32"/>
          <w:highlight w:val="none"/>
          <w:lang w:val="en-US" w:eastAsia="zh-CN" w:bidi="ar-SA"/>
        </w:rPr>
        <w:t>商务偏离表</w:t>
      </w:r>
      <w:bookmarkEnd w:id="620"/>
      <w:bookmarkEnd w:id="621"/>
    </w:p>
    <w:p w14:paraId="2E4B1461">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供应商名称：</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采购项目编号：</w:t>
      </w:r>
      <w:r>
        <w:rPr>
          <w:rFonts w:hint="eastAsia" w:ascii="宋体" w:hAnsi="宋体" w:eastAsia="宋体" w:cs="宋体"/>
          <w:bCs/>
          <w:color w:val="auto"/>
          <w:sz w:val="24"/>
          <w:highlight w:val="none"/>
          <w:u w:val="single"/>
        </w:rPr>
        <w:t xml:space="preserve">                    </w:t>
      </w:r>
    </w:p>
    <w:tbl>
      <w:tblPr>
        <w:tblStyle w:val="24"/>
        <w:tblW w:w="985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836"/>
        <w:gridCol w:w="3266"/>
        <w:gridCol w:w="3599"/>
        <w:gridCol w:w="1062"/>
        <w:gridCol w:w="1087"/>
      </w:tblGrid>
      <w:tr w14:paraId="4D4F7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37" w:hRule="atLeast"/>
          <w:jc w:val="center"/>
        </w:trPr>
        <w:tc>
          <w:tcPr>
            <w:tcW w:w="836" w:type="dxa"/>
            <w:noWrap w:val="0"/>
            <w:vAlign w:val="top"/>
          </w:tcPr>
          <w:p w14:paraId="6EF2D9F8">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序号</w:t>
            </w:r>
          </w:p>
        </w:tc>
        <w:tc>
          <w:tcPr>
            <w:tcW w:w="3266" w:type="dxa"/>
            <w:noWrap w:val="0"/>
            <w:vAlign w:val="top"/>
          </w:tcPr>
          <w:p w14:paraId="3E379F53">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竞争性谈判文件商务要求</w:t>
            </w:r>
          </w:p>
        </w:tc>
        <w:tc>
          <w:tcPr>
            <w:tcW w:w="3599" w:type="dxa"/>
            <w:noWrap w:val="0"/>
            <w:vAlign w:val="top"/>
          </w:tcPr>
          <w:p w14:paraId="604AFC74">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竞争性谈判响应文件商务响应</w:t>
            </w:r>
          </w:p>
        </w:tc>
        <w:tc>
          <w:tcPr>
            <w:tcW w:w="1062" w:type="dxa"/>
            <w:noWrap w:val="0"/>
            <w:vAlign w:val="top"/>
          </w:tcPr>
          <w:p w14:paraId="37E4BAAD">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偏离情况</w:t>
            </w:r>
          </w:p>
        </w:tc>
        <w:tc>
          <w:tcPr>
            <w:tcW w:w="1087" w:type="dxa"/>
            <w:noWrap w:val="0"/>
            <w:vAlign w:val="top"/>
          </w:tcPr>
          <w:p w14:paraId="09209338">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响应说明</w:t>
            </w:r>
          </w:p>
        </w:tc>
      </w:tr>
      <w:tr w14:paraId="0C8D7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1978E027">
            <w:pPr>
              <w:spacing w:line="360" w:lineRule="auto"/>
              <w:jc w:val="center"/>
              <w:rPr>
                <w:rFonts w:hint="eastAsia" w:ascii="宋体" w:hAnsi="宋体" w:eastAsia="宋体" w:cs="宋体"/>
                <w:bCs/>
                <w:color w:val="auto"/>
                <w:sz w:val="24"/>
                <w:highlight w:val="none"/>
              </w:rPr>
            </w:pPr>
          </w:p>
        </w:tc>
        <w:tc>
          <w:tcPr>
            <w:tcW w:w="3266" w:type="dxa"/>
            <w:noWrap w:val="0"/>
            <w:vAlign w:val="top"/>
          </w:tcPr>
          <w:p w14:paraId="1D0FDFCA">
            <w:pPr>
              <w:spacing w:line="360" w:lineRule="auto"/>
              <w:jc w:val="center"/>
              <w:rPr>
                <w:rFonts w:hint="eastAsia" w:ascii="宋体" w:hAnsi="宋体" w:eastAsia="宋体" w:cs="宋体"/>
                <w:bCs/>
                <w:color w:val="auto"/>
                <w:sz w:val="24"/>
                <w:highlight w:val="none"/>
              </w:rPr>
            </w:pPr>
          </w:p>
        </w:tc>
        <w:tc>
          <w:tcPr>
            <w:tcW w:w="3599" w:type="dxa"/>
            <w:noWrap w:val="0"/>
            <w:vAlign w:val="top"/>
          </w:tcPr>
          <w:p w14:paraId="55A6362D">
            <w:pPr>
              <w:spacing w:line="360" w:lineRule="auto"/>
              <w:jc w:val="center"/>
              <w:rPr>
                <w:rFonts w:hint="eastAsia" w:ascii="宋体" w:hAnsi="宋体" w:eastAsia="宋体" w:cs="宋体"/>
                <w:bCs/>
                <w:color w:val="auto"/>
                <w:sz w:val="24"/>
                <w:highlight w:val="none"/>
              </w:rPr>
            </w:pPr>
          </w:p>
        </w:tc>
        <w:tc>
          <w:tcPr>
            <w:tcW w:w="1062" w:type="dxa"/>
            <w:noWrap w:val="0"/>
            <w:vAlign w:val="top"/>
          </w:tcPr>
          <w:p w14:paraId="14443CF2">
            <w:pPr>
              <w:spacing w:line="360" w:lineRule="auto"/>
              <w:jc w:val="center"/>
              <w:rPr>
                <w:rFonts w:hint="eastAsia" w:ascii="宋体" w:hAnsi="宋体" w:eastAsia="宋体" w:cs="宋体"/>
                <w:bCs/>
                <w:color w:val="auto"/>
                <w:sz w:val="24"/>
                <w:highlight w:val="none"/>
              </w:rPr>
            </w:pPr>
          </w:p>
        </w:tc>
        <w:tc>
          <w:tcPr>
            <w:tcW w:w="1087" w:type="dxa"/>
            <w:noWrap w:val="0"/>
            <w:vAlign w:val="top"/>
          </w:tcPr>
          <w:p w14:paraId="0375C166">
            <w:pPr>
              <w:spacing w:line="360" w:lineRule="auto"/>
              <w:jc w:val="center"/>
              <w:rPr>
                <w:rFonts w:hint="eastAsia" w:ascii="宋体" w:hAnsi="宋体" w:eastAsia="宋体" w:cs="宋体"/>
                <w:bCs/>
                <w:color w:val="auto"/>
                <w:sz w:val="24"/>
                <w:highlight w:val="none"/>
              </w:rPr>
            </w:pPr>
          </w:p>
        </w:tc>
      </w:tr>
      <w:tr w14:paraId="7B19B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2CCE31E3">
            <w:pPr>
              <w:spacing w:line="360" w:lineRule="auto"/>
              <w:jc w:val="center"/>
              <w:rPr>
                <w:rFonts w:hint="eastAsia" w:ascii="宋体" w:hAnsi="宋体" w:eastAsia="宋体" w:cs="宋体"/>
                <w:bCs/>
                <w:color w:val="auto"/>
                <w:sz w:val="24"/>
                <w:highlight w:val="none"/>
              </w:rPr>
            </w:pPr>
          </w:p>
        </w:tc>
        <w:tc>
          <w:tcPr>
            <w:tcW w:w="3266" w:type="dxa"/>
            <w:noWrap w:val="0"/>
            <w:vAlign w:val="top"/>
          </w:tcPr>
          <w:p w14:paraId="7A41BC5F">
            <w:pPr>
              <w:spacing w:line="360" w:lineRule="auto"/>
              <w:jc w:val="center"/>
              <w:rPr>
                <w:rFonts w:hint="eastAsia" w:ascii="宋体" w:hAnsi="宋体" w:eastAsia="宋体" w:cs="宋体"/>
                <w:bCs/>
                <w:color w:val="auto"/>
                <w:sz w:val="24"/>
                <w:highlight w:val="none"/>
              </w:rPr>
            </w:pPr>
          </w:p>
        </w:tc>
        <w:tc>
          <w:tcPr>
            <w:tcW w:w="3599" w:type="dxa"/>
            <w:noWrap w:val="0"/>
            <w:vAlign w:val="top"/>
          </w:tcPr>
          <w:p w14:paraId="1F3084C0">
            <w:pPr>
              <w:spacing w:line="360" w:lineRule="auto"/>
              <w:jc w:val="center"/>
              <w:rPr>
                <w:rFonts w:hint="eastAsia" w:ascii="宋体" w:hAnsi="宋体" w:eastAsia="宋体" w:cs="宋体"/>
                <w:bCs/>
                <w:color w:val="auto"/>
                <w:sz w:val="24"/>
                <w:highlight w:val="none"/>
              </w:rPr>
            </w:pPr>
          </w:p>
        </w:tc>
        <w:tc>
          <w:tcPr>
            <w:tcW w:w="1062" w:type="dxa"/>
            <w:noWrap w:val="0"/>
            <w:vAlign w:val="top"/>
          </w:tcPr>
          <w:p w14:paraId="44729BF1">
            <w:pPr>
              <w:spacing w:line="360" w:lineRule="auto"/>
              <w:jc w:val="center"/>
              <w:rPr>
                <w:rFonts w:hint="eastAsia" w:ascii="宋体" w:hAnsi="宋体" w:eastAsia="宋体" w:cs="宋体"/>
                <w:bCs/>
                <w:color w:val="auto"/>
                <w:sz w:val="24"/>
                <w:highlight w:val="none"/>
              </w:rPr>
            </w:pPr>
          </w:p>
        </w:tc>
        <w:tc>
          <w:tcPr>
            <w:tcW w:w="1087" w:type="dxa"/>
            <w:noWrap w:val="0"/>
            <w:vAlign w:val="top"/>
          </w:tcPr>
          <w:p w14:paraId="13439896">
            <w:pPr>
              <w:spacing w:line="360" w:lineRule="auto"/>
              <w:jc w:val="center"/>
              <w:rPr>
                <w:rFonts w:hint="eastAsia" w:ascii="宋体" w:hAnsi="宋体" w:eastAsia="宋体" w:cs="宋体"/>
                <w:bCs/>
                <w:color w:val="auto"/>
                <w:sz w:val="24"/>
                <w:highlight w:val="none"/>
              </w:rPr>
            </w:pPr>
          </w:p>
        </w:tc>
      </w:tr>
      <w:tr w14:paraId="5A7D3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779B33D0">
            <w:pPr>
              <w:spacing w:line="360" w:lineRule="auto"/>
              <w:jc w:val="center"/>
              <w:rPr>
                <w:rFonts w:hint="eastAsia" w:ascii="宋体" w:hAnsi="宋体" w:eastAsia="宋体" w:cs="宋体"/>
                <w:bCs/>
                <w:color w:val="auto"/>
                <w:sz w:val="24"/>
                <w:highlight w:val="none"/>
              </w:rPr>
            </w:pPr>
          </w:p>
        </w:tc>
        <w:tc>
          <w:tcPr>
            <w:tcW w:w="3266" w:type="dxa"/>
            <w:noWrap w:val="0"/>
            <w:vAlign w:val="top"/>
          </w:tcPr>
          <w:p w14:paraId="3230526A">
            <w:pPr>
              <w:spacing w:line="360" w:lineRule="auto"/>
              <w:jc w:val="center"/>
              <w:rPr>
                <w:rFonts w:hint="eastAsia" w:ascii="宋体" w:hAnsi="宋体" w:eastAsia="宋体" w:cs="宋体"/>
                <w:bCs/>
                <w:color w:val="auto"/>
                <w:sz w:val="24"/>
                <w:highlight w:val="none"/>
              </w:rPr>
            </w:pPr>
          </w:p>
        </w:tc>
        <w:tc>
          <w:tcPr>
            <w:tcW w:w="3599" w:type="dxa"/>
            <w:noWrap w:val="0"/>
            <w:vAlign w:val="top"/>
          </w:tcPr>
          <w:p w14:paraId="5DD3C444">
            <w:pPr>
              <w:spacing w:line="360" w:lineRule="auto"/>
              <w:jc w:val="center"/>
              <w:rPr>
                <w:rFonts w:hint="eastAsia" w:ascii="宋体" w:hAnsi="宋体" w:eastAsia="宋体" w:cs="宋体"/>
                <w:bCs/>
                <w:color w:val="auto"/>
                <w:sz w:val="24"/>
                <w:highlight w:val="none"/>
              </w:rPr>
            </w:pPr>
          </w:p>
        </w:tc>
        <w:tc>
          <w:tcPr>
            <w:tcW w:w="1062" w:type="dxa"/>
            <w:noWrap w:val="0"/>
            <w:vAlign w:val="top"/>
          </w:tcPr>
          <w:p w14:paraId="0F6F8691">
            <w:pPr>
              <w:spacing w:line="360" w:lineRule="auto"/>
              <w:jc w:val="center"/>
              <w:rPr>
                <w:rFonts w:hint="eastAsia" w:ascii="宋体" w:hAnsi="宋体" w:eastAsia="宋体" w:cs="宋体"/>
                <w:bCs/>
                <w:color w:val="auto"/>
                <w:sz w:val="24"/>
                <w:highlight w:val="none"/>
              </w:rPr>
            </w:pPr>
          </w:p>
        </w:tc>
        <w:tc>
          <w:tcPr>
            <w:tcW w:w="1087" w:type="dxa"/>
            <w:noWrap w:val="0"/>
            <w:vAlign w:val="top"/>
          </w:tcPr>
          <w:p w14:paraId="5DD74736">
            <w:pPr>
              <w:spacing w:line="360" w:lineRule="auto"/>
              <w:jc w:val="center"/>
              <w:rPr>
                <w:rFonts w:hint="eastAsia" w:ascii="宋体" w:hAnsi="宋体" w:eastAsia="宋体" w:cs="宋体"/>
                <w:bCs/>
                <w:color w:val="auto"/>
                <w:sz w:val="24"/>
                <w:highlight w:val="none"/>
              </w:rPr>
            </w:pPr>
          </w:p>
        </w:tc>
      </w:tr>
      <w:tr w14:paraId="34821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4666E8A2">
            <w:pPr>
              <w:spacing w:line="360" w:lineRule="auto"/>
              <w:jc w:val="center"/>
              <w:rPr>
                <w:rFonts w:hint="eastAsia" w:ascii="宋体" w:hAnsi="宋体" w:eastAsia="宋体" w:cs="宋体"/>
                <w:bCs/>
                <w:color w:val="auto"/>
                <w:sz w:val="24"/>
                <w:highlight w:val="none"/>
              </w:rPr>
            </w:pPr>
          </w:p>
        </w:tc>
        <w:tc>
          <w:tcPr>
            <w:tcW w:w="3266" w:type="dxa"/>
            <w:noWrap w:val="0"/>
            <w:vAlign w:val="top"/>
          </w:tcPr>
          <w:p w14:paraId="27FB1CA0">
            <w:pPr>
              <w:spacing w:line="360" w:lineRule="auto"/>
              <w:jc w:val="center"/>
              <w:rPr>
                <w:rFonts w:hint="eastAsia" w:ascii="宋体" w:hAnsi="宋体" w:eastAsia="宋体" w:cs="宋体"/>
                <w:bCs/>
                <w:color w:val="auto"/>
                <w:sz w:val="24"/>
                <w:highlight w:val="none"/>
              </w:rPr>
            </w:pPr>
          </w:p>
        </w:tc>
        <w:tc>
          <w:tcPr>
            <w:tcW w:w="3599" w:type="dxa"/>
            <w:noWrap w:val="0"/>
            <w:vAlign w:val="top"/>
          </w:tcPr>
          <w:p w14:paraId="279747B9">
            <w:pPr>
              <w:spacing w:line="360" w:lineRule="auto"/>
              <w:jc w:val="center"/>
              <w:rPr>
                <w:rFonts w:hint="eastAsia" w:ascii="宋体" w:hAnsi="宋体" w:eastAsia="宋体" w:cs="宋体"/>
                <w:bCs/>
                <w:color w:val="auto"/>
                <w:sz w:val="24"/>
                <w:highlight w:val="none"/>
              </w:rPr>
            </w:pPr>
          </w:p>
        </w:tc>
        <w:tc>
          <w:tcPr>
            <w:tcW w:w="1062" w:type="dxa"/>
            <w:noWrap w:val="0"/>
            <w:vAlign w:val="top"/>
          </w:tcPr>
          <w:p w14:paraId="48CF44C9">
            <w:pPr>
              <w:spacing w:line="360" w:lineRule="auto"/>
              <w:jc w:val="center"/>
              <w:rPr>
                <w:rFonts w:hint="eastAsia" w:ascii="宋体" w:hAnsi="宋体" w:eastAsia="宋体" w:cs="宋体"/>
                <w:bCs/>
                <w:color w:val="auto"/>
                <w:sz w:val="24"/>
                <w:highlight w:val="none"/>
              </w:rPr>
            </w:pPr>
          </w:p>
        </w:tc>
        <w:tc>
          <w:tcPr>
            <w:tcW w:w="1087" w:type="dxa"/>
            <w:noWrap w:val="0"/>
            <w:vAlign w:val="top"/>
          </w:tcPr>
          <w:p w14:paraId="39167945">
            <w:pPr>
              <w:spacing w:line="360" w:lineRule="auto"/>
              <w:jc w:val="center"/>
              <w:rPr>
                <w:rFonts w:hint="eastAsia" w:ascii="宋体" w:hAnsi="宋体" w:eastAsia="宋体" w:cs="宋体"/>
                <w:bCs/>
                <w:color w:val="auto"/>
                <w:sz w:val="24"/>
                <w:highlight w:val="none"/>
              </w:rPr>
            </w:pPr>
          </w:p>
        </w:tc>
      </w:tr>
      <w:tr w14:paraId="0C502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1A0D3B00">
            <w:pPr>
              <w:spacing w:line="360" w:lineRule="auto"/>
              <w:jc w:val="center"/>
              <w:rPr>
                <w:rFonts w:hint="eastAsia" w:ascii="宋体" w:hAnsi="宋体" w:eastAsia="宋体" w:cs="宋体"/>
                <w:bCs/>
                <w:color w:val="auto"/>
                <w:sz w:val="24"/>
                <w:highlight w:val="none"/>
              </w:rPr>
            </w:pPr>
          </w:p>
        </w:tc>
        <w:tc>
          <w:tcPr>
            <w:tcW w:w="3266" w:type="dxa"/>
            <w:noWrap w:val="0"/>
            <w:vAlign w:val="top"/>
          </w:tcPr>
          <w:p w14:paraId="4431826A">
            <w:pPr>
              <w:spacing w:line="360" w:lineRule="auto"/>
              <w:jc w:val="center"/>
              <w:rPr>
                <w:rFonts w:hint="eastAsia" w:ascii="宋体" w:hAnsi="宋体" w:eastAsia="宋体" w:cs="宋体"/>
                <w:bCs/>
                <w:color w:val="auto"/>
                <w:sz w:val="24"/>
                <w:highlight w:val="none"/>
              </w:rPr>
            </w:pPr>
          </w:p>
        </w:tc>
        <w:tc>
          <w:tcPr>
            <w:tcW w:w="3599" w:type="dxa"/>
            <w:noWrap w:val="0"/>
            <w:vAlign w:val="top"/>
          </w:tcPr>
          <w:p w14:paraId="2B8D620F">
            <w:pPr>
              <w:spacing w:line="360" w:lineRule="auto"/>
              <w:jc w:val="center"/>
              <w:rPr>
                <w:rFonts w:hint="eastAsia" w:ascii="宋体" w:hAnsi="宋体" w:eastAsia="宋体" w:cs="宋体"/>
                <w:bCs/>
                <w:color w:val="auto"/>
                <w:sz w:val="24"/>
                <w:highlight w:val="none"/>
              </w:rPr>
            </w:pPr>
          </w:p>
        </w:tc>
        <w:tc>
          <w:tcPr>
            <w:tcW w:w="1062" w:type="dxa"/>
            <w:noWrap w:val="0"/>
            <w:vAlign w:val="top"/>
          </w:tcPr>
          <w:p w14:paraId="0DAAF400">
            <w:pPr>
              <w:spacing w:line="360" w:lineRule="auto"/>
              <w:jc w:val="center"/>
              <w:rPr>
                <w:rFonts w:hint="eastAsia" w:ascii="宋体" w:hAnsi="宋体" w:eastAsia="宋体" w:cs="宋体"/>
                <w:bCs/>
                <w:color w:val="auto"/>
                <w:sz w:val="24"/>
                <w:highlight w:val="none"/>
              </w:rPr>
            </w:pPr>
          </w:p>
        </w:tc>
        <w:tc>
          <w:tcPr>
            <w:tcW w:w="1087" w:type="dxa"/>
            <w:noWrap w:val="0"/>
            <w:vAlign w:val="top"/>
          </w:tcPr>
          <w:p w14:paraId="77D52566">
            <w:pPr>
              <w:spacing w:line="360" w:lineRule="auto"/>
              <w:jc w:val="center"/>
              <w:rPr>
                <w:rFonts w:hint="eastAsia" w:ascii="宋体" w:hAnsi="宋体" w:eastAsia="宋体" w:cs="宋体"/>
                <w:bCs/>
                <w:color w:val="auto"/>
                <w:sz w:val="24"/>
                <w:highlight w:val="none"/>
              </w:rPr>
            </w:pPr>
          </w:p>
        </w:tc>
      </w:tr>
      <w:tr w14:paraId="71CC8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2AE84584">
            <w:pPr>
              <w:spacing w:line="360" w:lineRule="auto"/>
              <w:jc w:val="center"/>
              <w:rPr>
                <w:rFonts w:hint="eastAsia" w:ascii="宋体" w:hAnsi="宋体" w:eastAsia="宋体" w:cs="宋体"/>
                <w:bCs/>
                <w:color w:val="auto"/>
                <w:sz w:val="24"/>
                <w:highlight w:val="none"/>
              </w:rPr>
            </w:pPr>
          </w:p>
        </w:tc>
        <w:tc>
          <w:tcPr>
            <w:tcW w:w="3266" w:type="dxa"/>
            <w:noWrap w:val="0"/>
            <w:vAlign w:val="top"/>
          </w:tcPr>
          <w:p w14:paraId="51A1DE86">
            <w:pPr>
              <w:spacing w:line="360" w:lineRule="auto"/>
              <w:jc w:val="center"/>
              <w:rPr>
                <w:rFonts w:hint="eastAsia" w:ascii="宋体" w:hAnsi="宋体" w:eastAsia="宋体" w:cs="宋体"/>
                <w:bCs/>
                <w:color w:val="auto"/>
                <w:sz w:val="24"/>
                <w:highlight w:val="none"/>
              </w:rPr>
            </w:pPr>
          </w:p>
        </w:tc>
        <w:tc>
          <w:tcPr>
            <w:tcW w:w="3599" w:type="dxa"/>
            <w:noWrap w:val="0"/>
            <w:vAlign w:val="top"/>
          </w:tcPr>
          <w:p w14:paraId="25754CFC">
            <w:pPr>
              <w:spacing w:line="360" w:lineRule="auto"/>
              <w:jc w:val="center"/>
              <w:rPr>
                <w:rFonts w:hint="eastAsia" w:ascii="宋体" w:hAnsi="宋体" w:eastAsia="宋体" w:cs="宋体"/>
                <w:bCs/>
                <w:color w:val="auto"/>
                <w:sz w:val="24"/>
                <w:highlight w:val="none"/>
              </w:rPr>
            </w:pPr>
          </w:p>
        </w:tc>
        <w:tc>
          <w:tcPr>
            <w:tcW w:w="1062" w:type="dxa"/>
            <w:noWrap w:val="0"/>
            <w:vAlign w:val="top"/>
          </w:tcPr>
          <w:p w14:paraId="0B26B286">
            <w:pPr>
              <w:spacing w:line="360" w:lineRule="auto"/>
              <w:jc w:val="center"/>
              <w:rPr>
                <w:rFonts w:hint="eastAsia" w:ascii="宋体" w:hAnsi="宋体" w:eastAsia="宋体" w:cs="宋体"/>
                <w:bCs/>
                <w:color w:val="auto"/>
                <w:sz w:val="24"/>
                <w:highlight w:val="none"/>
              </w:rPr>
            </w:pPr>
          </w:p>
        </w:tc>
        <w:tc>
          <w:tcPr>
            <w:tcW w:w="1087" w:type="dxa"/>
            <w:noWrap w:val="0"/>
            <w:vAlign w:val="top"/>
          </w:tcPr>
          <w:p w14:paraId="1B09189F">
            <w:pPr>
              <w:spacing w:line="360" w:lineRule="auto"/>
              <w:jc w:val="center"/>
              <w:rPr>
                <w:rFonts w:hint="eastAsia" w:ascii="宋体" w:hAnsi="宋体" w:eastAsia="宋体" w:cs="宋体"/>
                <w:bCs/>
                <w:color w:val="auto"/>
                <w:sz w:val="24"/>
                <w:highlight w:val="none"/>
              </w:rPr>
            </w:pPr>
          </w:p>
        </w:tc>
      </w:tr>
      <w:tr w14:paraId="6A220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52645C39">
            <w:pPr>
              <w:spacing w:line="360" w:lineRule="auto"/>
              <w:jc w:val="center"/>
              <w:rPr>
                <w:rFonts w:hint="eastAsia" w:ascii="宋体" w:hAnsi="宋体" w:eastAsia="宋体" w:cs="宋体"/>
                <w:bCs/>
                <w:color w:val="auto"/>
                <w:sz w:val="24"/>
                <w:highlight w:val="none"/>
              </w:rPr>
            </w:pPr>
          </w:p>
        </w:tc>
        <w:tc>
          <w:tcPr>
            <w:tcW w:w="3266" w:type="dxa"/>
            <w:noWrap w:val="0"/>
            <w:vAlign w:val="top"/>
          </w:tcPr>
          <w:p w14:paraId="410DA93E">
            <w:pPr>
              <w:spacing w:line="360" w:lineRule="auto"/>
              <w:jc w:val="center"/>
              <w:rPr>
                <w:rFonts w:hint="eastAsia" w:ascii="宋体" w:hAnsi="宋体" w:eastAsia="宋体" w:cs="宋体"/>
                <w:bCs/>
                <w:color w:val="auto"/>
                <w:sz w:val="24"/>
                <w:highlight w:val="none"/>
              </w:rPr>
            </w:pPr>
          </w:p>
        </w:tc>
        <w:tc>
          <w:tcPr>
            <w:tcW w:w="3599" w:type="dxa"/>
            <w:noWrap w:val="0"/>
            <w:vAlign w:val="top"/>
          </w:tcPr>
          <w:p w14:paraId="73807712">
            <w:pPr>
              <w:spacing w:line="360" w:lineRule="auto"/>
              <w:jc w:val="center"/>
              <w:rPr>
                <w:rFonts w:hint="eastAsia" w:ascii="宋体" w:hAnsi="宋体" w:eastAsia="宋体" w:cs="宋体"/>
                <w:bCs/>
                <w:color w:val="auto"/>
                <w:sz w:val="24"/>
                <w:highlight w:val="none"/>
              </w:rPr>
            </w:pPr>
          </w:p>
        </w:tc>
        <w:tc>
          <w:tcPr>
            <w:tcW w:w="1062" w:type="dxa"/>
            <w:noWrap w:val="0"/>
            <w:vAlign w:val="top"/>
          </w:tcPr>
          <w:p w14:paraId="5A5260E7">
            <w:pPr>
              <w:spacing w:line="360" w:lineRule="auto"/>
              <w:jc w:val="center"/>
              <w:rPr>
                <w:rFonts w:hint="eastAsia" w:ascii="宋体" w:hAnsi="宋体" w:eastAsia="宋体" w:cs="宋体"/>
                <w:bCs/>
                <w:color w:val="auto"/>
                <w:sz w:val="24"/>
                <w:highlight w:val="none"/>
              </w:rPr>
            </w:pPr>
          </w:p>
        </w:tc>
        <w:tc>
          <w:tcPr>
            <w:tcW w:w="1087" w:type="dxa"/>
            <w:noWrap w:val="0"/>
            <w:vAlign w:val="top"/>
          </w:tcPr>
          <w:p w14:paraId="07BA571F">
            <w:pPr>
              <w:spacing w:line="360" w:lineRule="auto"/>
              <w:jc w:val="center"/>
              <w:rPr>
                <w:rFonts w:hint="eastAsia" w:ascii="宋体" w:hAnsi="宋体" w:eastAsia="宋体" w:cs="宋体"/>
                <w:bCs/>
                <w:color w:val="auto"/>
                <w:sz w:val="24"/>
                <w:highlight w:val="none"/>
              </w:rPr>
            </w:pPr>
          </w:p>
        </w:tc>
      </w:tr>
      <w:tr w14:paraId="1EA18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4D331707">
            <w:pPr>
              <w:spacing w:line="360" w:lineRule="auto"/>
              <w:jc w:val="center"/>
              <w:rPr>
                <w:rFonts w:hint="eastAsia" w:ascii="宋体" w:hAnsi="宋体" w:eastAsia="宋体" w:cs="宋体"/>
                <w:bCs/>
                <w:color w:val="auto"/>
                <w:sz w:val="24"/>
                <w:highlight w:val="none"/>
              </w:rPr>
            </w:pPr>
          </w:p>
        </w:tc>
        <w:tc>
          <w:tcPr>
            <w:tcW w:w="3266" w:type="dxa"/>
            <w:noWrap w:val="0"/>
            <w:vAlign w:val="top"/>
          </w:tcPr>
          <w:p w14:paraId="0D317968">
            <w:pPr>
              <w:spacing w:line="360" w:lineRule="auto"/>
              <w:jc w:val="center"/>
              <w:rPr>
                <w:rFonts w:hint="eastAsia" w:ascii="宋体" w:hAnsi="宋体" w:eastAsia="宋体" w:cs="宋体"/>
                <w:bCs/>
                <w:color w:val="auto"/>
                <w:sz w:val="24"/>
                <w:highlight w:val="none"/>
              </w:rPr>
            </w:pPr>
          </w:p>
        </w:tc>
        <w:tc>
          <w:tcPr>
            <w:tcW w:w="3599" w:type="dxa"/>
            <w:noWrap w:val="0"/>
            <w:vAlign w:val="top"/>
          </w:tcPr>
          <w:p w14:paraId="215594AD">
            <w:pPr>
              <w:spacing w:line="360" w:lineRule="auto"/>
              <w:jc w:val="center"/>
              <w:rPr>
                <w:rFonts w:hint="eastAsia" w:ascii="宋体" w:hAnsi="宋体" w:eastAsia="宋体" w:cs="宋体"/>
                <w:bCs/>
                <w:color w:val="auto"/>
                <w:sz w:val="24"/>
                <w:highlight w:val="none"/>
              </w:rPr>
            </w:pPr>
          </w:p>
        </w:tc>
        <w:tc>
          <w:tcPr>
            <w:tcW w:w="1062" w:type="dxa"/>
            <w:noWrap w:val="0"/>
            <w:vAlign w:val="top"/>
          </w:tcPr>
          <w:p w14:paraId="079DAFAC">
            <w:pPr>
              <w:spacing w:line="360" w:lineRule="auto"/>
              <w:jc w:val="center"/>
              <w:rPr>
                <w:rFonts w:hint="eastAsia" w:ascii="宋体" w:hAnsi="宋体" w:eastAsia="宋体" w:cs="宋体"/>
                <w:bCs/>
                <w:color w:val="auto"/>
                <w:sz w:val="24"/>
                <w:highlight w:val="none"/>
              </w:rPr>
            </w:pPr>
          </w:p>
        </w:tc>
        <w:tc>
          <w:tcPr>
            <w:tcW w:w="1087" w:type="dxa"/>
            <w:noWrap w:val="0"/>
            <w:vAlign w:val="top"/>
          </w:tcPr>
          <w:p w14:paraId="70DE8FB6">
            <w:pPr>
              <w:spacing w:line="360" w:lineRule="auto"/>
              <w:jc w:val="center"/>
              <w:rPr>
                <w:rFonts w:hint="eastAsia" w:ascii="宋体" w:hAnsi="宋体" w:eastAsia="宋体" w:cs="宋体"/>
                <w:bCs/>
                <w:color w:val="auto"/>
                <w:sz w:val="24"/>
                <w:highlight w:val="none"/>
              </w:rPr>
            </w:pPr>
          </w:p>
        </w:tc>
      </w:tr>
      <w:tr w14:paraId="3D13E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076C86D3">
            <w:pPr>
              <w:spacing w:line="360" w:lineRule="auto"/>
              <w:jc w:val="center"/>
              <w:rPr>
                <w:rFonts w:hint="eastAsia" w:ascii="宋体" w:hAnsi="宋体" w:eastAsia="宋体" w:cs="宋体"/>
                <w:bCs/>
                <w:color w:val="auto"/>
                <w:sz w:val="24"/>
                <w:highlight w:val="none"/>
              </w:rPr>
            </w:pPr>
          </w:p>
        </w:tc>
        <w:tc>
          <w:tcPr>
            <w:tcW w:w="3266" w:type="dxa"/>
            <w:noWrap w:val="0"/>
            <w:vAlign w:val="top"/>
          </w:tcPr>
          <w:p w14:paraId="06FCB070">
            <w:pPr>
              <w:spacing w:line="360" w:lineRule="auto"/>
              <w:jc w:val="center"/>
              <w:rPr>
                <w:rFonts w:hint="eastAsia" w:ascii="宋体" w:hAnsi="宋体" w:eastAsia="宋体" w:cs="宋体"/>
                <w:bCs/>
                <w:color w:val="auto"/>
                <w:sz w:val="24"/>
                <w:highlight w:val="none"/>
              </w:rPr>
            </w:pPr>
          </w:p>
        </w:tc>
        <w:tc>
          <w:tcPr>
            <w:tcW w:w="3599" w:type="dxa"/>
            <w:noWrap w:val="0"/>
            <w:vAlign w:val="top"/>
          </w:tcPr>
          <w:p w14:paraId="5C885066">
            <w:pPr>
              <w:spacing w:line="360" w:lineRule="auto"/>
              <w:jc w:val="center"/>
              <w:rPr>
                <w:rFonts w:hint="eastAsia" w:ascii="宋体" w:hAnsi="宋体" w:eastAsia="宋体" w:cs="宋体"/>
                <w:bCs/>
                <w:color w:val="auto"/>
                <w:sz w:val="24"/>
                <w:highlight w:val="none"/>
              </w:rPr>
            </w:pPr>
          </w:p>
        </w:tc>
        <w:tc>
          <w:tcPr>
            <w:tcW w:w="1062" w:type="dxa"/>
            <w:noWrap w:val="0"/>
            <w:vAlign w:val="top"/>
          </w:tcPr>
          <w:p w14:paraId="2B32D0BF">
            <w:pPr>
              <w:spacing w:line="360" w:lineRule="auto"/>
              <w:jc w:val="center"/>
              <w:rPr>
                <w:rFonts w:hint="eastAsia" w:ascii="宋体" w:hAnsi="宋体" w:eastAsia="宋体" w:cs="宋体"/>
                <w:bCs/>
                <w:color w:val="auto"/>
                <w:sz w:val="24"/>
                <w:highlight w:val="none"/>
              </w:rPr>
            </w:pPr>
          </w:p>
        </w:tc>
        <w:tc>
          <w:tcPr>
            <w:tcW w:w="1087" w:type="dxa"/>
            <w:noWrap w:val="0"/>
            <w:vAlign w:val="top"/>
          </w:tcPr>
          <w:p w14:paraId="0B5E22BD">
            <w:pPr>
              <w:spacing w:line="360" w:lineRule="auto"/>
              <w:jc w:val="center"/>
              <w:rPr>
                <w:rFonts w:hint="eastAsia" w:ascii="宋体" w:hAnsi="宋体" w:eastAsia="宋体" w:cs="宋体"/>
                <w:bCs/>
                <w:color w:val="auto"/>
                <w:sz w:val="24"/>
                <w:highlight w:val="none"/>
              </w:rPr>
            </w:pPr>
          </w:p>
        </w:tc>
      </w:tr>
      <w:tr w14:paraId="38521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53D9A265">
            <w:pPr>
              <w:spacing w:line="360" w:lineRule="auto"/>
              <w:jc w:val="center"/>
              <w:rPr>
                <w:rFonts w:hint="eastAsia" w:ascii="宋体" w:hAnsi="宋体" w:eastAsia="宋体" w:cs="宋体"/>
                <w:bCs/>
                <w:color w:val="auto"/>
                <w:sz w:val="24"/>
                <w:highlight w:val="none"/>
              </w:rPr>
            </w:pPr>
          </w:p>
        </w:tc>
        <w:tc>
          <w:tcPr>
            <w:tcW w:w="3266" w:type="dxa"/>
            <w:noWrap w:val="0"/>
            <w:vAlign w:val="top"/>
          </w:tcPr>
          <w:p w14:paraId="07782679">
            <w:pPr>
              <w:spacing w:line="360" w:lineRule="auto"/>
              <w:jc w:val="center"/>
              <w:rPr>
                <w:rFonts w:hint="eastAsia" w:ascii="宋体" w:hAnsi="宋体" w:eastAsia="宋体" w:cs="宋体"/>
                <w:bCs/>
                <w:color w:val="auto"/>
                <w:sz w:val="24"/>
                <w:highlight w:val="none"/>
              </w:rPr>
            </w:pPr>
          </w:p>
        </w:tc>
        <w:tc>
          <w:tcPr>
            <w:tcW w:w="3599" w:type="dxa"/>
            <w:noWrap w:val="0"/>
            <w:vAlign w:val="top"/>
          </w:tcPr>
          <w:p w14:paraId="0720718A">
            <w:pPr>
              <w:spacing w:line="360" w:lineRule="auto"/>
              <w:jc w:val="center"/>
              <w:rPr>
                <w:rFonts w:hint="eastAsia" w:ascii="宋体" w:hAnsi="宋体" w:eastAsia="宋体" w:cs="宋体"/>
                <w:bCs/>
                <w:color w:val="auto"/>
                <w:sz w:val="24"/>
                <w:highlight w:val="none"/>
              </w:rPr>
            </w:pPr>
          </w:p>
        </w:tc>
        <w:tc>
          <w:tcPr>
            <w:tcW w:w="1062" w:type="dxa"/>
            <w:noWrap w:val="0"/>
            <w:vAlign w:val="top"/>
          </w:tcPr>
          <w:p w14:paraId="074C9547">
            <w:pPr>
              <w:spacing w:line="360" w:lineRule="auto"/>
              <w:jc w:val="center"/>
              <w:rPr>
                <w:rFonts w:hint="eastAsia" w:ascii="宋体" w:hAnsi="宋体" w:eastAsia="宋体" w:cs="宋体"/>
                <w:bCs/>
                <w:color w:val="auto"/>
                <w:sz w:val="24"/>
                <w:highlight w:val="none"/>
              </w:rPr>
            </w:pPr>
          </w:p>
        </w:tc>
        <w:tc>
          <w:tcPr>
            <w:tcW w:w="1087" w:type="dxa"/>
            <w:noWrap w:val="0"/>
            <w:vAlign w:val="top"/>
          </w:tcPr>
          <w:p w14:paraId="3C49047E">
            <w:pPr>
              <w:spacing w:line="360" w:lineRule="auto"/>
              <w:jc w:val="center"/>
              <w:rPr>
                <w:rFonts w:hint="eastAsia" w:ascii="宋体" w:hAnsi="宋体" w:eastAsia="宋体" w:cs="宋体"/>
                <w:bCs/>
                <w:color w:val="auto"/>
                <w:sz w:val="24"/>
                <w:highlight w:val="none"/>
              </w:rPr>
            </w:pPr>
          </w:p>
        </w:tc>
      </w:tr>
      <w:tr w14:paraId="3CDC8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836" w:type="dxa"/>
            <w:noWrap w:val="0"/>
            <w:vAlign w:val="top"/>
          </w:tcPr>
          <w:p w14:paraId="5A634BA8">
            <w:pPr>
              <w:spacing w:line="360" w:lineRule="auto"/>
              <w:jc w:val="center"/>
              <w:rPr>
                <w:rFonts w:hint="eastAsia" w:ascii="宋体" w:hAnsi="宋体" w:eastAsia="宋体" w:cs="宋体"/>
                <w:bCs/>
                <w:color w:val="auto"/>
                <w:sz w:val="24"/>
                <w:highlight w:val="none"/>
              </w:rPr>
            </w:pPr>
          </w:p>
        </w:tc>
        <w:tc>
          <w:tcPr>
            <w:tcW w:w="3266" w:type="dxa"/>
            <w:noWrap w:val="0"/>
            <w:vAlign w:val="top"/>
          </w:tcPr>
          <w:p w14:paraId="3836690D">
            <w:pPr>
              <w:spacing w:line="360" w:lineRule="auto"/>
              <w:jc w:val="center"/>
              <w:rPr>
                <w:rFonts w:hint="eastAsia" w:ascii="宋体" w:hAnsi="宋体" w:eastAsia="宋体" w:cs="宋体"/>
                <w:bCs/>
                <w:color w:val="auto"/>
                <w:sz w:val="24"/>
                <w:highlight w:val="none"/>
              </w:rPr>
            </w:pPr>
          </w:p>
        </w:tc>
        <w:tc>
          <w:tcPr>
            <w:tcW w:w="3599" w:type="dxa"/>
            <w:noWrap w:val="0"/>
            <w:vAlign w:val="top"/>
          </w:tcPr>
          <w:p w14:paraId="019999B5">
            <w:pPr>
              <w:spacing w:line="360" w:lineRule="auto"/>
              <w:jc w:val="center"/>
              <w:rPr>
                <w:rFonts w:hint="eastAsia" w:ascii="宋体" w:hAnsi="宋体" w:eastAsia="宋体" w:cs="宋体"/>
                <w:bCs/>
                <w:color w:val="auto"/>
                <w:sz w:val="24"/>
                <w:highlight w:val="none"/>
              </w:rPr>
            </w:pPr>
          </w:p>
        </w:tc>
        <w:tc>
          <w:tcPr>
            <w:tcW w:w="1062" w:type="dxa"/>
            <w:noWrap w:val="0"/>
            <w:vAlign w:val="top"/>
          </w:tcPr>
          <w:p w14:paraId="4057D562">
            <w:pPr>
              <w:spacing w:line="360" w:lineRule="auto"/>
              <w:jc w:val="center"/>
              <w:rPr>
                <w:rFonts w:hint="eastAsia" w:ascii="宋体" w:hAnsi="宋体" w:eastAsia="宋体" w:cs="宋体"/>
                <w:bCs/>
                <w:color w:val="auto"/>
                <w:sz w:val="24"/>
                <w:highlight w:val="none"/>
              </w:rPr>
            </w:pPr>
          </w:p>
        </w:tc>
        <w:tc>
          <w:tcPr>
            <w:tcW w:w="1087" w:type="dxa"/>
            <w:noWrap w:val="0"/>
            <w:vAlign w:val="top"/>
          </w:tcPr>
          <w:p w14:paraId="086483EB">
            <w:pPr>
              <w:spacing w:line="360" w:lineRule="auto"/>
              <w:jc w:val="center"/>
              <w:rPr>
                <w:rFonts w:hint="eastAsia" w:ascii="宋体" w:hAnsi="宋体" w:eastAsia="宋体" w:cs="宋体"/>
                <w:bCs/>
                <w:color w:val="auto"/>
                <w:sz w:val="24"/>
                <w:highlight w:val="none"/>
              </w:rPr>
            </w:pPr>
          </w:p>
        </w:tc>
      </w:tr>
    </w:tbl>
    <w:p w14:paraId="7E07D00C">
      <w:pPr>
        <w:adjustRightInd w:val="0"/>
        <w:snapToGrid w:val="0"/>
        <w:spacing w:line="360" w:lineRule="auto"/>
        <w:rPr>
          <w:rFonts w:hint="eastAsia" w:ascii="宋体" w:hAnsi="宋体" w:eastAsia="宋体" w:cs="宋体"/>
          <w:bCs/>
          <w:color w:val="auto"/>
          <w:sz w:val="24"/>
          <w:highlight w:val="none"/>
        </w:rPr>
      </w:pPr>
    </w:p>
    <w:p w14:paraId="648B4406">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szCs w:val="24"/>
          <w:highlight w:val="none"/>
        </w:rPr>
        <w:t>说明：</w:t>
      </w:r>
      <w:r>
        <w:rPr>
          <w:rFonts w:hint="eastAsia" w:ascii="宋体" w:hAnsi="宋体" w:eastAsia="宋体" w:cs="宋体"/>
          <w:bCs/>
          <w:color w:val="auto"/>
          <w:sz w:val="24"/>
          <w:highlight w:val="none"/>
        </w:rPr>
        <w:t>投标文件根据竞争性谈判文件商务要求须如实填写。</w:t>
      </w:r>
    </w:p>
    <w:p w14:paraId="6E439228">
      <w:pPr>
        <w:pStyle w:val="8"/>
        <w:ind w:left="630" w:leftChars="300"/>
        <w:rPr>
          <w:rFonts w:hint="eastAsia" w:ascii="宋体" w:hAnsi="宋体" w:eastAsia="宋体" w:cs="宋体"/>
          <w:bCs/>
          <w:color w:val="auto"/>
          <w:highlight w:val="none"/>
        </w:rPr>
      </w:pPr>
    </w:p>
    <w:p w14:paraId="55FC7F03">
      <w:pPr>
        <w:rPr>
          <w:rFonts w:hint="eastAsia" w:ascii="宋体" w:hAnsi="宋体" w:eastAsia="宋体" w:cs="宋体"/>
          <w:bCs/>
          <w:color w:val="auto"/>
          <w:highlight w:val="none"/>
        </w:rPr>
      </w:pPr>
    </w:p>
    <w:p w14:paraId="62134959">
      <w:pPr>
        <w:spacing w:line="360" w:lineRule="auto"/>
        <w:rPr>
          <w:rFonts w:hint="eastAsia" w:ascii="宋体" w:hAnsi="宋体" w:eastAsia="宋体" w:cs="宋体"/>
          <w:bCs/>
          <w:color w:val="auto"/>
          <w:sz w:val="24"/>
          <w:highlight w:val="none"/>
        </w:rPr>
      </w:pPr>
    </w:p>
    <w:p w14:paraId="7F606CF2">
      <w:pPr>
        <w:spacing w:line="360" w:lineRule="auto"/>
        <w:ind w:right="-161" w:firstLine="2640" w:firstLineChars="110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法定代表人或被授权代表（签字或盖章）：</w:t>
      </w:r>
      <w:r>
        <w:rPr>
          <w:rFonts w:hint="eastAsia" w:ascii="宋体" w:hAnsi="宋体" w:eastAsia="宋体" w:cs="宋体"/>
          <w:bCs/>
          <w:color w:val="auto"/>
          <w:sz w:val="24"/>
          <w:szCs w:val="24"/>
          <w:highlight w:val="none"/>
          <w:u w:val="single"/>
        </w:rPr>
        <w:t xml:space="preserve">                          </w:t>
      </w:r>
    </w:p>
    <w:p w14:paraId="50C3CCBA">
      <w:pPr>
        <w:spacing w:line="360" w:lineRule="auto"/>
        <w:ind w:right="-161" w:firstLine="2640" w:firstLineChars="11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    应    商 （公   章）：</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4A999295">
      <w:pPr>
        <w:spacing w:line="360" w:lineRule="auto"/>
        <w:ind w:right="-161" w:firstLine="2640" w:firstLineChars="1100"/>
        <w:rPr>
          <w:rFonts w:hint="eastAsia" w:ascii="宋体" w:hAnsi="宋体" w:eastAsia="宋体" w:cs="宋体"/>
          <w:bCs/>
          <w:color w:val="auto"/>
          <w:szCs w:val="32"/>
          <w:highlight w:val="none"/>
        </w:rPr>
      </w:pPr>
      <w:r>
        <w:rPr>
          <w:rFonts w:hint="eastAsia" w:ascii="宋体" w:hAnsi="宋体" w:eastAsia="宋体" w:cs="宋体"/>
          <w:bCs/>
          <w:color w:val="auto"/>
          <w:sz w:val="24"/>
          <w:szCs w:val="24"/>
          <w:highlight w:val="none"/>
        </w:rPr>
        <w:t>日                      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5CB6D9EE">
      <w:pPr>
        <w:jc w:val="center"/>
        <w:rPr>
          <w:rFonts w:hint="eastAsia" w:ascii="宋体" w:hAnsi="宋体" w:eastAsia="宋体" w:cs="宋体"/>
          <w:bCs/>
          <w:color w:val="auto"/>
          <w:sz w:val="32"/>
          <w:szCs w:val="32"/>
          <w:highlight w:val="none"/>
        </w:rPr>
        <w:sectPr>
          <w:pgSz w:w="11906" w:h="16838"/>
          <w:pgMar w:top="1440" w:right="1080" w:bottom="1440" w:left="1080" w:header="720" w:footer="1134" w:gutter="0"/>
          <w:pgNumType w:fmt="decimal"/>
          <w:cols w:space="720" w:num="1"/>
          <w:titlePg/>
          <w:docGrid w:type="lines" w:linePitch="312" w:charSpace="0"/>
        </w:sectPr>
      </w:pPr>
    </w:p>
    <w:p w14:paraId="3932B6F9">
      <w:pPr>
        <w:spacing w:line="360" w:lineRule="auto"/>
        <w:jc w:val="center"/>
        <w:rPr>
          <w:rFonts w:hint="eastAsia" w:ascii="宋体" w:hAnsi="宋体" w:eastAsia="宋体" w:cs="宋体"/>
          <w:b w:val="0"/>
          <w:bCs/>
          <w:color w:val="auto"/>
          <w:kern w:val="0"/>
          <w:sz w:val="32"/>
          <w:highlight w:val="none"/>
          <w:lang w:val="en-US" w:eastAsia="zh-CN" w:bidi="ar-SA"/>
        </w:rPr>
      </w:pPr>
      <w:bookmarkStart w:id="624" w:name="_Toc16173"/>
      <w:bookmarkStart w:id="625" w:name="_Toc15209"/>
      <w:bookmarkStart w:id="626" w:name="_Toc1183"/>
      <w:bookmarkStart w:id="627" w:name="_Toc5043"/>
      <w:bookmarkStart w:id="628" w:name="_Toc11797"/>
      <w:r>
        <w:rPr>
          <w:rFonts w:hint="eastAsia" w:ascii="宋体" w:hAnsi="宋体" w:eastAsia="宋体" w:cs="宋体"/>
          <w:b w:val="0"/>
          <w:bCs/>
          <w:color w:val="auto"/>
          <w:kern w:val="0"/>
          <w:sz w:val="32"/>
          <w:highlight w:val="none"/>
          <w:lang w:val="en-US" w:eastAsia="zh-CN" w:bidi="ar-SA"/>
        </w:rPr>
        <w:t>七、法定代表人证明书及法定代表人授权委托书</w:t>
      </w:r>
      <w:bookmarkEnd w:id="624"/>
      <w:bookmarkEnd w:id="625"/>
      <w:bookmarkEnd w:id="626"/>
      <w:bookmarkEnd w:id="627"/>
      <w:bookmarkEnd w:id="628"/>
    </w:p>
    <w:p w14:paraId="57818EA7">
      <w:pPr>
        <w:pStyle w:val="3"/>
        <w:adjustRightInd w:val="0"/>
        <w:spacing w:line="360" w:lineRule="exact"/>
        <w:jc w:val="center"/>
        <w:textAlignment w:val="baseline"/>
        <w:rPr>
          <w:rFonts w:hint="eastAsia" w:ascii="宋体" w:hAnsi="宋体" w:eastAsia="宋体" w:cs="宋体"/>
          <w:b w:val="0"/>
          <w:bCs/>
          <w:color w:val="auto"/>
          <w:szCs w:val="22"/>
          <w:highlight w:val="none"/>
        </w:rPr>
      </w:pPr>
      <w:bookmarkStart w:id="629" w:name="_Toc14427"/>
      <w:bookmarkStart w:id="630" w:name="_Toc17914"/>
      <w:bookmarkStart w:id="631" w:name="_Toc21390"/>
      <w:bookmarkStart w:id="632" w:name="_Toc17776"/>
      <w:bookmarkStart w:id="633" w:name="_Toc3768"/>
      <w:r>
        <w:rPr>
          <w:rFonts w:hint="eastAsia" w:ascii="宋体" w:hAnsi="宋体" w:eastAsia="宋体" w:cs="宋体"/>
          <w:b w:val="0"/>
          <w:bCs/>
          <w:color w:val="auto"/>
          <w:szCs w:val="22"/>
          <w:highlight w:val="none"/>
          <w:lang w:val="en-US" w:eastAsia="zh-CN"/>
        </w:rPr>
        <w:t>7</w:t>
      </w:r>
      <w:r>
        <w:rPr>
          <w:rFonts w:hint="eastAsia" w:ascii="宋体" w:hAnsi="宋体" w:eastAsia="宋体" w:cs="宋体"/>
          <w:b w:val="0"/>
          <w:bCs/>
          <w:color w:val="auto"/>
          <w:szCs w:val="22"/>
          <w:highlight w:val="none"/>
        </w:rPr>
        <w:t>.1法定代表人证明书</w:t>
      </w:r>
      <w:bookmarkEnd w:id="629"/>
      <w:bookmarkEnd w:id="630"/>
      <w:bookmarkEnd w:id="631"/>
      <w:bookmarkEnd w:id="632"/>
      <w:bookmarkEnd w:id="633"/>
    </w:p>
    <w:tbl>
      <w:tblPr>
        <w:tblStyle w:val="24"/>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5"/>
        <w:gridCol w:w="2234"/>
        <w:gridCol w:w="2234"/>
        <w:gridCol w:w="187"/>
        <w:gridCol w:w="2230"/>
        <w:gridCol w:w="2190"/>
      </w:tblGrid>
      <w:tr w14:paraId="6F70E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660" w:type="dxa"/>
            <w:gridSpan w:val="6"/>
            <w:noWrap w:val="0"/>
            <w:vAlign w:val="center"/>
          </w:tcPr>
          <w:p w14:paraId="47C11EC6">
            <w:pPr>
              <w:tabs>
                <w:tab w:val="left" w:pos="210"/>
              </w:tabs>
              <w:spacing w:line="320" w:lineRule="exact"/>
              <w:rPr>
                <w:rFonts w:hint="eastAsia" w:ascii="宋体" w:hAnsi="宋体" w:eastAsia="宋体" w:cs="宋体"/>
                <w:bCs/>
                <w:color w:val="auto"/>
                <w:kern w:val="0"/>
                <w:sz w:val="24"/>
                <w:highlight w:val="none"/>
                <w:lang w:eastAsia="zh-CN"/>
              </w:rPr>
            </w:pPr>
            <w:r>
              <w:rPr>
                <w:rFonts w:hint="eastAsia" w:ascii="宋体" w:hAnsi="宋体" w:eastAsia="宋体" w:cs="宋体"/>
                <w:bCs/>
                <w:color w:val="auto"/>
                <w:kern w:val="0"/>
                <w:sz w:val="24"/>
                <w:highlight w:val="none"/>
              </w:rPr>
              <w:t>致：</w:t>
            </w:r>
            <w:r>
              <w:rPr>
                <w:rFonts w:hint="eastAsia" w:ascii="宋体" w:hAnsi="宋体" w:eastAsia="宋体" w:cs="宋体"/>
                <w:bCs/>
                <w:color w:val="auto"/>
                <w:kern w:val="0"/>
                <w:sz w:val="24"/>
                <w:highlight w:val="none"/>
                <w:lang w:eastAsia="zh-CN"/>
              </w:rPr>
              <w:t>鹏泽项目管理有限公司</w:t>
            </w:r>
          </w:p>
        </w:tc>
      </w:tr>
      <w:tr w14:paraId="0A206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585" w:type="dxa"/>
            <w:vMerge w:val="restart"/>
            <w:noWrap w:val="0"/>
            <w:vAlign w:val="center"/>
          </w:tcPr>
          <w:p w14:paraId="1CBF7376">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企</w:t>
            </w:r>
          </w:p>
          <w:p w14:paraId="2291A886">
            <w:pPr>
              <w:tabs>
                <w:tab w:val="left" w:pos="210"/>
              </w:tabs>
              <w:spacing w:line="320" w:lineRule="exact"/>
              <w:jc w:val="center"/>
              <w:rPr>
                <w:rFonts w:hint="eastAsia" w:ascii="宋体" w:hAnsi="宋体" w:eastAsia="宋体" w:cs="宋体"/>
                <w:bCs/>
                <w:color w:val="auto"/>
                <w:kern w:val="0"/>
                <w:sz w:val="24"/>
                <w:highlight w:val="none"/>
              </w:rPr>
            </w:pPr>
          </w:p>
          <w:p w14:paraId="391480BF">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业</w:t>
            </w:r>
          </w:p>
          <w:p w14:paraId="7926E111">
            <w:pPr>
              <w:tabs>
                <w:tab w:val="left" w:pos="210"/>
              </w:tabs>
              <w:spacing w:line="320" w:lineRule="exact"/>
              <w:jc w:val="center"/>
              <w:rPr>
                <w:rFonts w:hint="eastAsia" w:ascii="宋体" w:hAnsi="宋体" w:eastAsia="宋体" w:cs="宋体"/>
                <w:bCs/>
                <w:color w:val="auto"/>
                <w:kern w:val="0"/>
                <w:sz w:val="24"/>
                <w:highlight w:val="none"/>
              </w:rPr>
            </w:pPr>
          </w:p>
          <w:p w14:paraId="2E8CEA53">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法</w:t>
            </w:r>
          </w:p>
          <w:p w14:paraId="3C7BFD28">
            <w:pPr>
              <w:tabs>
                <w:tab w:val="left" w:pos="210"/>
              </w:tabs>
              <w:spacing w:line="320" w:lineRule="exact"/>
              <w:jc w:val="center"/>
              <w:rPr>
                <w:rFonts w:hint="eastAsia" w:ascii="宋体" w:hAnsi="宋体" w:eastAsia="宋体" w:cs="宋体"/>
                <w:bCs/>
                <w:color w:val="auto"/>
                <w:kern w:val="0"/>
                <w:sz w:val="24"/>
                <w:highlight w:val="none"/>
              </w:rPr>
            </w:pPr>
          </w:p>
          <w:p w14:paraId="244D12F7">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人</w:t>
            </w:r>
          </w:p>
        </w:tc>
        <w:tc>
          <w:tcPr>
            <w:tcW w:w="2234" w:type="dxa"/>
            <w:noWrap w:val="0"/>
            <w:vAlign w:val="center"/>
          </w:tcPr>
          <w:p w14:paraId="5E046B3F">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企业名称</w:t>
            </w:r>
          </w:p>
        </w:tc>
        <w:tc>
          <w:tcPr>
            <w:tcW w:w="6841" w:type="dxa"/>
            <w:gridSpan w:val="4"/>
            <w:noWrap w:val="0"/>
            <w:vAlign w:val="center"/>
          </w:tcPr>
          <w:p w14:paraId="2C9A7F01">
            <w:pPr>
              <w:tabs>
                <w:tab w:val="left" w:pos="210"/>
              </w:tabs>
              <w:spacing w:line="320" w:lineRule="exact"/>
              <w:jc w:val="center"/>
              <w:rPr>
                <w:rFonts w:hint="eastAsia" w:ascii="宋体" w:hAnsi="宋体" w:eastAsia="宋体" w:cs="宋体"/>
                <w:bCs/>
                <w:color w:val="auto"/>
                <w:kern w:val="0"/>
                <w:sz w:val="24"/>
                <w:highlight w:val="none"/>
              </w:rPr>
            </w:pPr>
          </w:p>
        </w:tc>
      </w:tr>
      <w:tr w14:paraId="229E7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585" w:type="dxa"/>
            <w:vMerge w:val="continue"/>
            <w:noWrap w:val="0"/>
            <w:vAlign w:val="center"/>
          </w:tcPr>
          <w:p w14:paraId="39333B9F">
            <w:pPr>
              <w:tabs>
                <w:tab w:val="left" w:pos="210"/>
              </w:tabs>
              <w:spacing w:line="320" w:lineRule="exact"/>
              <w:jc w:val="center"/>
              <w:rPr>
                <w:rFonts w:hint="eastAsia" w:ascii="宋体" w:hAnsi="宋体" w:eastAsia="宋体" w:cs="宋体"/>
                <w:bCs/>
                <w:color w:val="auto"/>
                <w:kern w:val="0"/>
                <w:sz w:val="24"/>
                <w:highlight w:val="none"/>
              </w:rPr>
            </w:pPr>
          </w:p>
        </w:tc>
        <w:tc>
          <w:tcPr>
            <w:tcW w:w="2234" w:type="dxa"/>
            <w:noWrap w:val="0"/>
            <w:vAlign w:val="center"/>
          </w:tcPr>
          <w:p w14:paraId="4C679231">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法定地址</w:t>
            </w:r>
          </w:p>
        </w:tc>
        <w:tc>
          <w:tcPr>
            <w:tcW w:w="6841" w:type="dxa"/>
            <w:gridSpan w:val="4"/>
            <w:noWrap w:val="0"/>
            <w:vAlign w:val="center"/>
          </w:tcPr>
          <w:p w14:paraId="48CB01AB">
            <w:pPr>
              <w:tabs>
                <w:tab w:val="left" w:pos="210"/>
              </w:tabs>
              <w:spacing w:line="320" w:lineRule="exact"/>
              <w:jc w:val="center"/>
              <w:rPr>
                <w:rFonts w:hint="eastAsia" w:ascii="宋体" w:hAnsi="宋体" w:eastAsia="宋体" w:cs="宋体"/>
                <w:bCs/>
                <w:color w:val="auto"/>
                <w:kern w:val="0"/>
                <w:sz w:val="24"/>
                <w:highlight w:val="none"/>
              </w:rPr>
            </w:pPr>
          </w:p>
        </w:tc>
      </w:tr>
      <w:tr w14:paraId="3273C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585" w:type="dxa"/>
            <w:vMerge w:val="continue"/>
            <w:noWrap w:val="0"/>
            <w:vAlign w:val="center"/>
          </w:tcPr>
          <w:p w14:paraId="0785C165">
            <w:pPr>
              <w:tabs>
                <w:tab w:val="left" w:pos="210"/>
              </w:tabs>
              <w:spacing w:line="320" w:lineRule="exact"/>
              <w:jc w:val="center"/>
              <w:rPr>
                <w:rFonts w:hint="eastAsia" w:ascii="宋体" w:hAnsi="宋体" w:eastAsia="宋体" w:cs="宋体"/>
                <w:bCs/>
                <w:color w:val="auto"/>
                <w:kern w:val="0"/>
                <w:sz w:val="24"/>
                <w:highlight w:val="none"/>
              </w:rPr>
            </w:pPr>
          </w:p>
        </w:tc>
        <w:tc>
          <w:tcPr>
            <w:tcW w:w="2234" w:type="dxa"/>
            <w:noWrap w:val="0"/>
            <w:vAlign w:val="center"/>
          </w:tcPr>
          <w:p w14:paraId="3EAF4444">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邮政编码</w:t>
            </w:r>
          </w:p>
        </w:tc>
        <w:tc>
          <w:tcPr>
            <w:tcW w:w="6841" w:type="dxa"/>
            <w:gridSpan w:val="4"/>
            <w:noWrap w:val="0"/>
            <w:vAlign w:val="center"/>
          </w:tcPr>
          <w:p w14:paraId="4F2D99E6">
            <w:pPr>
              <w:tabs>
                <w:tab w:val="left" w:pos="210"/>
              </w:tabs>
              <w:spacing w:line="320" w:lineRule="exact"/>
              <w:jc w:val="center"/>
              <w:rPr>
                <w:rFonts w:hint="eastAsia" w:ascii="宋体" w:hAnsi="宋体" w:eastAsia="宋体" w:cs="宋体"/>
                <w:bCs/>
                <w:color w:val="auto"/>
                <w:kern w:val="0"/>
                <w:sz w:val="24"/>
                <w:highlight w:val="none"/>
              </w:rPr>
            </w:pPr>
          </w:p>
        </w:tc>
      </w:tr>
      <w:tr w14:paraId="75710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585" w:type="dxa"/>
            <w:vMerge w:val="continue"/>
            <w:noWrap w:val="0"/>
            <w:vAlign w:val="center"/>
          </w:tcPr>
          <w:p w14:paraId="1DE62ADB">
            <w:pPr>
              <w:tabs>
                <w:tab w:val="left" w:pos="210"/>
              </w:tabs>
              <w:spacing w:line="320" w:lineRule="exact"/>
              <w:jc w:val="center"/>
              <w:rPr>
                <w:rFonts w:hint="eastAsia" w:ascii="宋体" w:hAnsi="宋体" w:eastAsia="宋体" w:cs="宋体"/>
                <w:bCs/>
                <w:color w:val="auto"/>
                <w:kern w:val="0"/>
                <w:sz w:val="24"/>
                <w:highlight w:val="none"/>
              </w:rPr>
            </w:pPr>
          </w:p>
        </w:tc>
        <w:tc>
          <w:tcPr>
            <w:tcW w:w="2234" w:type="dxa"/>
            <w:noWrap w:val="0"/>
            <w:vAlign w:val="center"/>
          </w:tcPr>
          <w:p w14:paraId="078A635B">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工商登记机关</w:t>
            </w:r>
          </w:p>
        </w:tc>
        <w:tc>
          <w:tcPr>
            <w:tcW w:w="6841" w:type="dxa"/>
            <w:gridSpan w:val="4"/>
            <w:noWrap w:val="0"/>
            <w:vAlign w:val="center"/>
          </w:tcPr>
          <w:p w14:paraId="6683D226">
            <w:pPr>
              <w:tabs>
                <w:tab w:val="left" w:pos="210"/>
              </w:tabs>
              <w:spacing w:line="320" w:lineRule="exact"/>
              <w:jc w:val="center"/>
              <w:rPr>
                <w:rFonts w:hint="eastAsia" w:ascii="宋体" w:hAnsi="宋体" w:eastAsia="宋体" w:cs="宋体"/>
                <w:bCs/>
                <w:color w:val="auto"/>
                <w:kern w:val="0"/>
                <w:sz w:val="24"/>
                <w:highlight w:val="none"/>
              </w:rPr>
            </w:pPr>
          </w:p>
        </w:tc>
      </w:tr>
      <w:tr w14:paraId="08A3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585" w:type="dxa"/>
            <w:vMerge w:val="continue"/>
            <w:noWrap w:val="0"/>
            <w:vAlign w:val="center"/>
          </w:tcPr>
          <w:p w14:paraId="54EE623D">
            <w:pPr>
              <w:tabs>
                <w:tab w:val="left" w:pos="210"/>
              </w:tabs>
              <w:spacing w:line="320" w:lineRule="exact"/>
              <w:jc w:val="center"/>
              <w:rPr>
                <w:rFonts w:hint="eastAsia" w:ascii="宋体" w:hAnsi="宋体" w:eastAsia="宋体" w:cs="宋体"/>
                <w:bCs/>
                <w:color w:val="auto"/>
                <w:kern w:val="0"/>
                <w:sz w:val="24"/>
                <w:highlight w:val="none"/>
              </w:rPr>
            </w:pPr>
          </w:p>
        </w:tc>
        <w:tc>
          <w:tcPr>
            <w:tcW w:w="2234" w:type="dxa"/>
            <w:noWrap w:val="0"/>
            <w:vAlign w:val="center"/>
          </w:tcPr>
          <w:p w14:paraId="6656D773">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税务登记机关</w:t>
            </w:r>
          </w:p>
        </w:tc>
        <w:tc>
          <w:tcPr>
            <w:tcW w:w="6841" w:type="dxa"/>
            <w:gridSpan w:val="4"/>
            <w:noWrap w:val="0"/>
            <w:vAlign w:val="center"/>
          </w:tcPr>
          <w:p w14:paraId="201DF167">
            <w:pPr>
              <w:tabs>
                <w:tab w:val="left" w:pos="210"/>
              </w:tabs>
              <w:spacing w:line="320" w:lineRule="exact"/>
              <w:jc w:val="center"/>
              <w:rPr>
                <w:rFonts w:hint="eastAsia" w:ascii="宋体" w:hAnsi="宋体" w:eastAsia="宋体" w:cs="宋体"/>
                <w:bCs/>
                <w:color w:val="auto"/>
                <w:kern w:val="0"/>
                <w:sz w:val="24"/>
                <w:highlight w:val="none"/>
              </w:rPr>
            </w:pPr>
          </w:p>
        </w:tc>
      </w:tr>
      <w:tr w14:paraId="426E7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585" w:type="dxa"/>
            <w:vMerge w:val="continue"/>
            <w:noWrap w:val="0"/>
            <w:vAlign w:val="center"/>
          </w:tcPr>
          <w:p w14:paraId="08903FE5">
            <w:pPr>
              <w:tabs>
                <w:tab w:val="left" w:pos="210"/>
              </w:tabs>
              <w:spacing w:line="320" w:lineRule="exact"/>
              <w:jc w:val="center"/>
              <w:rPr>
                <w:rFonts w:hint="eastAsia" w:ascii="宋体" w:hAnsi="宋体" w:eastAsia="宋体" w:cs="宋体"/>
                <w:bCs/>
                <w:color w:val="auto"/>
                <w:kern w:val="0"/>
                <w:sz w:val="24"/>
                <w:highlight w:val="none"/>
              </w:rPr>
            </w:pPr>
          </w:p>
        </w:tc>
        <w:tc>
          <w:tcPr>
            <w:tcW w:w="2234" w:type="dxa"/>
            <w:noWrap w:val="0"/>
            <w:vAlign w:val="center"/>
          </w:tcPr>
          <w:p w14:paraId="05BF7917">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机构代码证号</w:t>
            </w:r>
          </w:p>
        </w:tc>
        <w:tc>
          <w:tcPr>
            <w:tcW w:w="6841" w:type="dxa"/>
            <w:gridSpan w:val="4"/>
            <w:noWrap w:val="0"/>
            <w:vAlign w:val="center"/>
          </w:tcPr>
          <w:p w14:paraId="2340F065">
            <w:pPr>
              <w:tabs>
                <w:tab w:val="left" w:pos="210"/>
              </w:tabs>
              <w:spacing w:line="320" w:lineRule="exact"/>
              <w:jc w:val="center"/>
              <w:rPr>
                <w:rFonts w:hint="eastAsia" w:ascii="宋体" w:hAnsi="宋体" w:eastAsia="宋体" w:cs="宋体"/>
                <w:bCs/>
                <w:color w:val="auto"/>
                <w:kern w:val="0"/>
                <w:sz w:val="24"/>
                <w:highlight w:val="none"/>
              </w:rPr>
            </w:pPr>
          </w:p>
        </w:tc>
      </w:tr>
      <w:tr w14:paraId="0A723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585" w:type="dxa"/>
            <w:vMerge w:val="restart"/>
            <w:noWrap w:val="0"/>
            <w:vAlign w:val="center"/>
          </w:tcPr>
          <w:p w14:paraId="7FC35F12">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法定代表人</w:t>
            </w:r>
          </w:p>
        </w:tc>
        <w:tc>
          <w:tcPr>
            <w:tcW w:w="2234" w:type="dxa"/>
            <w:noWrap w:val="0"/>
            <w:vAlign w:val="center"/>
          </w:tcPr>
          <w:p w14:paraId="79D83CD8">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姓名</w:t>
            </w:r>
          </w:p>
        </w:tc>
        <w:tc>
          <w:tcPr>
            <w:tcW w:w="2421" w:type="dxa"/>
            <w:gridSpan w:val="2"/>
            <w:noWrap w:val="0"/>
            <w:vAlign w:val="center"/>
          </w:tcPr>
          <w:p w14:paraId="1950222B">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（签名）</w:t>
            </w:r>
          </w:p>
        </w:tc>
        <w:tc>
          <w:tcPr>
            <w:tcW w:w="2230" w:type="dxa"/>
            <w:noWrap w:val="0"/>
            <w:vAlign w:val="center"/>
          </w:tcPr>
          <w:p w14:paraId="4DAC2500">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性别</w:t>
            </w:r>
          </w:p>
        </w:tc>
        <w:tc>
          <w:tcPr>
            <w:tcW w:w="2190" w:type="dxa"/>
            <w:noWrap w:val="0"/>
            <w:vAlign w:val="center"/>
          </w:tcPr>
          <w:p w14:paraId="3F643265">
            <w:pPr>
              <w:tabs>
                <w:tab w:val="left" w:pos="210"/>
              </w:tabs>
              <w:spacing w:line="320" w:lineRule="exact"/>
              <w:jc w:val="center"/>
              <w:rPr>
                <w:rFonts w:hint="eastAsia" w:ascii="宋体" w:hAnsi="宋体" w:eastAsia="宋体" w:cs="宋体"/>
                <w:bCs/>
                <w:color w:val="auto"/>
                <w:kern w:val="0"/>
                <w:sz w:val="24"/>
                <w:highlight w:val="none"/>
              </w:rPr>
            </w:pPr>
          </w:p>
        </w:tc>
      </w:tr>
      <w:tr w14:paraId="4FFC0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585" w:type="dxa"/>
            <w:vMerge w:val="continue"/>
            <w:noWrap w:val="0"/>
            <w:vAlign w:val="center"/>
          </w:tcPr>
          <w:p w14:paraId="16D6424E">
            <w:pPr>
              <w:tabs>
                <w:tab w:val="left" w:pos="210"/>
              </w:tabs>
              <w:spacing w:line="320" w:lineRule="exact"/>
              <w:jc w:val="center"/>
              <w:rPr>
                <w:rFonts w:hint="eastAsia" w:ascii="宋体" w:hAnsi="宋体" w:eastAsia="宋体" w:cs="宋体"/>
                <w:bCs/>
                <w:color w:val="auto"/>
                <w:kern w:val="0"/>
                <w:sz w:val="24"/>
                <w:highlight w:val="none"/>
              </w:rPr>
            </w:pPr>
          </w:p>
        </w:tc>
        <w:tc>
          <w:tcPr>
            <w:tcW w:w="2234" w:type="dxa"/>
            <w:noWrap w:val="0"/>
            <w:vAlign w:val="center"/>
          </w:tcPr>
          <w:p w14:paraId="63E035E7">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职务</w:t>
            </w:r>
          </w:p>
        </w:tc>
        <w:tc>
          <w:tcPr>
            <w:tcW w:w="2421" w:type="dxa"/>
            <w:gridSpan w:val="2"/>
            <w:noWrap w:val="0"/>
            <w:vAlign w:val="center"/>
          </w:tcPr>
          <w:p w14:paraId="1229AC30">
            <w:pPr>
              <w:tabs>
                <w:tab w:val="left" w:pos="210"/>
              </w:tabs>
              <w:spacing w:line="320" w:lineRule="exact"/>
              <w:jc w:val="center"/>
              <w:rPr>
                <w:rFonts w:hint="eastAsia" w:ascii="宋体" w:hAnsi="宋体" w:eastAsia="宋体" w:cs="宋体"/>
                <w:bCs/>
                <w:color w:val="auto"/>
                <w:kern w:val="0"/>
                <w:sz w:val="24"/>
                <w:highlight w:val="none"/>
              </w:rPr>
            </w:pPr>
          </w:p>
        </w:tc>
        <w:tc>
          <w:tcPr>
            <w:tcW w:w="2230" w:type="dxa"/>
            <w:noWrap w:val="0"/>
            <w:vAlign w:val="center"/>
          </w:tcPr>
          <w:p w14:paraId="608E4687">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联系电话</w:t>
            </w:r>
          </w:p>
        </w:tc>
        <w:tc>
          <w:tcPr>
            <w:tcW w:w="2190" w:type="dxa"/>
            <w:noWrap w:val="0"/>
            <w:vAlign w:val="center"/>
          </w:tcPr>
          <w:p w14:paraId="43A1317F">
            <w:pPr>
              <w:tabs>
                <w:tab w:val="left" w:pos="210"/>
              </w:tabs>
              <w:spacing w:line="320" w:lineRule="exact"/>
              <w:jc w:val="center"/>
              <w:rPr>
                <w:rFonts w:hint="eastAsia" w:ascii="宋体" w:hAnsi="宋体" w:eastAsia="宋体" w:cs="宋体"/>
                <w:bCs/>
                <w:color w:val="auto"/>
                <w:kern w:val="0"/>
                <w:sz w:val="24"/>
                <w:highlight w:val="none"/>
              </w:rPr>
            </w:pPr>
          </w:p>
        </w:tc>
      </w:tr>
      <w:tr w14:paraId="48639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585" w:type="dxa"/>
            <w:vMerge w:val="continue"/>
            <w:noWrap w:val="0"/>
            <w:vAlign w:val="center"/>
          </w:tcPr>
          <w:p w14:paraId="60529769">
            <w:pPr>
              <w:tabs>
                <w:tab w:val="left" w:pos="210"/>
              </w:tabs>
              <w:spacing w:line="320" w:lineRule="exact"/>
              <w:jc w:val="center"/>
              <w:rPr>
                <w:rFonts w:hint="eastAsia" w:ascii="宋体" w:hAnsi="宋体" w:eastAsia="宋体" w:cs="宋体"/>
                <w:bCs/>
                <w:color w:val="auto"/>
                <w:kern w:val="0"/>
                <w:sz w:val="24"/>
                <w:highlight w:val="none"/>
              </w:rPr>
            </w:pPr>
          </w:p>
        </w:tc>
        <w:tc>
          <w:tcPr>
            <w:tcW w:w="2234" w:type="dxa"/>
            <w:noWrap w:val="0"/>
            <w:vAlign w:val="center"/>
          </w:tcPr>
          <w:p w14:paraId="77B5EDE8">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传真</w:t>
            </w:r>
          </w:p>
        </w:tc>
        <w:tc>
          <w:tcPr>
            <w:tcW w:w="6841" w:type="dxa"/>
            <w:gridSpan w:val="4"/>
            <w:noWrap w:val="0"/>
            <w:vAlign w:val="center"/>
          </w:tcPr>
          <w:p w14:paraId="734CA8E9">
            <w:pPr>
              <w:tabs>
                <w:tab w:val="left" w:pos="210"/>
              </w:tabs>
              <w:spacing w:line="320" w:lineRule="exact"/>
              <w:jc w:val="center"/>
              <w:rPr>
                <w:rFonts w:hint="eastAsia" w:ascii="宋体" w:hAnsi="宋体" w:eastAsia="宋体" w:cs="宋体"/>
                <w:bCs/>
                <w:color w:val="auto"/>
                <w:kern w:val="0"/>
                <w:sz w:val="24"/>
                <w:highlight w:val="none"/>
              </w:rPr>
            </w:pPr>
          </w:p>
        </w:tc>
      </w:tr>
      <w:tr w14:paraId="05D99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0" w:hRule="atLeast"/>
          <w:jc w:val="center"/>
        </w:trPr>
        <w:tc>
          <w:tcPr>
            <w:tcW w:w="5053" w:type="dxa"/>
            <w:gridSpan w:val="3"/>
            <w:vMerge w:val="restart"/>
            <w:noWrap w:val="0"/>
            <w:vAlign w:val="center"/>
          </w:tcPr>
          <w:p w14:paraId="6C4728FA">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法定代表人身份证（正反面）复印件</w:t>
            </w:r>
          </w:p>
        </w:tc>
        <w:tc>
          <w:tcPr>
            <w:tcW w:w="4607" w:type="dxa"/>
            <w:gridSpan w:val="3"/>
            <w:noWrap w:val="0"/>
            <w:vAlign w:val="center"/>
          </w:tcPr>
          <w:p w14:paraId="0ECA88D9">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法定代表人</w:t>
            </w:r>
            <w:r>
              <w:rPr>
                <w:rFonts w:hint="eastAsia" w:ascii="宋体" w:hAnsi="宋体" w:eastAsia="宋体" w:cs="宋体"/>
                <w:bCs/>
                <w:color w:val="auto"/>
                <w:sz w:val="24"/>
                <w:szCs w:val="24"/>
                <w:highlight w:val="none"/>
              </w:rPr>
              <w:t>（签字或盖章）</w:t>
            </w:r>
          </w:p>
        </w:tc>
      </w:tr>
      <w:tr w14:paraId="7BBBD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4" w:hRule="atLeast"/>
          <w:jc w:val="center"/>
        </w:trPr>
        <w:tc>
          <w:tcPr>
            <w:tcW w:w="5053" w:type="dxa"/>
            <w:gridSpan w:val="3"/>
            <w:vMerge w:val="continue"/>
            <w:tcBorders>
              <w:bottom w:val="single" w:color="auto" w:sz="4" w:space="0"/>
            </w:tcBorders>
            <w:noWrap w:val="0"/>
            <w:vAlign w:val="center"/>
          </w:tcPr>
          <w:p w14:paraId="5087F76A">
            <w:pPr>
              <w:tabs>
                <w:tab w:val="left" w:pos="210"/>
              </w:tabs>
              <w:spacing w:line="320" w:lineRule="exact"/>
              <w:jc w:val="center"/>
              <w:rPr>
                <w:rFonts w:hint="eastAsia" w:ascii="宋体" w:hAnsi="宋体" w:eastAsia="宋体" w:cs="宋体"/>
                <w:bCs/>
                <w:color w:val="auto"/>
                <w:kern w:val="0"/>
                <w:sz w:val="24"/>
                <w:highlight w:val="none"/>
              </w:rPr>
            </w:pPr>
          </w:p>
        </w:tc>
        <w:tc>
          <w:tcPr>
            <w:tcW w:w="4607" w:type="dxa"/>
            <w:gridSpan w:val="3"/>
            <w:tcBorders>
              <w:bottom w:val="single" w:color="auto" w:sz="4" w:space="0"/>
            </w:tcBorders>
            <w:noWrap w:val="0"/>
            <w:vAlign w:val="bottom"/>
          </w:tcPr>
          <w:p w14:paraId="1E2FA8CE">
            <w:pPr>
              <w:tabs>
                <w:tab w:val="left" w:pos="210"/>
              </w:tabs>
              <w:spacing w:line="320" w:lineRule="exact"/>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（公章）</w:t>
            </w:r>
          </w:p>
          <w:p w14:paraId="5895A69B">
            <w:pPr>
              <w:tabs>
                <w:tab w:val="left" w:pos="210"/>
              </w:tabs>
              <w:spacing w:line="320" w:lineRule="exact"/>
              <w:jc w:val="center"/>
              <w:rPr>
                <w:rFonts w:hint="eastAsia" w:ascii="宋体" w:hAnsi="宋体" w:eastAsia="宋体" w:cs="宋体"/>
                <w:bCs/>
                <w:color w:val="auto"/>
                <w:kern w:val="0"/>
                <w:sz w:val="24"/>
                <w:highlight w:val="none"/>
              </w:rPr>
            </w:pPr>
          </w:p>
          <w:p w14:paraId="73BD6904">
            <w:pPr>
              <w:tabs>
                <w:tab w:val="left" w:pos="210"/>
              </w:tabs>
              <w:spacing w:line="320" w:lineRule="exact"/>
              <w:jc w:val="center"/>
              <w:rPr>
                <w:rFonts w:hint="eastAsia" w:ascii="宋体" w:hAnsi="宋体" w:eastAsia="宋体" w:cs="宋体"/>
                <w:bCs/>
                <w:color w:val="auto"/>
                <w:kern w:val="0"/>
                <w:sz w:val="24"/>
                <w:highlight w:val="none"/>
              </w:rPr>
            </w:pPr>
          </w:p>
          <w:p w14:paraId="587F5B3A">
            <w:pPr>
              <w:tabs>
                <w:tab w:val="left" w:pos="210"/>
              </w:tabs>
              <w:spacing w:line="320" w:lineRule="exact"/>
              <w:jc w:val="center"/>
              <w:rPr>
                <w:rFonts w:hint="eastAsia" w:ascii="宋体" w:hAnsi="宋体" w:eastAsia="宋体" w:cs="宋体"/>
                <w:bCs/>
                <w:color w:val="auto"/>
                <w:kern w:val="0"/>
                <w:sz w:val="24"/>
                <w:highlight w:val="none"/>
              </w:rPr>
            </w:pPr>
          </w:p>
          <w:p w14:paraId="53248201">
            <w:pPr>
              <w:tabs>
                <w:tab w:val="left" w:pos="210"/>
              </w:tabs>
              <w:spacing w:line="320" w:lineRule="exact"/>
              <w:jc w:val="righ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 xml:space="preserve">年  月  日 </w:t>
            </w:r>
          </w:p>
        </w:tc>
      </w:tr>
    </w:tbl>
    <w:p w14:paraId="4D5C44F6">
      <w:pPr>
        <w:pStyle w:val="3"/>
        <w:adjustRightInd w:val="0"/>
        <w:spacing w:line="360" w:lineRule="auto"/>
        <w:jc w:val="center"/>
        <w:textAlignment w:val="baseline"/>
        <w:rPr>
          <w:rFonts w:hint="eastAsia" w:ascii="宋体" w:hAnsi="宋体" w:eastAsia="宋体" w:cs="宋体"/>
          <w:b w:val="0"/>
          <w:bCs/>
          <w:color w:val="auto"/>
          <w:szCs w:val="22"/>
          <w:highlight w:val="none"/>
        </w:rPr>
        <w:sectPr>
          <w:pgSz w:w="11906" w:h="16838"/>
          <w:pgMar w:top="1440" w:right="1080" w:bottom="1440" w:left="1080" w:header="1020" w:footer="1191" w:gutter="0"/>
          <w:pgNumType w:fmt="decimal"/>
          <w:cols w:space="720" w:num="1"/>
          <w:titlePg/>
          <w:docGrid w:type="lines" w:linePitch="312" w:charSpace="0"/>
        </w:sectPr>
      </w:pPr>
    </w:p>
    <w:p w14:paraId="081F2EAA">
      <w:pPr>
        <w:pStyle w:val="3"/>
        <w:adjustRightInd w:val="0"/>
        <w:spacing w:line="360" w:lineRule="auto"/>
        <w:jc w:val="center"/>
        <w:textAlignment w:val="baseline"/>
        <w:rPr>
          <w:rFonts w:hint="eastAsia" w:ascii="宋体" w:hAnsi="宋体" w:eastAsia="宋体" w:cs="宋体"/>
          <w:b w:val="0"/>
          <w:bCs/>
          <w:color w:val="auto"/>
          <w:sz w:val="24"/>
          <w:szCs w:val="24"/>
          <w:highlight w:val="none"/>
        </w:rPr>
      </w:pPr>
      <w:bookmarkStart w:id="634" w:name="_Toc30292"/>
      <w:bookmarkStart w:id="635" w:name="_Toc10664"/>
      <w:bookmarkStart w:id="636" w:name="_Toc16863"/>
      <w:bookmarkStart w:id="637" w:name="_Toc14866"/>
      <w:bookmarkStart w:id="638" w:name="_Toc19215"/>
      <w:r>
        <w:rPr>
          <w:rFonts w:hint="eastAsia" w:ascii="宋体" w:hAnsi="宋体" w:eastAsia="宋体" w:cs="宋体"/>
          <w:b w:val="0"/>
          <w:bCs/>
          <w:color w:val="auto"/>
          <w:szCs w:val="22"/>
          <w:highlight w:val="none"/>
          <w:lang w:val="en-US" w:eastAsia="zh-CN"/>
        </w:rPr>
        <w:t>7</w:t>
      </w:r>
      <w:r>
        <w:rPr>
          <w:rFonts w:hint="eastAsia" w:ascii="宋体" w:hAnsi="宋体" w:eastAsia="宋体" w:cs="宋体"/>
          <w:b w:val="0"/>
          <w:bCs/>
          <w:color w:val="auto"/>
          <w:szCs w:val="22"/>
          <w:highlight w:val="none"/>
        </w:rPr>
        <w:t>.2法定代表人授权委托书</w:t>
      </w:r>
      <w:bookmarkEnd w:id="634"/>
      <w:bookmarkEnd w:id="635"/>
      <w:bookmarkEnd w:id="636"/>
      <w:bookmarkEnd w:id="637"/>
      <w:bookmarkEnd w:id="638"/>
    </w:p>
    <w:p w14:paraId="73DC214B">
      <w:pPr>
        <w:tabs>
          <w:tab w:val="left" w:pos="8820"/>
        </w:tabs>
        <w:spacing w:line="480" w:lineRule="auto"/>
        <w:ind w:firstLine="57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本授权委托书声明：我</w:t>
      </w:r>
      <w:r>
        <w:rPr>
          <w:rFonts w:hint="eastAsia" w:ascii="宋体" w:hAnsi="宋体" w:eastAsia="宋体" w:cs="宋体"/>
          <w:bCs/>
          <w:color w:val="auto"/>
          <w:sz w:val="24"/>
          <w:szCs w:val="24"/>
          <w:highlight w:val="none"/>
          <w:u w:val="single"/>
        </w:rPr>
        <w:t>（法定代表人姓名）</w:t>
      </w:r>
      <w:r>
        <w:rPr>
          <w:rFonts w:hint="eastAsia" w:ascii="宋体" w:hAnsi="宋体" w:eastAsia="宋体" w:cs="宋体"/>
          <w:bCs/>
          <w:color w:val="auto"/>
          <w:sz w:val="24"/>
          <w:szCs w:val="24"/>
          <w:highlight w:val="none"/>
        </w:rPr>
        <w:t>系注册于</w:t>
      </w:r>
      <w:r>
        <w:rPr>
          <w:rFonts w:hint="eastAsia" w:ascii="宋体" w:hAnsi="宋体" w:eastAsia="宋体" w:cs="宋体"/>
          <w:bCs/>
          <w:color w:val="auto"/>
          <w:sz w:val="24"/>
          <w:szCs w:val="24"/>
          <w:highlight w:val="none"/>
          <w:u w:val="single"/>
        </w:rPr>
        <w:t xml:space="preserve">  （供应商地址）           </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u w:val="single"/>
        </w:rPr>
        <w:t xml:space="preserve">（供应商名称）  </w:t>
      </w:r>
      <w:r>
        <w:rPr>
          <w:rFonts w:hint="eastAsia" w:ascii="宋体" w:hAnsi="宋体" w:eastAsia="宋体" w:cs="宋体"/>
          <w:bCs/>
          <w:color w:val="auto"/>
          <w:sz w:val="24"/>
          <w:szCs w:val="24"/>
          <w:highlight w:val="none"/>
        </w:rPr>
        <w:t>的法定代表人，现代表公司授权下面签字的</w:t>
      </w:r>
      <w:r>
        <w:rPr>
          <w:rFonts w:hint="eastAsia" w:ascii="宋体" w:hAnsi="宋体" w:eastAsia="宋体" w:cs="宋体"/>
          <w:bCs/>
          <w:color w:val="auto"/>
          <w:sz w:val="24"/>
          <w:szCs w:val="24"/>
          <w:highlight w:val="none"/>
          <w:u w:val="single"/>
        </w:rPr>
        <w:t>（被授权人的姓名、职务）</w:t>
      </w:r>
      <w:r>
        <w:rPr>
          <w:rFonts w:hint="eastAsia" w:ascii="宋体" w:hAnsi="宋体" w:eastAsia="宋体" w:cs="宋体"/>
          <w:bCs/>
          <w:color w:val="auto"/>
          <w:sz w:val="24"/>
          <w:szCs w:val="24"/>
          <w:highlight w:val="none"/>
        </w:rPr>
        <w:t>为我公司合法代理人，代表本公司参加</w:t>
      </w:r>
      <w:r>
        <w:rPr>
          <w:rFonts w:hint="eastAsia" w:ascii="宋体" w:hAnsi="宋体" w:eastAsia="宋体" w:cs="宋体"/>
          <w:bCs/>
          <w:color w:val="auto"/>
          <w:sz w:val="24"/>
          <w:szCs w:val="24"/>
          <w:highlight w:val="none"/>
          <w:u w:val="single"/>
        </w:rPr>
        <w:t xml:space="preserve">  （采购项目名称） (</w:t>
      </w:r>
      <w:r>
        <w:rPr>
          <w:rFonts w:hint="eastAsia" w:ascii="宋体" w:hAnsi="宋体" w:eastAsia="宋体" w:cs="宋体"/>
          <w:bCs/>
          <w:color w:val="auto"/>
          <w:sz w:val="24"/>
          <w:szCs w:val="24"/>
          <w:highlight w:val="none"/>
        </w:rPr>
        <w:t>采购项目编号)为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的谈判活动。代理人在本次谈判中所签署的一切文件和处理的一切有关事宜，我公司均予承认。</w:t>
      </w:r>
    </w:p>
    <w:p w14:paraId="2C76CBBD">
      <w:pPr>
        <w:spacing w:line="48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本授权书于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日签字（盖章）生效，有效期自谈判之日起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天，特此声明。</w:t>
      </w:r>
    </w:p>
    <w:p w14:paraId="2F69F6C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bookmarkStart w:id="639" w:name="_Toc25728"/>
      <w:r>
        <w:rPr>
          <w:rFonts w:hint="eastAsia" w:ascii="宋体" w:hAnsi="宋体" w:eastAsia="宋体" w:cs="宋体"/>
          <w:bCs/>
          <w:color w:val="auto"/>
          <w:sz w:val="24"/>
          <w:szCs w:val="24"/>
          <w:highlight w:val="none"/>
        </w:rPr>
        <w:t>附：法定代表人、被授权人身份证复印件。（注：如使用二代身份证需复印正、反两面）</w:t>
      </w:r>
      <w:bookmarkEnd w:id="639"/>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6"/>
        <w:gridCol w:w="4350"/>
      </w:tblGrid>
      <w:tr w14:paraId="6F3DE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6" w:hRule="atLeast"/>
          <w:jc w:val="center"/>
        </w:trPr>
        <w:tc>
          <w:tcPr>
            <w:tcW w:w="4276" w:type="dxa"/>
            <w:tcBorders>
              <w:top w:val="single" w:color="auto" w:sz="4" w:space="0"/>
              <w:left w:val="single" w:color="auto" w:sz="4" w:space="0"/>
              <w:bottom w:val="single" w:color="auto" w:sz="4" w:space="0"/>
              <w:right w:val="single" w:color="auto" w:sz="4" w:space="0"/>
            </w:tcBorders>
            <w:noWrap w:val="0"/>
            <w:vAlign w:val="center"/>
          </w:tcPr>
          <w:p w14:paraId="5716B7ED">
            <w:pPr>
              <w:spacing w:line="360" w:lineRule="auto"/>
              <w:jc w:val="center"/>
              <w:rPr>
                <w:rFonts w:hint="eastAsia" w:ascii="宋体" w:hAnsi="宋体" w:eastAsia="宋体" w:cs="宋体"/>
                <w:bCs/>
                <w:color w:val="auto"/>
                <w:sz w:val="24"/>
                <w:szCs w:val="24"/>
                <w:highlight w:val="none"/>
              </w:rPr>
            </w:pPr>
          </w:p>
          <w:p w14:paraId="3AEB0E67">
            <w:pPr>
              <w:spacing w:line="360" w:lineRule="auto"/>
              <w:jc w:val="center"/>
              <w:rPr>
                <w:rFonts w:hint="eastAsia" w:ascii="宋体" w:hAnsi="宋体" w:eastAsia="宋体" w:cs="宋体"/>
                <w:bCs/>
                <w:color w:val="auto"/>
                <w:sz w:val="24"/>
                <w:szCs w:val="24"/>
                <w:highlight w:val="none"/>
              </w:rPr>
            </w:pPr>
            <w:bookmarkStart w:id="640" w:name="_Toc12402"/>
            <w:r>
              <w:rPr>
                <w:rFonts w:hint="eastAsia" w:ascii="宋体" w:hAnsi="宋体" w:eastAsia="宋体" w:cs="宋体"/>
                <w:bCs/>
                <w:color w:val="auto"/>
                <w:sz w:val="24"/>
                <w:szCs w:val="24"/>
                <w:highlight w:val="none"/>
              </w:rPr>
              <w:t>法定代表人身份证复印件</w:t>
            </w:r>
            <w:bookmarkEnd w:id="640"/>
          </w:p>
          <w:p w14:paraId="1DA2C0A2">
            <w:pPr>
              <w:spacing w:line="360" w:lineRule="auto"/>
              <w:jc w:val="center"/>
              <w:rPr>
                <w:rFonts w:hint="eastAsia" w:ascii="宋体" w:hAnsi="宋体" w:eastAsia="宋体" w:cs="宋体"/>
                <w:bCs/>
                <w:color w:val="auto"/>
                <w:sz w:val="24"/>
                <w:szCs w:val="24"/>
                <w:highlight w:val="none"/>
              </w:rPr>
            </w:pPr>
          </w:p>
        </w:tc>
        <w:tc>
          <w:tcPr>
            <w:tcW w:w="4350" w:type="dxa"/>
            <w:tcBorders>
              <w:left w:val="single" w:color="auto" w:sz="4" w:space="0"/>
            </w:tcBorders>
            <w:noWrap w:val="0"/>
            <w:vAlign w:val="center"/>
          </w:tcPr>
          <w:p w14:paraId="4525E9ED">
            <w:pPr>
              <w:spacing w:line="360" w:lineRule="auto"/>
              <w:jc w:val="center"/>
              <w:rPr>
                <w:rFonts w:hint="eastAsia" w:ascii="宋体" w:hAnsi="宋体" w:eastAsia="宋体" w:cs="宋体"/>
                <w:bCs/>
                <w:color w:val="auto"/>
                <w:sz w:val="24"/>
                <w:szCs w:val="24"/>
                <w:highlight w:val="none"/>
              </w:rPr>
            </w:pPr>
            <w:bookmarkStart w:id="641" w:name="_Toc14557"/>
            <w:r>
              <w:rPr>
                <w:rFonts w:hint="eastAsia" w:ascii="宋体" w:hAnsi="宋体" w:eastAsia="宋体" w:cs="宋体"/>
                <w:bCs/>
                <w:color w:val="auto"/>
                <w:sz w:val="24"/>
                <w:szCs w:val="24"/>
                <w:highlight w:val="none"/>
              </w:rPr>
              <w:t>被授权人身份证复印件</w:t>
            </w:r>
            <w:bookmarkEnd w:id="641"/>
          </w:p>
        </w:tc>
      </w:tr>
      <w:tr w14:paraId="11B3E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3" w:hRule="atLeast"/>
          <w:jc w:val="center"/>
        </w:trPr>
        <w:tc>
          <w:tcPr>
            <w:tcW w:w="4276" w:type="dxa"/>
            <w:tcBorders>
              <w:top w:val="single" w:color="auto" w:sz="4" w:space="0"/>
              <w:left w:val="single" w:color="auto" w:sz="4" w:space="0"/>
              <w:bottom w:val="single" w:color="auto" w:sz="4" w:space="0"/>
              <w:right w:val="single" w:color="auto" w:sz="4" w:space="0"/>
            </w:tcBorders>
            <w:noWrap w:val="0"/>
            <w:vAlign w:val="center"/>
          </w:tcPr>
          <w:p w14:paraId="085E99AF">
            <w:pPr>
              <w:spacing w:line="360" w:lineRule="auto"/>
              <w:jc w:val="center"/>
              <w:rPr>
                <w:rFonts w:hint="eastAsia" w:ascii="宋体" w:hAnsi="宋体" w:eastAsia="宋体" w:cs="宋体"/>
                <w:bCs/>
                <w:color w:val="auto"/>
                <w:sz w:val="24"/>
                <w:szCs w:val="24"/>
                <w:highlight w:val="none"/>
              </w:rPr>
            </w:pPr>
            <w:bookmarkStart w:id="642" w:name="_Toc12556"/>
            <w:r>
              <w:rPr>
                <w:rFonts w:hint="eastAsia" w:ascii="宋体" w:hAnsi="宋体" w:eastAsia="宋体" w:cs="宋体"/>
                <w:bCs/>
                <w:color w:val="auto"/>
                <w:sz w:val="24"/>
                <w:szCs w:val="24"/>
                <w:highlight w:val="none"/>
              </w:rPr>
              <w:t>法定代表人身份证复印件</w:t>
            </w:r>
            <w:bookmarkEnd w:id="642"/>
          </w:p>
          <w:p w14:paraId="20AF2E02">
            <w:pPr>
              <w:spacing w:line="360" w:lineRule="auto"/>
              <w:jc w:val="center"/>
              <w:rPr>
                <w:rFonts w:hint="eastAsia" w:ascii="宋体" w:hAnsi="宋体" w:eastAsia="宋体" w:cs="宋体"/>
                <w:bCs/>
                <w:color w:val="auto"/>
                <w:sz w:val="24"/>
                <w:szCs w:val="24"/>
                <w:highlight w:val="none"/>
              </w:rPr>
            </w:pPr>
          </w:p>
        </w:tc>
        <w:tc>
          <w:tcPr>
            <w:tcW w:w="4350" w:type="dxa"/>
            <w:tcBorders>
              <w:left w:val="single" w:color="auto" w:sz="4" w:space="0"/>
            </w:tcBorders>
            <w:noWrap w:val="0"/>
            <w:vAlign w:val="center"/>
          </w:tcPr>
          <w:p w14:paraId="25FB2386">
            <w:pPr>
              <w:spacing w:line="360" w:lineRule="auto"/>
              <w:jc w:val="center"/>
              <w:rPr>
                <w:rFonts w:hint="eastAsia" w:ascii="宋体" w:hAnsi="宋体" w:eastAsia="宋体" w:cs="宋体"/>
                <w:bCs/>
                <w:color w:val="auto"/>
                <w:sz w:val="24"/>
                <w:szCs w:val="24"/>
                <w:highlight w:val="none"/>
              </w:rPr>
            </w:pPr>
            <w:bookmarkStart w:id="643" w:name="_Toc20892"/>
            <w:r>
              <w:rPr>
                <w:rFonts w:hint="eastAsia" w:ascii="宋体" w:hAnsi="宋体" w:eastAsia="宋体" w:cs="宋体"/>
                <w:bCs/>
                <w:color w:val="auto"/>
                <w:sz w:val="24"/>
                <w:szCs w:val="24"/>
                <w:highlight w:val="none"/>
              </w:rPr>
              <w:t>被授权人身份证复印件</w:t>
            </w:r>
            <w:bookmarkEnd w:id="643"/>
          </w:p>
          <w:p w14:paraId="5631ED6B">
            <w:pPr>
              <w:spacing w:line="360" w:lineRule="auto"/>
              <w:jc w:val="center"/>
              <w:rPr>
                <w:rFonts w:hint="eastAsia" w:ascii="宋体" w:hAnsi="宋体" w:eastAsia="宋体" w:cs="宋体"/>
                <w:bCs/>
                <w:color w:val="auto"/>
                <w:sz w:val="24"/>
                <w:szCs w:val="24"/>
                <w:highlight w:val="none"/>
              </w:rPr>
            </w:pPr>
          </w:p>
        </w:tc>
      </w:tr>
    </w:tbl>
    <w:p w14:paraId="4AFD4650">
      <w:pPr>
        <w:spacing w:line="360" w:lineRule="auto"/>
        <w:ind w:left="360" w:firstLine="480" w:firstLineChars="200"/>
        <w:jc w:val="left"/>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注：此授权书的有效期应与竞争性谈判响应文件有效期一致。身份证正反面复印件必须依次加盖单位鲜章，否则视为无效。</w:t>
      </w:r>
    </w:p>
    <w:p w14:paraId="58D9D86E">
      <w:pPr>
        <w:spacing w:line="360" w:lineRule="auto"/>
        <w:ind w:firstLine="3360" w:firstLineChars="14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（公章）</w:t>
      </w:r>
    </w:p>
    <w:p w14:paraId="332F1D98">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法定代表人（签字并盖章）：</w:t>
      </w:r>
      <w:r>
        <w:rPr>
          <w:rFonts w:hint="eastAsia" w:ascii="宋体" w:hAnsi="宋体" w:eastAsia="宋体" w:cs="宋体"/>
          <w:bCs/>
          <w:color w:val="auto"/>
          <w:sz w:val="24"/>
          <w:szCs w:val="24"/>
          <w:highlight w:val="none"/>
          <w:u w:val="single"/>
        </w:rPr>
        <w:t xml:space="preserve">                  </w:t>
      </w:r>
    </w:p>
    <w:p w14:paraId="0AA35F6E">
      <w:pPr>
        <w:spacing w:line="360" w:lineRule="auto"/>
        <w:rPr>
          <w:rFonts w:hint="eastAsia" w:ascii="宋体" w:hAnsi="宋体" w:eastAsia="宋体" w:cs="宋体"/>
          <w:bCs/>
          <w:color w:val="auto"/>
          <w:sz w:val="32"/>
          <w:highlight w:val="none"/>
        </w:rPr>
      </w:pPr>
    </w:p>
    <w:p w14:paraId="1E3BF5BE">
      <w:pPr>
        <w:pStyle w:val="3"/>
        <w:jc w:val="center"/>
        <w:rPr>
          <w:rFonts w:hint="eastAsia" w:ascii="宋体" w:hAnsi="宋体" w:eastAsia="宋体" w:cs="宋体"/>
          <w:b w:val="0"/>
          <w:bCs/>
          <w:color w:val="auto"/>
          <w:highlight w:val="none"/>
        </w:rPr>
        <w:sectPr>
          <w:pgSz w:w="11906" w:h="16838"/>
          <w:pgMar w:top="1440" w:right="1080" w:bottom="1440" w:left="1080" w:header="720" w:footer="1134" w:gutter="0"/>
          <w:pgNumType w:fmt="decimal"/>
          <w:cols w:space="720" w:num="1"/>
          <w:titlePg/>
          <w:docGrid w:type="lines" w:linePitch="312" w:charSpace="0"/>
        </w:sectPr>
      </w:pPr>
    </w:p>
    <w:p w14:paraId="792120B7">
      <w:pPr>
        <w:spacing w:line="360" w:lineRule="auto"/>
        <w:jc w:val="center"/>
        <w:rPr>
          <w:rFonts w:hint="eastAsia" w:ascii="宋体" w:hAnsi="宋体" w:eastAsia="宋体" w:cs="宋体"/>
          <w:b w:val="0"/>
          <w:bCs/>
          <w:color w:val="auto"/>
          <w:kern w:val="0"/>
          <w:sz w:val="32"/>
          <w:highlight w:val="none"/>
          <w:lang w:val="en-US" w:eastAsia="zh-CN" w:bidi="ar-SA"/>
        </w:rPr>
      </w:pPr>
      <w:bookmarkStart w:id="644" w:name="_Toc23618"/>
      <w:bookmarkStart w:id="645" w:name="_Toc3458"/>
      <w:bookmarkStart w:id="646" w:name="_Toc16464"/>
      <w:bookmarkStart w:id="647" w:name="_Toc1963"/>
      <w:bookmarkStart w:id="648" w:name="_Toc18622"/>
      <w:r>
        <w:rPr>
          <w:rFonts w:hint="eastAsia" w:ascii="宋体" w:hAnsi="宋体" w:cs="宋体"/>
          <w:b w:val="0"/>
          <w:bCs/>
          <w:color w:val="auto"/>
          <w:kern w:val="0"/>
          <w:sz w:val="32"/>
          <w:highlight w:val="none"/>
          <w:lang w:val="en-US" w:eastAsia="zh-CN" w:bidi="ar-SA"/>
        </w:rPr>
        <w:t>八、</w:t>
      </w:r>
      <w:r>
        <w:rPr>
          <w:rFonts w:hint="eastAsia" w:ascii="宋体" w:hAnsi="宋体" w:eastAsia="宋体" w:cs="宋体"/>
          <w:b w:val="0"/>
          <w:bCs/>
          <w:color w:val="auto"/>
          <w:kern w:val="0"/>
          <w:sz w:val="32"/>
          <w:highlight w:val="none"/>
          <w:lang w:val="en-US" w:eastAsia="zh-CN" w:bidi="ar-SA"/>
        </w:rPr>
        <w:t>拟投入本项目的人员一览表</w:t>
      </w:r>
      <w:bookmarkEnd w:id="644"/>
      <w:bookmarkEnd w:id="645"/>
      <w:bookmarkEnd w:id="646"/>
      <w:bookmarkEnd w:id="647"/>
      <w:bookmarkEnd w:id="648"/>
    </w:p>
    <w:tbl>
      <w:tblPr>
        <w:tblStyle w:val="24"/>
        <w:tblW w:w="98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1210"/>
        <w:gridCol w:w="916"/>
        <w:gridCol w:w="1209"/>
        <w:gridCol w:w="1210"/>
        <w:gridCol w:w="1178"/>
        <w:gridCol w:w="1172"/>
        <w:gridCol w:w="2063"/>
      </w:tblGrid>
      <w:tr w14:paraId="14789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916" w:type="dxa"/>
            <w:noWrap w:val="0"/>
            <w:vAlign w:val="top"/>
          </w:tcPr>
          <w:p w14:paraId="36367CA8">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序号</w:t>
            </w:r>
          </w:p>
        </w:tc>
        <w:tc>
          <w:tcPr>
            <w:tcW w:w="1210" w:type="dxa"/>
            <w:noWrap w:val="0"/>
            <w:vAlign w:val="top"/>
          </w:tcPr>
          <w:p w14:paraId="5EFA46AB">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姓名</w:t>
            </w:r>
          </w:p>
        </w:tc>
        <w:tc>
          <w:tcPr>
            <w:tcW w:w="916" w:type="dxa"/>
            <w:noWrap w:val="0"/>
            <w:vAlign w:val="top"/>
          </w:tcPr>
          <w:p w14:paraId="77CA809E">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性别</w:t>
            </w:r>
          </w:p>
        </w:tc>
        <w:tc>
          <w:tcPr>
            <w:tcW w:w="1209" w:type="dxa"/>
            <w:noWrap w:val="0"/>
            <w:vAlign w:val="top"/>
          </w:tcPr>
          <w:p w14:paraId="23ABC12A">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年龄</w:t>
            </w:r>
          </w:p>
        </w:tc>
        <w:tc>
          <w:tcPr>
            <w:tcW w:w="1210" w:type="dxa"/>
            <w:noWrap w:val="0"/>
            <w:vAlign w:val="top"/>
          </w:tcPr>
          <w:p w14:paraId="12EAAAD0">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职务</w:t>
            </w:r>
          </w:p>
        </w:tc>
        <w:tc>
          <w:tcPr>
            <w:tcW w:w="1178" w:type="dxa"/>
            <w:noWrap w:val="0"/>
            <w:vAlign w:val="top"/>
          </w:tcPr>
          <w:p w14:paraId="6B65C736">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职称</w:t>
            </w:r>
          </w:p>
        </w:tc>
        <w:tc>
          <w:tcPr>
            <w:tcW w:w="1172" w:type="dxa"/>
            <w:noWrap w:val="0"/>
            <w:vAlign w:val="top"/>
          </w:tcPr>
          <w:p w14:paraId="71BF9B0E">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学历</w:t>
            </w:r>
          </w:p>
        </w:tc>
        <w:tc>
          <w:tcPr>
            <w:tcW w:w="2063" w:type="dxa"/>
            <w:noWrap w:val="0"/>
            <w:vAlign w:val="top"/>
          </w:tcPr>
          <w:p w14:paraId="34F4E89B">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参加工作年限</w:t>
            </w:r>
          </w:p>
        </w:tc>
      </w:tr>
      <w:tr w14:paraId="167E6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916" w:type="dxa"/>
            <w:noWrap w:val="0"/>
            <w:vAlign w:val="top"/>
          </w:tcPr>
          <w:p w14:paraId="63387B57">
            <w:pPr>
              <w:spacing w:line="360" w:lineRule="auto"/>
              <w:rPr>
                <w:rFonts w:hint="eastAsia" w:ascii="宋体" w:hAnsi="宋体" w:eastAsia="宋体" w:cs="宋体"/>
                <w:bCs/>
                <w:color w:val="auto"/>
                <w:sz w:val="24"/>
                <w:highlight w:val="none"/>
              </w:rPr>
            </w:pPr>
          </w:p>
        </w:tc>
        <w:tc>
          <w:tcPr>
            <w:tcW w:w="1210" w:type="dxa"/>
            <w:noWrap w:val="0"/>
            <w:vAlign w:val="top"/>
          </w:tcPr>
          <w:p w14:paraId="67ACFA07">
            <w:pPr>
              <w:spacing w:line="360" w:lineRule="auto"/>
              <w:rPr>
                <w:rFonts w:hint="eastAsia" w:ascii="宋体" w:hAnsi="宋体" w:eastAsia="宋体" w:cs="宋体"/>
                <w:bCs/>
                <w:color w:val="auto"/>
                <w:sz w:val="24"/>
                <w:highlight w:val="none"/>
              </w:rPr>
            </w:pPr>
          </w:p>
        </w:tc>
        <w:tc>
          <w:tcPr>
            <w:tcW w:w="916" w:type="dxa"/>
            <w:noWrap w:val="0"/>
            <w:vAlign w:val="top"/>
          </w:tcPr>
          <w:p w14:paraId="57B8A97B">
            <w:pPr>
              <w:spacing w:line="360" w:lineRule="auto"/>
              <w:rPr>
                <w:rFonts w:hint="eastAsia" w:ascii="宋体" w:hAnsi="宋体" w:eastAsia="宋体" w:cs="宋体"/>
                <w:bCs/>
                <w:color w:val="auto"/>
                <w:sz w:val="24"/>
                <w:highlight w:val="none"/>
              </w:rPr>
            </w:pPr>
          </w:p>
        </w:tc>
        <w:tc>
          <w:tcPr>
            <w:tcW w:w="1209" w:type="dxa"/>
            <w:noWrap w:val="0"/>
            <w:vAlign w:val="top"/>
          </w:tcPr>
          <w:p w14:paraId="03A1D2D1">
            <w:pPr>
              <w:spacing w:line="360" w:lineRule="auto"/>
              <w:rPr>
                <w:rFonts w:hint="eastAsia" w:ascii="宋体" w:hAnsi="宋体" w:eastAsia="宋体" w:cs="宋体"/>
                <w:bCs/>
                <w:color w:val="auto"/>
                <w:sz w:val="24"/>
                <w:highlight w:val="none"/>
              </w:rPr>
            </w:pPr>
          </w:p>
        </w:tc>
        <w:tc>
          <w:tcPr>
            <w:tcW w:w="1210" w:type="dxa"/>
            <w:noWrap w:val="0"/>
            <w:vAlign w:val="top"/>
          </w:tcPr>
          <w:p w14:paraId="50CB7206">
            <w:pPr>
              <w:spacing w:line="360" w:lineRule="auto"/>
              <w:rPr>
                <w:rFonts w:hint="eastAsia" w:ascii="宋体" w:hAnsi="宋体" w:eastAsia="宋体" w:cs="宋体"/>
                <w:bCs/>
                <w:color w:val="auto"/>
                <w:sz w:val="24"/>
                <w:highlight w:val="none"/>
              </w:rPr>
            </w:pPr>
          </w:p>
        </w:tc>
        <w:tc>
          <w:tcPr>
            <w:tcW w:w="1178" w:type="dxa"/>
            <w:noWrap w:val="0"/>
            <w:vAlign w:val="top"/>
          </w:tcPr>
          <w:p w14:paraId="6077536C">
            <w:pPr>
              <w:spacing w:line="360" w:lineRule="auto"/>
              <w:rPr>
                <w:rFonts w:hint="eastAsia" w:ascii="宋体" w:hAnsi="宋体" w:eastAsia="宋体" w:cs="宋体"/>
                <w:bCs/>
                <w:color w:val="auto"/>
                <w:sz w:val="24"/>
                <w:highlight w:val="none"/>
              </w:rPr>
            </w:pPr>
          </w:p>
        </w:tc>
        <w:tc>
          <w:tcPr>
            <w:tcW w:w="1172" w:type="dxa"/>
            <w:noWrap w:val="0"/>
            <w:vAlign w:val="top"/>
          </w:tcPr>
          <w:p w14:paraId="6F516696">
            <w:pPr>
              <w:spacing w:line="360" w:lineRule="auto"/>
              <w:rPr>
                <w:rFonts w:hint="eastAsia" w:ascii="宋体" w:hAnsi="宋体" w:eastAsia="宋体" w:cs="宋体"/>
                <w:bCs/>
                <w:color w:val="auto"/>
                <w:sz w:val="24"/>
                <w:highlight w:val="none"/>
              </w:rPr>
            </w:pPr>
          </w:p>
        </w:tc>
        <w:tc>
          <w:tcPr>
            <w:tcW w:w="2063" w:type="dxa"/>
            <w:noWrap w:val="0"/>
            <w:vAlign w:val="top"/>
          </w:tcPr>
          <w:p w14:paraId="5606DB8F">
            <w:pPr>
              <w:spacing w:line="360" w:lineRule="auto"/>
              <w:rPr>
                <w:rFonts w:hint="eastAsia" w:ascii="宋体" w:hAnsi="宋体" w:eastAsia="宋体" w:cs="宋体"/>
                <w:bCs/>
                <w:color w:val="auto"/>
                <w:sz w:val="24"/>
                <w:highlight w:val="none"/>
              </w:rPr>
            </w:pPr>
          </w:p>
        </w:tc>
      </w:tr>
      <w:tr w14:paraId="1C499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916" w:type="dxa"/>
            <w:noWrap w:val="0"/>
            <w:vAlign w:val="top"/>
          </w:tcPr>
          <w:p w14:paraId="2982C41B">
            <w:pPr>
              <w:spacing w:line="360" w:lineRule="auto"/>
              <w:rPr>
                <w:rFonts w:hint="eastAsia" w:ascii="宋体" w:hAnsi="宋体" w:eastAsia="宋体" w:cs="宋体"/>
                <w:bCs/>
                <w:color w:val="auto"/>
                <w:highlight w:val="none"/>
              </w:rPr>
            </w:pPr>
          </w:p>
        </w:tc>
        <w:tc>
          <w:tcPr>
            <w:tcW w:w="1210" w:type="dxa"/>
            <w:noWrap w:val="0"/>
            <w:vAlign w:val="top"/>
          </w:tcPr>
          <w:p w14:paraId="1DCE337E">
            <w:pPr>
              <w:spacing w:line="360" w:lineRule="auto"/>
              <w:rPr>
                <w:rFonts w:hint="eastAsia" w:ascii="宋体" w:hAnsi="宋体" w:eastAsia="宋体" w:cs="宋体"/>
                <w:bCs/>
                <w:color w:val="auto"/>
                <w:highlight w:val="none"/>
              </w:rPr>
            </w:pPr>
          </w:p>
        </w:tc>
        <w:tc>
          <w:tcPr>
            <w:tcW w:w="916" w:type="dxa"/>
            <w:noWrap w:val="0"/>
            <w:vAlign w:val="top"/>
          </w:tcPr>
          <w:p w14:paraId="259C673B">
            <w:pPr>
              <w:spacing w:line="360" w:lineRule="auto"/>
              <w:rPr>
                <w:rFonts w:hint="eastAsia" w:ascii="宋体" w:hAnsi="宋体" w:eastAsia="宋体" w:cs="宋体"/>
                <w:bCs/>
                <w:color w:val="auto"/>
                <w:highlight w:val="none"/>
              </w:rPr>
            </w:pPr>
          </w:p>
        </w:tc>
        <w:tc>
          <w:tcPr>
            <w:tcW w:w="1209" w:type="dxa"/>
            <w:noWrap w:val="0"/>
            <w:vAlign w:val="top"/>
          </w:tcPr>
          <w:p w14:paraId="0E11E498">
            <w:pPr>
              <w:spacing w:line="360" w:lineRule="auto"/>
              <w:rPr>
                <w:rFonts w:hint="eastAsia" w:ascii="宋体" w:hAnsi="宋体" w:eastAsia="宋体" w:cs="宋体"/>
                <w:bCs/>
                <w:color w:val="auto"/>
                <w:highlight w:val="none"/>
              </w:rPr>
            </w:pPr>
          </w:p>
        </w:tc>
        <w:tc>
          <w:tcPr>
            <w:tcW w:w="1210" w:type="dxa"/>
            <w:noWrap w:val="0"/>
            <w:vAlign w:val="top"/>
          </w:tcPr>
          <w:p w14:paraId="529C16CC">
            <w:pPr>
              <w:spacing w:line="360" w:lineRule="auto"/>
              <w:rPr>
                <w:rFonts w:hint="eastAsia" w:ascii="宋体" w:hAnsi="宋体" w:eastAsia="宋体" w:cs="宋体"/>
                <w:bCs/>
                <w:color w:val="auto"/>
                <w:highlight w:val="none"/>
              </w:rPr>
            </w:pPr>
          </w:p>
        </w:tc>
        <w:tc>
          <w:tcPr>
            <w:tcW w:w="1178" w:type="dxa"/>
            <w:noWrap w:val="0"/>
            <w:vAlign w:val="top"/>
          </w:tcPr>
          <w:p w14:paraId="75868367">
            <w:pPr>
              <w:spacing w:line="360" w:lineRule="auto"/>
              <w:rPr>
                <w:rFonts w:hint="eastAsia" w:ascii="宋体" w:hAnsi="宋体" w:eastAsia="宋体" w:cs="宋体"/>
                <w:bCs/>
                <w:color w:val="auto"/>
                <w:highlight w:val="none"/>
              </w:rPr>
            </w:pPr>
          </w:p>
        </w:tc>
        <w:tc>
          <w:tcPr>
            <w:tcW w:w="1172" w:type="dxa"/>
            <w:noWrap w:val="0"/>
            <w:vAlign w:val="top"/>
          </w:tcPr>
          <w:p w14:paraId="14C1005A">
            <w:pPr>
              <w:spacing w:line="360" w:lineRule="auto"/>
              <w:rPr>
                <w:rFonts w:hint="eastAsia" w:ascii="宋体" w:hAnsi="宋体" w:eastAsia="宋体" w:cs="宋体"/>
                <w:bCs/>
                <w:color w:val="auto"/>
                <w:highlight w:val="none"/>
              </w:rPr>
            </w:pPr>
          </w:p>
        </w:tc>
        <w:tc>
          <w:tcPr>
            <w:tcW w:w="2063" w:type="dxa"/>
            <w:noWrap w:val="0"/>
            <w:vAlign w:val="top"/>
          </w:tcPr>
          <w:p w14:paraId="424691B3">
            <w:pPr>
              <w:spacing w:line="360" w:lineRule="auto"/>
              <w:rPr>
                <w:rFonts w:hint="eastAsia" w:ascii="宋体" w:hAnsi="宋体" w:eastAsia="宋体" w:cs="宋体"/>
                <w:bCs/>
                <w:color w:val="auto"/>
                <w:highlight w:val="none"/>
              </w:rPr>
            </w:pPr>
          </w:p>
        </w:tc>
      </w:tr>
      <w:tr w14:paraId="77FBC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916" w:type="dxa"/>
            <w:noWrap w:val="0"/>
            <w:vAlign w:val="top"/>
          </w:tcPr>
          <w:p w14:paraId="27139FEA">
            <w:pPr>
              <w:spacing w:line="360" w:lineRule="auto"/>
              <w:rPr>
                <w:rFonts w:hint="eastAsia" w:ascii="宋体" w:hAnsi="宋体" w:eastAsia="宋体" w:cs="宋体"/>
                <w:bCs/>
                <w:color w:val="auto"/>
                <w:highlight w:val="none"/>
              </w:rPr>
            </w:pPr>
          </w:p>
        </w:tc>
        <w:tc>
          <w:tcPr>
            <w:tcW w:w="1210" w:type="dxa"/>
            <w:noWrap w:val="0"/>
            <w:vAlign w:val="top"/>
          </w:tcPr>
          <w:p w14:paraId="17A38ECC">
            <w:pPr>
              <w:spacing w:line="360" w:lineRule="auto"/>
              <w:rPr>
                <w:rFonts w:hint="eastAsia" w:ascii="宋体" w:hAnsi="宋体" w:eastAsia="宋体" w:cs="宋体"/>
                <w:bCs/>
                <w:color w:val="auto"/>
                <w:highlight w:val="none"/>
              </w:rPr>
            </w:pPr>
          </w:p>
        </w:tc>
        <w:tc>
          <w:tcPr>
            <w:tcW w:w="916" w:type="dxa"/>
            <w:noWrap w:val="0"/>
            <w:vAlign w:val="top"/>
          </w:tcPr>
          <w:p w14:paraId="2A3E86B1">
            <w:pPr>
              <w:spacing w:line="360" w:lineRule="auto"/>
              <w:rPr>
                <w:rFonts w:hint="eastAsia" w:ascii="宋体" w:hAnsi="宋体" w:eastAsia="宋体" w:cs="宋体"/>
                <w:bCs/>
                <w:color w:val="auto"/>
                <w:highlight w:val="none"/>
              </w:rPr>
            </w:pPr>
          </w:p>
        </w:tc>
        <w:tc>
          <w:tcPr>
            <w:tcW w:w="1209" w:type="dxa"/>
            <w:noWrap w:val="0"/>
            <w:vAlign w:val="top"/>
          </w:tcPr>
          <w:p w14:paraId="0A8218D9">
            <w:pPr>
              <w:spacing w:line="360" w:lineRule="auto"/>
              <w:rPr>
                <w:rFonts w:hint="eastAsia" w:ascii="宋体" w:hAnsi="宋体" w:eastAsia="宋体" w:cs="宋体"/>
                <w:bCs/>
                <w:color w:val="auto"/>
                <w:highlight w:val="none"/>
              </w:rPr>
            </w:pPr>
          </w:p>
        </w:tc>
        <w:tc>
          <w:tcPr>
            <w:tcW w:w="1210" w:type="dxa"/>
            <w:noWrap w:val="0"/>
            <w:vAlign w:val="top"/>
          </w:tcPr>
          <w:p w14:paraId="4016D388">
            <w:pPr>
              <w:spacing w:line="360" w:lineRule="auto"/>
              <w:rPr>
                <w:rFonts w:hint="eastAsia" w:ascii="宋体" w:hAnsi="宋体" w:eastAsia="宋体" w:cs="宋体"/>
                <w:bCs/>
                <w:color w:val="auto"/>
                <w:highlight w:val="none"/>
              </w:rPr>
            </w:pPr>
          </w:p>
        </w:tc>
        <w:tc>
          <w:tcPr>
            <w:tcW w:w="1178" w:type="dxa"/>
            <w:noWrap w:val="0"/>
            <w:vAlign w:val="top"/>
          </w:tcPr>
          <w:p w14:paraId="1FA6CEB5">
            <w:pPr>
              <w:spacing w:line="360" w:lineRule="auto"/>
              <w:rPr>
                <w:rFonts w:hint="eastAsia" w:ascii="宋体" w:hAnsi="宋体" w:eastAsia="宋体" w:cs="宋体"/>
                <w:bCs/>
                <w:color w:val="auto"/>
                <w:highlight w:val="none"/>
              </w:rPr>
            </w:pPr>
          </w:p>
        </w:tc>
        <w:tc>
          <w:tcPr>
            <w:tcW w:w="1172" w:type="dxa"/>
            <w:noWrap w:val="0"/>
            <w:vAlign w:val="top"/>
          </w:tcPr>
          <w:p w14:paraId="2CB5A942">
            <w:pPr>
              <w:spacing w:line="360" w:lineRule="auto"/>
              <w:rPr>
                <w:rFonts w:hint="eastAsia" w:ascii="宋体" w:hAnsi="宋体" w:eastAsia="宋体" w:cs="宋体"/>
                <w:bCs/>
                <w:color w:val="auto"/>
                <w:highlight w:val="none"/>
              </w:rPr>
            </w:pPr>
          </w:p>
        </w:tc>
        <w:tc>
          <w:tcPr>
            <w:tcW w:w="2063" w:type="dxa"/>
            <w:noWrap w:val="0"/>
            <w:vAlign w:val="top"/>
          </w:tcPr>
          <w:p w14:paraId="145CDF17">
            <w:pPr>
              <w:spacing w:line="360" w:lineRule="auto"/>
              <w:rPr>
                <w:rFonts w:hint="eastAsia" w:ascii="宋体" w:hAnsi="宋体" w:eastAsia="宋体" w:cs="宋体"/>
                <w:bCs/>
                <w:color w:val="auto"/>
                <w:highlight w:val="none"/>
              </w:rPr>
            </w:pPr>
          </w:p>
        </w:tc>
      </w:tr>
      <w:tr w14:paraId="7BF80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916" w:type="dxa"/>
            <w:noWrap w:val="0"/>
            <w:vAlign w:val="top"/>
          </w:tcPr>
          <w:p w14:paraId="41799B09">
            <w:pPr>
              <w:spacing w:line="360" w:lineRule="auto"/>
              <w:rPr>
                <w:rFonts w:hint="eastAsia" w:ascii="宋体" w:hAnsi="宋体" w:eastAsia="宋体" w:cs="宋体"/>
                <w:bCs/>
                <w:color w:val="auto"/>
                <w:highlight w:val="none"/>
              </w:rPr>
            </w:pPr>
          </w:p>
        </w:tc>
        <w:tc>
          <w:tcPr>
            <w:tcW w:w="1210" w:type="dxa"/>
            <w:noWrap w:val="0"/>
            <w:vAlign w:val="top"/>
          </w:tcPr>
          <w:p w14:paraId="2100DAD8">
            <w:pPr>
              <w:spacing w:line="360" w:lineRule="auto"/>
              <w:rPr>
                <w:rFonts w:hint="eastAsia" w:ascii="宋体" w:hAnsi="宋体" w:eastAsia="宋体" w:cs="宋体"/>
                <w:bCs/>
                <w:color w:val="auto"/>
                <w:highlight w:val="none"/>
              </w:rPr>
            </w:pPr>
          </w:p>
        </w:tc>
        <w:tc>
          <w:tcPr>
            <w:tcW w:w="916" w:type="dxa"/>
            <w:noWrap w:val="0"/>
            <w:vAlign w:val="top"/>
          </w:tcPr>
          <w:p w14:paraId="55136A6A">
            <w:pPr>
              <w:spacing w:line="360" w:lineRule="auto"/>
              <w:rPr>
                <w:rFonts w:hint="eastAsia" w:ascii="宋体" w:hAnsi="宋体" w:eastAsia="宋体" w:cs="宋体"/>
                <w:bCs/>
                <w:color w:val="auto"/>
                <w:highlight w:val="none"/>
              </w:rPr>
            </w:pPr>
          </w:p>
        </w:tc>
        <w:tc>
          <w:tcPr>
            <w:tcW w:w="1209" w:type="dxa"/>
            <w:noWrap w:val="0"/>
            <w:vAlign w:val="top"/>
          </w:tcPr>
          <w:p w14:paraId="7EBEDA33">
            <w:pPr>
              <w:spacing w:line="360" w:lineRule="auto"/>
              <w:rPr>
                <w:rFonts w:hint="eastAsia" w:ascii="宋体" w:hAnsi="宋体" w:eastAsia="宋体" w:cs="宋体"/>
                <w:bCs/>
                <w:color w:val="auto"/>
                <w:highlight w:val="none"/>
              </w:rPr>
            </w:pPr>
          </w:p>
        </w:tc>
        <w:tc>
          <w:tcPr>
            <w:tcW w:w="1210" w:type="dxa"/>
            <w:noWrap w:val="0"/>
            <w:vAlign w:val="top"/>
          </w:tcPr>
          <w:p w14:paraId="35E5D21F">
            <w:pPr>
              <w:spacing w:line="360" w:lineRule="auto"/>
              <w:rPr>
                <w:rFonts w:hint="eastAsia" w:ascii="宋体" w:hAnsi="宋体" w:eastAsia="宋体" w:cs="宋体"/>
                <w:bCs/>
                <w:color w:val="auto"/>
                <w:highlight w:val="none"/>
              </w:rPr>
            </w:pPr>
          </w:p>
        </w:tc>
        <w:tc>
          <w:tcPr>
            <w:tcW w:w="1178" w:type="dxa"/>
            <w:noWrap w:val="0"/>
            <w:vAlign w:val="top"/>
          </w:tcPr>
          <w:p w14:paraId="72BC9DA5">
            <w:pPr>
              <w:spacing w:line="360" w:lineRule="auto"/>
              <w:rPr>
                <w:rFonts w:hint="eastAsia" w:ascii="宋体" w:hAnsi="宋体" w:eastAsia="宋体" w:cs="宋体"/>
                <w:bCs/>
                <w:color w:val="auto"/>
                <w:highlight w:val="none"/>
              </w:rPr>
            </w:pPr>
          </w:p>
        </w:tc>
        <w:tc>
          <w:tcPr>
            <w:tcW w:w="1172" w:type="dxa"/>
            <w:noWrap w:val="0"/>
            <w:vAlign w:val="top"/>
          </w:tcPr>
          <w:p w14:paraId="37F42ED2">
            <w:pPr>
              <w:spacing w:line="360" w:lineRule="auto"/>
              <w:rPr>
                <w:rFonts w:hint="eastAsia" w:ascii="宋体" w:hAnsi="宋体" w:eastAsia="宋体" w:cs="宋体"/>
                <w:bCs/>
                <w:color w:val="auto"/>
                <w:highlight w:val="none"/>
              </w:rPr>
            </w:pPr>
          </w:p>
        </w:tc>
        <w:tc>
          <w:tcPr>
            <w:tcW w:w="2063" w:type="dxa"/>
            <w:noWrap w:val="0"/>
            <w:vAlign w:val="top"/>
          </w:tcPr>
          <w:p w14:paraId="7C58B76C">
            <w:pPr>
              <w:spacing w:line="360" w:lineRule="auto"/>
              <w:rPr>
                <w:rFonts w:hint="eastAsia" w:ascii="宋体" w:hAnsi="宋体" w:eastAsia="宋体" w:cs="宋体"/>
                <w:bCs/>
                <w:color w:val="auto"/>
                <w:highlight w:val="none"/>
              </w:rPr>
            </w:pPr>
          </w:p>
        </w:tc>
      </w:tr>
      <w:tr w14:paraId="3815D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916" w:type="dxa"/>
            <w:noWrap w:val="0"/>
            <w:vAlign w:val="top"/>
          </w:tcPr>
          <w:p w14:paraId="38BEEB5C">
            <w:pPr>
              <w:spacing w:line="360" w:lineRule="auto"/>
              <w:rPr>
                <w:rFonts w:hint="eastAsia" w:ascii="宋体" w:hAnsi="宋体" w:eastAsia="宋体" w:cs="宋体"/>
                <w:bCs/>
                <w:color w:val="auto"/>
                <w:highlight w:val="none"/>
              </w:rPr>
            </w:pPr>
          </w:p>
        </w:tc>
        <w:tc>
          <w:tcPr>
            <w:tcW w:w="1210" w:type="dxa"/>
            <w:noWrap w:val="0"/>
            <w:vAlign w:val="top"/>
          </w:tcPr>
          <w:p w14:paraId="0ACFCCAD">
            <w:pPr>
              <w:spacing w:line="360" w:lineRule="auto"/>
              <w:rPr>
                <w:rFonts w:hint="eastAsia" w:ascii="宋体" w:hAnsi="宋体" w:eastAsia="宋体" w:cs="宋体"/>
                <w:bCs/>
                <w:color w:val="auto"/>
                <w:highlight w:val="none"/>
              </w:rPr>
            </w:pPr>
          </w:p>
        </w:tc>
        <w:tc>
          <w:tcPr>
            <w:tcW w:w="916" w:type="dxa"/>
            <w:noWrap w:val="0"/>
            <w:vAlign w:val="top"/>
          </w:tcPr>
          <w:p w14:paraId="4977AD78">
            <w:pPr>
              <w:spacing w:line="360" w:lineRule="auto"/>
              <w:rPr>
                <w:rFonts w:hint="eastAsia" w:ascii="宋体" w:hAnsi="宋体" w:eastAsia="宋体" w:cs="宋体"/>
                <w:bCs/>
                <w:color w:val="auto"/>
                <w:highlight w:val="none"/>
              </w:rPr>
            </w:pPr>
          </w:p>
        </w:tc>
        <w:tc>
          <w:tcPr>
            <w:tcW w:w="1209" w:type="dxa"/>
            <w:noWrap w:val="0"/>
            <w:vAlign w:val="top"/>
          </w:tcPr>
          <w:p w14:paraId="3EF87397">
            <w:pPr>
              <w:spacing w:line="360" w:lineRule="auto"/>
              <w:rPr>
                <w:rFonts w:hint="eastAsia" w:ascii="宋体" w:hAnsi="宋体" w:eastAsia="宋体" w:cs="宋体"/>
                <w:bCs/>
                <w:color w:val="auto"/>
                <w:highlight w:val="none"/>
              </w:rPr>
            </w:pPr>
          </w:p>
        </w:tc>
        <w:tc>
          <w:tcPr>
            <w:tcW w:w="1210" w:type="dxa"/>
            <w:noWrap w:val="0"/>
            <w:vAlign w:val="top"/>
          </w:tcPr>
          <w:p w14:paraId="4602E254">
            <w:pPr>
              <w:spacing w:line="360" w:lineRule="auto"/>
              <w:rPr>
                <w:rFonts w:hint="eastAsia" w:ascii="宋体" w:hAnsi="宋体" w:eastAsia="宋体" w:cs="宋体"/>
                <w:bCs/>
                <w:color w:val="auto"/>
                <w:highlight w:val="none"/>
              </w:rPr>
            </w:pPr>
          </w:p>
        </w:tc>
        <w:tc>
          <w:tcPr>
            <w:tcW w:w="1178" w:type="dxa"/>
            <w:noWrap w:val="0"/>
            <w:vAlign w:val="top"/>
          </w:tcPr>
          <w:p w14:paraId="373B2189">
            <w:pPr>
              <w:spacing w:line="360" w:lineRule="auto"/>
              <w:rPr>
                <w:rFonts w:hint="eastAsia" w:ascii="宋体" w:hAnsi="宋体" w:eastAsia="宋体" w:cs="宋体"/>
                <w:bCs/>
                <w:color w:val="auto"/>
                <w:highlight w:val="none"/>
              </w:rPr>
            </w:pPr>
          </w:p>
        </w:tc>
        <w:tc>
          <w:tcPr>
            <w:tcW w:w="1172" w:type="dxa"/>
            <w:noWrap w:val="0"/>
            <w:vAlign w:val="top"/>
          </w:tcPr>
          <w:p w14:paraId="2520912C">
            <w:pPr>
              <w:spacing w:line="360" w:lineRule="auto"/>
              <w:rPr>
                <w:rFonts w:hint="eastAsia" w:ascii="宋体" w:hAnsi="宋体" w:eastAsia="宋体" w:cs="宋体"/>
                <w:bCs/>
                <w:color w:val="auto"/>
                <w:highlight w:val="none"/>
              </w:rPr>
            </w:pPr>
          </w:p>
        </w:tc>
        <w:tc>
          <w:tcPr>
            <w:tcW w:w="2063" w:type="dxa"/>
            <w:noWrap w:val="0"/>
            <w:vAlign w:val="top"/>
          </w:tcPr>
          <w:p w14:paraId="0B24F052">
            <w:pPr>
              <w:spacing w:line="360" w:lineRule="auto"/>
              <w:rPr>
                <w:rFonts w:hint="eastAsia" w:ascii="宋体" w:hAnsi="宋体" w:eastAsia="宋体" w:cs="宋体"/>
                <w:bCs/>
                <w:color w:val="auto"/>
                <w:highlight w:val="none"/>
              </w:rPr>
            </w:pPr>
          </w:p>
        </w:tc>
      </w:tr>
      <w:tr w14:paraId="31039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916" w:type="dxa"/>
            <w:noWrap w:val="0"/>
            <w:vAlign w:val="top"/>
          </w:tcPr>
          <w:p w14:paraId="61520B6A">
            <w:pPr>
              <w:spacing w:line="360" w:lineRule="auto"/>
              <w:rPr>
                <w:rFonts w:hint="eastAsia" w:ascii="宋体" w:hAnsi="宋体" w:eastAsia="宋体" w:cs="宋体"/>
                <w:bCs/>
                <w:color w:val="auto"/>
                <w:highlight w:val="none"/>
              </w:rPr>
            </w:pPr>
          </w:p>
        </w:tc>
        <w:tc>
          <w:tcPr>
            <w:tcW w:w="1210" w:type="dxa"/>
            <w:noWrap w:val="0"/>
            <w:vAlign w:val="top"/>
          </w:tcPr>
          <w:p w14:paraId="4407FD0D">
            <w:pPr>
              <w:spacing w:line="360" w:lineRule="auto"/>
              <w:rPr>
                <w:rFonts w:hint="eastAsia" w:ascii="宋体" w:hAnsi="宋体" w:eastAsia="宋体" w:cs="宋体"/>
                <w:bCs/>
                <w:color w:val="auto"/>
                <w:highlight w:val="none"/>
              </w:rPr>
            </w:pPr>
          </w:p>
        </w:tc>
        <w:tc>
          <w:tcPr>
            <w:tcW w:w="916" w:type="dxa"/>
            <w:noWrap w:val="0"/>
            <w:vAlign w:val="top"/>
          </w:tcPr>
          <w:p w14:paraId="6831BC8A">
            <w:pPr>
              <w:spacing w:line="360" w:lineRule="auto"/>
              <w:rPr>
                <w:rFonts w:hint="eastAsia" w:ascii="宋体" w:hAnsi="宋体" w:eastAsia="宋体" w:cs="宋体"/>
                <w:bCs/>
                <w:color w:val="auto"/>
                <w:highlight w:val="none"/>
              </w:rPr>
            </w:pPr>
          </w:p>
        </w:tc>
        <w:tc>
          <w:tcPr>
            <w:tcW w:w="1209" w:type="dxa"/>
            <w:noWrap w:val="0"/>
            <w:vAlign w:val="top"/>
          </w:tcPr>
          <w:p w14:paraId="25EC374C">
            <w:pPr>
              <w:spacing w:line="360" w:lineRule="auto"/>
              <w:rPr>
                <w:rFonts w:hint="eastAsia" w:ascii="宋体" w:hAnsi="宋体" w:eastAsia="宋体" w:cs="宋体"/>
                <w:bCs/>
                <w:color w:val="auto"/>
                <w:highlight w:val="none"/>
              </w:rPr>
            </w:pPr>
          </w:p>
        </w:tc>
        <w:tc>
          <w:tcPr>
            <w:tcW w:w="1210" w:type="dxa"/>
            <w:noWrap w:val="0"/>
            <w:vAlign w:val="top"/>
          </w:tcPr>
          <w:p w14:paraId="68A2CE0B">
            <w:pPr>
              <w:spacing w:line="360" w:lineRule="auto"/>
              <w:rPr>
                <w:rFonts w:hint="eastAsia" w:ascii="宋体" w:hAnsi="宋体" w:eastAsia="宋体" w:cs="宋体"/>
                <w:bCs/>
                <w:color w:val="auto"/>
                <w:highlight w:val="none"/>
              </w:rPr>
            </w:pPr>
          </w:p>
        </w:tc>
        <w:tc>
          <w:tcPr>
            <w:tcW w:w="1178" w:type="dxa"/>
            <w:noWrap w:val="0"/>
            <w:vAlign w:val="top"/>
          </w:tcPr>
          <w:p w14:paraId="390B14A7">
            <w:pPr>
              <w:spacing w:line="360" w:lineRule="auto"/>
              <w:rPr>
                <w:rFonts w:hint="eastAsia" w:ascii="宋体" w:hAnsi="宋体" w:eastAsia="宋体" w:cs="宋体"/>
                <w:bCs/>
                <w:color w:val="auto"/>
                <w:highlight w:val="none"/>
              </w:rPr>
            </w:pPr>
          </w:p>
        </w:tc>
        <w:tc>
          <w:tcPr>
            <w:tcW w:w="1172" w:type="dxa"/>
            <w:noWrap w:val="0"/>
            <w:vAlign w:val="top"/>
          </w:tcPr>
          <w:p w14:paraId="6B2FF3C1">
            <w:pPr>
              <w:spacing w:line="360" w:lineRule="auto"/>
              <w:rPr>
                <w:rFonts w:hint="eastAsia" w:ascii="宋体" w:hAnsi="宋体" w:eastAsia="宋体" w:cs="宋体"/>
                <w:bCs/>
                <w:color w:val="auto"/>
                <w:highlight w:val="none"/>
              </w:rPr>
            </w:pPr>
          </w:p>
        </w:tc>
        <w:tc>
          <w:tcPr>
            <w:tcW w:w="2063" w:type="dxa"/>
            <w:noWrap w:val="0"/>
            <w:vAlign w:val="top"/>
          </w:tcPr>
          <w:p w14:paraId="25032C0F">
            <w:pPr>
              <w:spacing w:line="360" w:lineRule="auto"/>
              <w:rPr>
                <w:rFonts w:hint="eastAsia" w:ascii="宋体" w:hAnsi="宋体" w:eastAsia="宋体" w:cs="宋体"/>
                <w:bCs/>
                <w:color w:val="auto"/>
                <w:highlight w:val="none"/>
              </w:rPr>
            </w:pPr>
          </w:p>
        </w:tc>
      </w:tr>
      <w:tr w14:paraId="0D464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916" w:type="dxa"/>
            <w:noWrap w:val="0"/>
            <w:vAlign w:val="top"/>
          </w:tcPr>
          <w:p w14:paraId="00062759">
            <w:pPr>
              <w:spacing w:line="360" w:lineRule="auto"/>
              <w:rPr>
                <w:rFonts w:hint="eastAsia" w:ascii="宋体" w:hAnsi="宋体" w:eastAsia="宋体" w:cs="宋体"/>
                <w:bCs/>
                <w:color w:val="auto"/>
                <w:highlight w:val="none"/>
              </w:rPr>
            </w:pPr>
          </w:p>
        </w:tc>
        <w:tc>
          <w:tcPr>
            <w:tcW w:w="1210" w:type="dxa"/>
            <w:noWrap w:val="0"/>
            <w:vAlign w:val="top"/>
          </w:tcPr>
          <w:p w14:paraId="33D290F1">
            <w:pPr>
              <w:spacing w:line="360" w:lineRule="auto"/>
              <w:rPr>
                <w:rFonts w:hint="eastAsia" w:ascii="宋体" w:hAnsi="宋体" w:eastAsia="宋体" w:cs="宋体"/>
                <w:bCs/>
                <w:color w:val="auto"/>
                <w:highlight w:val="none"/>
              </w:rPr>
            </w:pPr>
          </w:p>
        </w:tc>
        <w:tc>
          <w:tcPr>
            <w:tcW w:w="916" w:type="dxa"/>
            <w:noWrap w:val="0"/>
            <w:vAlign w:val="top"/>
          </w:tcPr>
          <w:p w14:paraId="69BB0A1E">
            <w:pPr>
              <w:spacing w:line="360" w:lineRule="auto"/>
              <w:rPr>
                <w:rFonts w:hint="eastAsia" w:ascii="宋体" w:hAnsi="宋体" w:eastAsia="宋体" w:cs="宋体"/>
                <w:bCs/>
                <w:color w:val="auto"/>
                <w:highlight w:val="none"/>
              </w:rPr>
            </w:pPr>
          </w:p>
        </w:tc>
        <w:tc>
          <w:tcPr>
            <w:tcW w:w="1209" w:type="dxa"/>
            <w:noWrap w:val="0"/>
            <w:vAlign w:val="top"/>
          </w:tcPr>
          <w:p w14:paraId="4C71814F">
            <w:pPr>
              <w:spacing w:line="360" w:lineRule="auto"/>
              <w:rPr>
                <w:rFonts w:hint="eastAsia" w:ascii="宋体" w:hAnsi="宋体" w:eastAsia="宋体" w:cs="宋体"/>
                <w:bCs/>
                <w:color w:val="auto"/>
                <w:highlight w:val="none"/>
              </w:rPr>
            </w:pPr>
          </w:p>
        </w:tc>
        <w:tc>
          <w:tcPr>
            <w:tcW w:w="1210" w:type="dxa"/>
            <w:noWrap w:val="0"/>
            <w:vAlign w:val="top"/>
          </w:tcPr>
          <w:p w14:paraId="7C4E5369">
            <w:pPr>
              <w:spacing w:line="360" w:lineRule="auto"/>
              <w:rPr>
                <w:rFonts w:hint="eastAsia" w:ascii="宋体" w:hAnsi="宋体" w:eastAsia="宋体" w:cs="宋体"/>
                <w:bCs/>
                <w:color w:val="auto"/>
                <w:highlight w:val="none"/>
              </w:rPr>
            </w:pPr>
          </w:p>
        </w:tc>
        <w:tc>
          <w:tcPr>
            <w:tcW w:w="1178" w:type="dxa"/>
            <w:noWrap w:val="0"/>
            <w:vAlign w:val="top"/>
          </w:tcPr>
          <w:p w14:paraId="6D679E0B">
            <w:pPr>
              <w:spacing w:line="360" w:lineRule="auto"/>
              <w:rPr>
                <w:rFonts w:hint="eastAsia" w:ascii="宋体" w:hAnsi="宋体" w:eastAsia="宋体" w:cs="宋体"/>
                <w:bCs/>
                <w:color w:val="auto"/>
                <w:highlight w:val="none"/>
              </w:rPr>
            </w:pPr>
          </w:p>
        </w:tc>
        <w:tc>
          <w:tcPr>
            <w:tcW w:w="1172" w:type="dxa"/>
            <w:noWrap w:val="0"/>
            <w:vAlign w:val="top"/>
          </w:tcPr>
          <w:p w14:paraId="3AAB9D90">
            <w:pPr>
              <w:spacing w:line="360" w:lineRule="auto"/>
              <w:rPr>
                <w:rFonts w:hint="eastAsia" w:ascii="宋体" w:hAnsi="宋体" w:eastAsia="宋体" w:cs="宋体"/>
                <w:bCs/>
                <w:color w:val="auto"/>
                <w:highlight w:val="none"/>
              </w:rPr>
            </w:pPr>
          </w:p>
        </w:tc>
        <w:tc>
          <w:tcPr>
            <w:tcW w:w="2063" w:type="dxa"/>
            <w:noWrap w:val="0"/>
            <w:vAlign w:val="top"/>
          </w:tcPr>
          <w:p w14:paraId="72B37D65">
            <w:pPr>
              <w:spacing w:line="360" w:lineRule="auto"/>
              <w:rPr>
                <w:rFonts w:hint="eastAsia" w:ascii="宋体" w:hAnsi="宋体" w:eastAsia="宋体" w:cs="宋体"/>
                <w:bCs/>
                <w:color w:val="auto"/>
                <w:highlight w:val="none"/>
              </w:rPr>
            </w:pPr>
          </w:p>
        </w:tc>
      </w:tr>
      <w:tr w14:paraId="37957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916" w:type="dxa"/>
            <w:noWrap w:val="0"/>
            <w:vAlign w:val="top"/>
          </w:tcPr>
          <w:p w14:paraId="1D834F2E">
            <w:pPr>
              <w:spacing w:line="360" w:lineRule="auto"/>
              <w:rPr>
                <w:rFonts w:hint="eastAsia" w:ascii="宋体" w:hAnsi="宋体" w:eastAsia="宋体" w:cs="宋体"/>
                <w:bCs/>
                <w:color w:val="auto"/>
                <w:highlight w:val="none"/>
              </w:rPr>
            </w:pPr>
          </w:p>
        </w:tc>
        <w:tc>
          <w:tcPr>
            <w:tcW w:w="1210" w:type="dxa"/>
            <w:noWrap w:val="0"/>
            <w:vAlign w:val="top"/>
          </w:tcPr>
          <w:p w14:paraId="7BFCCA39">
            <w:pPr>
              <w:spacing w:line="360" w:lineRule="auto"/>
              <w:rPr>
                <w:rFonts w:hint="eastAsia" w:ascii="宋体" w:hAnsi="宋体" w:eastAsia="宋体" w:cs="宋体"/>
                <w:bCs/>
                <w:color w:val="auto"/>
                <w:highlight w:val="none"/>
              </w:rPr>
            </w:pPr>
          </w:p>
        </w:tc>
        <w:tc>
          <w:tcPr>
            <w:tcW w:w="916" w:type="dxa"/>
            <w:noWrap w:val="0"/>
            <w:vAlign w:val="top"/>
          </w:tcPr>
          <w:p w14:paraId="28ECE44E">
            <w:pPr>
              <w:spacing w:line="360" w:lineRule="auto"/>
              <w:rPr>
                <w:rFonts w:hint="eastAsia" w:ascii="宋体" w:hAnsi="宋体" w:eastAsia="宋体" w:cs="宋体"/>
                <w:bCs/>
                <w:color w:val="auto"/>
                <w:highlight w:val="none"/>
              </w:rPr>
            </w:pPr>
          </w:p>
        </w:tc>
        <w:tc>
          <w:tcPr>
            <w:tcW w:w="1209" w:type="dxa"/>
            <w:noWrap w:val="0"/>
            <w:vAlign w:val="top"/>
          </w:tcPr>
          <w:p w14:paraId="0A1C632B">
            <w:pPr>
              <w:spacing w:line="360" w:lineRule="auto"/>
              <w:rPr>
                <w:rFonts w:hint="eastAsia" w:ascii="宋体" w:hAnsi="宋体" w:eastAsia="宋体" w:cs="宋体"/>
                <w:bCs/>
                <w:color w:val="auto"/>
                <w:highlight w:val="none"/>
              </w:rPr>
            </w:pPr>
          </w:p>
        </w:tc>
        <w:tc>
          <w:tcPr>
            <w:tcW w:w="1210" w:type="dxa"/>
            <w:noWrap w:val="0"/>
            <w:vAlign w:val="top"/>
          </w:tcPr>
          <w:p w14:paraId="786B2326">
            <w:pPr>
              <w:spacing w:line="360" w:lineRule="auto"/>
              <w:rPr>
                <w:rFonts w:hint="eastAsia" w:ascii="宋体" w:hAnsi="宋体" w:eastAsia="宋体" w:cs="宋体"/>
                <w:bCs/>
                <w:color w:val="auto"/>
                <w:highlight w:val="none"/>
              </w:rPr>
            </w:pPr>
          </w:p>
        </w:tc>
        <w:tc>
          <w:tcPr>
            <w:tcW w:w="1178" w:type="dxa"/>
            <w:noWrap w:val="0"/>
            <w:vAlign w:val="top"/>
          </w:tcPr>
          <w:p w14:paraId="035C8813">
            <w:pPr>
              <w:spacing w:line="360" w:lineRule="auto"/>
              <w:rPr>
                <w:rFonts w:hint="eastAsia" w:ascii="宋体" w:hAnsi="宋体" w:eastAsia="宋体" w:cs="宋体"/>
                <w:bCs/>
                <w:color w:val="auto"/>
                <w:highlight w:val="none"/>
              </w:rPr>
            </w:pPr>
          </w:p>
        </w:tc>
        <w:tc>
          <w:tcPr>
            <w:tcW w:w="1172" w:type="dxa"/>
            <w:noWrap w:val="0"/>
            <w:vAlign w:val="top"/>
          </w:tcPr>
          <w:p w14:paraId="3F5348D9">
            <w:pPr>
              <w:spacing w:line="360" w:lineRule="auto"/>
              <w:rPr>
                <w:rFonts w:hint="eastAsia" w:ascii="宋体" w:hAnsi="宋体" w:eastAsia="宋体" w:cs="宋体"/>
                <w:bCs/>
                <w:color w:val="auto"/>
                <w:highlight w:val="none"/>
              </w:rPr>
            </w:pPr>
          </w:p>
        </w:tc>
        <w:tc>
          <w:tcPr>
            <w:tcW w:w="2063" w:type="dxa"/>
            <w:noWrap w:val="0"/>
            <w:vAlign w:val="top"/>
          </w:tcPr>
          <w:p w14:paraId="56879CBC">
            <w:pPr>
              <w:spacing w:line="360" w:lineRule="auto"/>
              <w:rPr>
                <w:rFonts w:hint="eastAsia" w:ascii="宋体" w:hAnsi="宋体" w:eastAsia="宋体" w:cs="宋体"/>
                <w:bCs/>
                <w:color w:val="auto"/>
                <w:highlight w:val="none"/>
              </w:rPr>
            </w:pPr>
          </w:p>
        </w:tc>
      </w:tr>
      <w:tr w14:paraId="642B1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916" w:type="dxa"/>
            <w:noWrap w:val="0"/>
            <w:vAlign w:val="top"/>
          </w:tcPr>
          <w:p w14:paraId="115F0AB4">
            <w:pPr>
              <w:spacing w:line="360" w:lineRule="auto"/>
              <w:rPr>
                <w:rFonts w:hint="eastAsia" w:ascii="宋体" w:hAnsi="宋体" w:eastAsia="宋体" w:cs="宋体"/>
                <w:bCs/>
                <w:color w:val="auto"/>
                <w:highlight w:val="none"/>
              </w:rPr>
            </w:pPr>
          </w:p>
        </w:tc>
        <w:tc>
          <w:tcPr>
            <w:tcW w:w="1210" w:type="dxa"/>
            <w:noWrap w:val="0"/>
            <w:vAlign w:val="top"/>
          </w:tcPr>
          <w:p w14:paraId="4CABFD8F">
            <w:pPr>
              <w:spacing w:line="360" w:lineRule="auto"/>
              <w:rPr>
                <w:rFonts w:hint="eastAsia" w:ascii="宋体" w:hAnsi="宋体" w:eastAsia="宋体" w:cs="宋体"/>
                <w:bCs/>
                <w:color w:val="auto"/>
                <w:highlight w:val="none"/>
              </w:rPr>
            </w:pPr>
          </w:p>
        </w:tc>
        <w:tc>
          <w:tcPr>
            <w:tcW w:w="916" w:type="dxa"/>
            <w:noWrap w:val="0"/>
            <w:vAlign w:val="top"/>
          </w:tcPr>
          <w:p w14:paraId="22BCD39E">
            <w:pPr>
              <w:spacing w:line="360" w:lineRule="auto"/>
              <w:rPr>
                <w:rFonts w:hint="eastAsia" w:ascii="宋体" w:hAnsi="宋体" w:eastAsia="宋体" w:cs="宋体"/>
                <w:bCs/>
                <w:color w:val="auto"/>
                <w:highlight w:val="none"/>
              </w:rPr>
            </w:pPr>
          </w:p>
        </w:tc>
        <w:tc>
          <w:tcPr>
            <w:tcW w:w="1209" w:type="dxa"/>
            <w:noWrap w:val="0"/>
            <w:vAlign w:val="top"/>
          </w:tcPr>
          <w:p w14:paraId="4BE49DE7">
            <w:pPr>
              <w:spacing w:line="360" w:lineRule="auto"/>
              <w:rPr>
                <w:rFonts w:hint="eastAsia" w:ascii="宋体" w:hAnsi="宋体" w:eastAsia="宋体" w:cs="宋体"/>
                <w:bCs/>
                <w:color w:val="auto"/>
                <w:highlight w:val="none"/>
              </w:rPr>
            </w:pPr>
          </w:p>
        </w:tc>
        <w:tc>
          <w:tcPr>
            <w:tcW w:w="1210" w:type="dxa"/>
            <w:noWrap w:val="0"/>
            <w:vAlign w:val="top"/>
          </w:tcPr>
          <w:p w14:paraId="0CC44D6A">
            <w:pPr>
              <w:spacing w:line="360" w:lineRule="auto"/>
              <w:rPr>
                <w:rFonts w:hint="eastAsia" w:ascii="宋体" w:hAnsi="宋体" w:eastAsia="宋体" w:cs="宋体"/>
                <w:bCs/>
                <w:color w:val="auto"/>
                <w:highlight w:val="none"/>
              </w:rPr>
            </w:pPr>
          </w:p>
        </w:tc>
        <w:tc>
          <w:tcPr>
            <w:tcW w:w="1178" w:type="dxa"/>
            <w:noWrap w:val="0"/>
            <w:vAlign w:val="top"/>
          </w:tcPr>
          <w:p w14:paraId="482022CE">
            <w:pPr>
              <w:spacing w:line="360" w:lineRule="auto"/>
              <w:rPr>
                <w:rFonts w:hint="eastAsia" w:ascii="宋体" w:hAnsi="宋体" w:eastAsia="宋体" w:cs="宋体"/>
                <w:bCs/>
                <w:color w:val="auto"/>
                <w:highlight w:val="none"/>
              </w:rPr>
            </w:pPr>
          </w:p>
        </w:tc>
        <w:tc>
          <w:tcPr>
            <w:tcW w:w="1172" w:type="dxa"/>
            <w:noWrap w:val="0"/>
            <w:vAlign w:val="top"/>
          </w:tcPr>
          <w:p w14:paraId="4DEFE76E">
            <w:pPr>
              <w:spacing w:line="360" w:lineRule="auto"/>
              <w:rPr>
                <w:rFonts w:hint="eastAsia" w:ascii="宋体" w:hAnsi="宋体" w:eastAsia="宋体" w:cs="宋体"/>
                <w:bCs/>
                <w:color w:val="auto"/>
                <w:highlight w:val="none"/>
              </w:rPr>
            </w:pPr>
          </w:p>
        </w:tc>
        <w:tc>
          <w:tcPr>
            <w:tcW w:w="2063" w:type="dxa"/>
            <w:noWrap w:val="0"/>
            <w:vAlign w:val="top"/>
          </w:tcPr>
          <w:p w14:paraId="6178A383">
            <w:pPr>
              <w:spacing w:line="360" w:lineRule="auto"/>
              <w:rPr>
                <w:rFonts w:hint="eastAsia" w:ascii="宋体" w:hAnsi="宋体" w:eastAsia="宋体" w:cs="宋体"/>
                <w:bCs/>
                <w:color w:val="auto"/>
                <w:highlight w:val="none"/>
              </w:rPr>
            </w:pPr>
          </w:p>
        </w:tc>
      </w:tr>
      <w:tr w14:paraId="31BA0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916" w:type="dxa"/>
            <w:noWrap w:val="0"/>
            <w:vAlign w:val="top"/>
          </w:tcPr>
          <w:p w14:paraId="37543099">
            <w:pPr>
              <w:spacing w:line="360" w:lineRule="auto"/>
              <w:rPr>
                <w:rFonts w:hint="eastAsia" w:ascii="宋体" w:hAnsi="宋体" w:eastAsia="宋体" w:cs="宋体"/>
                <w:bCs/>
                <w:color w:val="auto"/>
                <w:highlight w:val="none"/>
              </w:rPr>
            </w:pPr>
          </w:p>
        </w:tc>
        <w:tc>
          <w:tcPr>
            <w:tcW w:w="1210" w:type="dxa"/>
            <w:noWrap w:val="0"/>
            <w:vAlign w:val="top"/>
          </w:tcPr>
          <w:p w14:paraId="0E4AC18A">
            <w:pPr>
              <w:spacing w:line="360" w:lineRule="auto"/>
              <w:rPr>
                <w:rFonts w:hint="eastAsia" w:ascii="宋体" w:hAnsi="宋体" w:eastAsia="宋体" w:cs="宋体"/>
                <w:bCs/>
                <w:color w:val="auto"/>
                <w:highlight w:val="none"/>
              </w:rPr>
            </w:pPr>
          </w:p>
        </w:tc>
        <w:tc>
          <w:tcPr>
            <w:tcW w:w="916" w:type="dxa"/>
            <w:noWrap w:val="0"/>
            <w:vAlign w:val="top"/>
          </w:tcPr>
          <w:p w14:paraId="09DC4CE4">
            <w:pPr>
              <w:spacing w:line="360" w:lineRule="auto"/>
              <w:rPr>
                <w:rFonts w:hint="eastAsia" w:ascii="宋体" w:hAnsi="宋体" w:eastAsia="宋体" w:cs="宋体"/>
                <w:bCs/>
                <w:color w:val="auto"/>
                <w:highlight w:val="none"/>
              </w:rPr>
            </w:pPr>
          </w:p>
        </w:tc>
        <w:tc>
          <w:tcPr>
            <w:tcW w:w="1209" w:type="dxa"/>
            <w:noWrap w:val="0"/>
            <w:vAlign w:val="top"/>
          </w:tcPr>
          <w:p w14:paraId="69C16663">
            <w:pPr>
              <w:spacing w:line="360" w:lineRule="auto"/>
              <w:rPr>
                <w:rFonts w:hint="eastAsia" w:ascii="宋体" w:hAnsi="宋体" w:eastAsia="宋体" w:cs="宋体"/>
                <w:bCs/>
                <w:color w:val="auto"/>
                <w:highlight w:val="none"/>
              </w:rPr>
            </w:pPr>
          </w:p>
        </w:tc>
        <w:tc>
          <w:tcPr>
            <w:tcW w:w="1210" w:type="dxa"/>
            <w:noWrap w:val="0"/>
            <w:vAlign w:val="top"/>
          </w:tcPr>
          <w:p w14:paraId="5E0AE0F5">
            <w:pPr>
              <w:spacing w:line="360" w:lineRule="auto"/>
              <w:rPr>
                <w:rFonts w:hint="eastAsia" w:ascii="宋体" w:hAnsi="宋体" w:eastAsia="宋体" w:cs="宋体"/>
                <w:bCs/>
                <w:color w:val="auto"/>
                <w:highlight w:val="none"/>
              </w:rPr>
            </w:pPr>
          </w:p>
        </w:tc>
        <w:tc>
          <w:tcPr>
            <w:tcW w:w="1178" w:type="dxa"/>
            <w:noWrap w:val="0"/>
            <w:vAlign w:val="top"/>
          </w:tcPr>
          <w:p w14:paraId="58447499">
            <w:pPr>
              <w:spacing w:line="360" w:lineRule="auto"/>
              <w:rPr>
                <w:rFonts w:hint="eastAsia" w:ascii="宋体" w:hAnsi="宋体" w:eastAsia="宋体" w:cs="宋体"/>
                <w:bCs/>
                <w:color w:val="auto"/>
                <w:highlight w:val="none"/>
              </w:rPr>
            </w:pPr>
          </w:p>
        </w:tc>
        <w:tc>
          <w:tcPr>
            <w:tcW w:w="1172" w:type="dxa"/>
            <w:noWrap w:val="0"/>
            <w:vAlign w:val="top"/>
          </w:tcPr>
          <w:p w14:paraId="0804F93B">
            <w:pPr>
              <w:spacing w:line="360" w:lineRule="auto"/>
              <w:rPr>
                <w:rFonts w:hint="eastAsia" w:ascii="宋体" w:hAnsi="宋体" w:eastAsia="宋体" w:cs="宋体"/>
                <w:bCs/>
                <w:color w:val="auto"/>
                <w:highlight w:val="none"/>
              </w:rPr>
            </w:pPr>
          </w:p>
        </w:tc>
        <w:tc>
          <w:tcPr>
            <w:tcW w:w="2063" w:type="dxa"/>
            <w:noWrap w:val="0"/>
            <w:vAlign w:val="top"/>
          </w:tcPr>
          <w:p w14:paraId="30A9F889">
            <w:pPr>
              <w:spacing w:line="360" w:lineRule="auto"/>
              <w:rPr>
                <w:rFonts w:hint="eastAsia" w:ascii="宋体" w:hAnsi="宋体" w:eastAsia="宋体" w:cs="宋体"/>
                <w:bCs/>
                <w:color w:val="auto"/>
                <w:highlight w:val="none"/>
              </w:rPr>
            </w:pPr>
          </w:p>
        </w:tc>
      </w:tr>
      <w:tr w14:paraId="251FB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916" w:type="dxa"/>
            <w:noWrap w:val="0"/>
            <w:vAlign w:val="top"/>
          </w:tcPr>
          <w:p w14:paraId="4A033227">
            <w:pPr>
              <w:spacing w:line="360" w:lineRule="auto"/>
              <w:rPr>
                <w:rFonts w:hint="eastAsia" w:ascii="宋体" w:hAnsi="宋体" w:eastAsia="宋体" w:cs="宋体"/>
                <w:bCs/>
                <w:color w:val="auto"/>
                <w:highlight w:val="none"/>
              </w:rPr>
            </w:pPr>
          </w:p>
        </w:tc>
        <w:tc>
          <w:tcPr>
            <w:tcW w:w="1210" w:type="dxa"/>
            <w:noWrap w:val="0"/>
            <w:vAlign w:val="top"/>
          </w:tcPr>
          <w:p w14:paraId="692C0E19">
            <w:pPr>
              <w:spacing w:line="360" w:lineRule="auto"/>
              <w:rPr>
                <w:rFonts w:hint="eastAsia" w:ascii="宋体" w:hAnsi="宋体" w:eastAsia="宋体" w:cs="宋体"/>
                <w:bCs/>
                <w:color w:val="auto"/>
                <w:highlight w:val="none"/>
              </w:rPr>
            </w:pPr>
          </w:p>
        </w:tc>
        <w:tc>
          <w:tcPr>
            <w:tcW w:w="916" w:type="dxa"/>
            <w:noWrap w:val="0"/>
            <w:vAlign w:val="top"/>
          </w:tcPr>
          <w:p w14:paraId="315E70AF">
            <w:pPr>
              <w:spacing w:line="360" w:lineRule="auto"/>
              <w:rPr>
                <w:rFonts w:hint="eastAsia" w:ascii="宋体" w:hAnsi="宋体" w:eastAsia="宋体" w:cs="宋体"/>
                <w:bCs/>
                <w:color w:val="auto"/>
                <w:highlight w:val="none"/>
              </w:rPr>
            </w:pPr>
          </w:p>
        </w:tc>
        <w:tc>
          <w:tcPr>
            <w:tcW w:w="1209" w:type="dxa"/>
            <w:noWrap w:val="0"/>
            <w:vAlign w:val="top"/>
          </w:tcPr>
          <w:p w14:paraId="033890CA">
            <w:pPr>
              <w:spacing w:line="360" w:lineRule="auto"/>
              <w:rPr>
                <w:rFonts w:hint="eastAsia" w:ascii="宋体" w:hAnsi="宋体" w:eastAsia="宋体" w:cs="宋体"/>
                <w:bCs/>
                <w:color w:val="auto"/>
                <w:highlight w:val="none"/>
              </w:rPr>
            </w:pPr>
          </w:p>
        </w:tc>
        <w:tc>
          <w:tcPr>
            <w:tcW w:w="1210" w:type="dxa"/>
            <w:noWrap w:val="0"/>
            <w:vAlign w:val="top"/>
          </w:tcPr>
          <w:p w14:paraId="163EBDDD">
            <w:pPr>
              <w:spacing w:line="360" w:lineRule="auto"/>
              <w:rPr>
                <w:rFonts w:hint="eastAsia" w:ascii="宋体" w:hAnsi="宋体" w:eastAsia="宋体" w:cs="宋体"/>
                <w:bCs/>
                <w:color w:val="auto"/>
                <w:highlight w:val="none"/>
              </w:rPr>
            </w:pPr>
          </w:p>
        </w:tc>
        <w:tc>
          <w:tcPr>
            <w:tcW w:w="1178" w:type="dxa"/>
            <w:noWrap w:val="0"/>
            <w:vAlign w:val="top"/>
          </w:tcPr>
          <w:p w14:paraId="7C3ACE2E">
            <w:pPr>
              <w:spacing w:line="360" w:lineRule="auto"/>
              <w:rPr>
                <w:rFonts w:hint="eastAsia" w:ascii="宋体" w:hAnsi="宋体" w:eastAsia="宋体" w:cs="宋体"/>
                <w:bCs/>
                <w:color w:val="auto"/>
                <w:highlight w:val="none"/>
              </w:rPr>
            </w:pPr>
          </w:p>
        </w:tc>
        <w:tc>
          <w:tcPr>
            <w:tcW w:w="1172" w:type="dxa"/>
            <w:noWrap w:val="0"/>
            <w:vAlign w:val="top"/>
          </w:tcPr>
          <w:p w14:paraId="5B0D67B7">
            <w:pPr>
              <w:spacing w:line="360" w:lineRule="auto"/>
              <w:rPr>
                <w:rFonts w:hint="eastAsia" w:ascii="宋体" w:hAnsi="宋体" w:eastAsia="宋体" w:cs="宋体"/>
                <w:bCs/>
                <w:color w:val="auto"/>
                <w:highlight w:val="none"/>
              </w:rPr>
            </w:pPr>
          </w:p>
        </w:tc>
        <w:tc>
          <w:tcPr>
            <w:tcW w:w="2063" w:type="dxa"/>
            <w:noWrap w:val="0"/>
            <w:vAlign w:val="top"/>
          </w:tcPr>
          <w:p w14:paraId="31FE0CD2">
            <w:pPr>
              <w:spacing w:line="360" w:lineRule="auto"/>
              <w:rPr>
                <w:rFonts w:hint="eastAsia" w:ascii="宋体" w:hAnsi="宋体" w:eastAsia="宋体" w:cs="宋体"/>
                <w:bCs/>
                <w:color w:val="auto"/>
                <w:highlight w:val="none"/>
              </w:rPr>
            </w:pPr>
          </w:p>
        </w:tc>
      </w:tr>
      <w:tr w14:paraId="41345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916" w:type="dxa"/>
            <w:noWrap w:val="0"/>
            <w:vAlign w:val="top"/>
          </w:tcPr>
          <w:p w14:paraId="38C8D2A2">
            <w:pPr>
              <w:spacing w:line="360" w:lineRule="auto"/>
              <w:rPr>
                <w:rFonts w:hint="eastAsia" w:ascii="宋体" w:hAnsi="宋体" w:eastAsia="宋体" w:cs="宋体"/>
                <w:bCs/>
                <w:color w:val="auto"/>
                <w:highlight w:val="none"/>
              </w:rPr>
            </w:pPr>
          </w:p>
        </w:tc>
        <w:tc>
          <w:tcPr>
            <w:tcW w:w="1210" w:type="dxa"/>
            <w:noWrap w:val="0"/>
            <w:vAlign w:val="top"/>
          </w:tcPr>
          <w:p w14:paraId="0864E156">
            <w:pPr>
              <w:spacing w:line="360" w:lineRule="auto"/>
              <w:rPr>
                <w:rFonts w:hint="eastAsia" w:ascii="宋体" w:hAnsi="宋体" w:eastAsia="宋体" w:cs="宋体"/>
                <w:bCs/>
                <w:color w:val="auto"/>
                <w:highlight w:val="none"/>
              </w:rPr>
            </w:pPr>
          </w:p>
        </w:tc>
        <w:tc>
          <w:tcPr>
            <w:tcW w:w="916" w:type="dxa"/>
            <w:noWrap w:val="0"/>
            <w:vAlign w:val="top"/>
          </w:tcPr>
          <w:p w14:paraId="070688B2">
            <w:pPr>
              <w:spacing w:line="360" w:lineRule="auto"/>
              <w:rPr>
                <w:rFonts w:hint="eastAsia" w:ascii="宋体" w:hAnsi="宋体" w:eastAsia="宋体" w:cs="宋体"/>
                <w:bCs/>
                <w:color w:val="auto"/>
                <w:highlight w:val="none"/>
              </w:rPr>
            </w:pPr>
          </w:p>
        </w:tc>
        <w:tc>
          <w:tcPr>
            <w:tcW w:w="1209" w:type="dxa"/>
            <w:noWrap w:val="0"/>
            <w:vAlign w:val="top"/>
          </w:tcPr>
          <w:p w14:paraId="20B4C7E9">
            <w:pPr>
              <w:spacing w:line="360" w:lineRule="auto"/>
              <w:rPr>
                <w:rFonts w:hint="eastAsia" w:ascii="宋体" w:hAnsi="宋体" w:eastAsia="宋体" w:cs="宋体"/>
                <w:bCs/>
                <w:color w:val="auto"/>
                <w:highlight w:val="none"/>
              </w:rPr>
            </w:pPr>
          </w:p>
        </w:tc>
        <w:tc>
          <w:tcPr>
            <w:tcW w:w="1210" w:type="dxa"/>
            <w:noWrap w:val="0"/>
            <w:vAlign w:val="top"/>
          </w:tcPr>
          <w:p w14:paraId="033069AD">
            <w:pPr>
              <w:spacing w:line="360" w:lineRule="auto"/>
              <w:rPr>
                <w:rFonts w:hint="eastAsia" w:ascii="宋体" w:hAnsi="宋体" w:eastAsia="宋体" w:cs="宋体"/>
                <w:bCs/>
                <w:color w:val="auto"/>
                <w:highlight w:val="none"/>
              </w:rPr>
            </w:pPr>
          </w:p>
        </w:tc>
        <w:tc>
          <w:tcPr>
            <w:tcW w:w="1178" w:type="dxa"/>
            <w:noWrap w:val="0"/>
            <w:vAlign w:val="top"/>
          </w:tcPr>
          <w:p w14:paraId="5316ED38">
            <w:pPr>
              <w:spacing w:line="360" w:lineRule="auto"/>
              <w:rPr>
                <w:rFonts w:hint="eastAsia" w:ascii="宋体" w:hAnsi="宋体" w:eastAsia="宋体" w:cs="宋体"/>
                <w:bCs/>
                <w:color w:val="auto"/>
                <w:highlight w:val="none"/>
              </w:rPr>
            </w:pPr>
          </w:p>
        </w:tc>
        <w:tc>
          <w:tcPr>
            <w:tcW w:w="1172" w:type="dxa"/>
            <w:noWrap w:val="0"/>
            <w:vAlign w:val="top"/>
          </w:tcPr>
          <w:p w14:paraId="47B5AA90">
            <w:pPr>
              <w:spacing w:line="360" w:lineRule="auto"/>
              <w:rPr>
                <w:rFonts w:hint="eastAsia" w:ascii="宋体" w:hAnsi="宋体" w:eastAsia="宋体" w:cs="宋体"/>
                <w:bCs/>
                <w:color w:val="auto"/>
                <w:highlight w:val="none"/>
              </w:rPr>
            </w:pPr>
          </w:p>
        </w:tc>
        <w:tc>
          <w:tcPr>
            <w:tcW w:w="2063" w:type="dxa"/>
            <w:noWrap w:val="0"/>
            <w:vAlign w:val="top"/>
          </w:tcPr>
          <w:p w14:paraId="09877D79">
            <w:pPr>
              <w:spacing w:line="360" w:lineRule="auto"/>
              <w:rPr>
                <w:rFonts w:hint="eastAsia" w:ascii="宋体" w:hAnsi="宋体" w:eastAsia="宋体" w:cs="宋体"/>
                <w:bCs/>
                <w:color w:val="auto"/>
                <w:highlight w:val="none"/>
              </w:rPr>
            </w:pPr>
          </w:p>
        </w:tc>
      </w:tr>
      <w:tr w14:paraId="03D05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916" w:type="dxa"/>
            <w:noWrap w:val="0"/>
            <w:vAlign w:val="top"/>
          </w:tcPr>
          <w:p w14:paraId="30462322">
            <w:pPr>
              <w:spacing w:line="360" w:lineRule="auto"/>
              <w:rPr>
                <w:rFonts w:hint="eastAsia" w:ascii="宋体" w:hAnsi="宋体" w:eastAsia="宋体" w:cs="宋体"/>
                <w:bCs/>
                <w:color w:val="auto"/>
                <w:highlight w:val="none"/>
              </w:rPr>
            </w:pPr>
          </w:p>
        </w:tc>
        <w:tc>
          <w:tcPr>
            <w:tcW w:w="1210" w:type="dxa"/>
            <w:noWrap w:val="0"/>
            <w:vAlign w:val="top"/>
          </w:tcPr>
          <w:p w14:paraId="25F1EFAC">
            <w:pPr>
              <w:spacing w:line="360" w:lineRule="auto"/>
              <w:rPr>
                <w:rFonts w:hint="eastAsia" w:ascii="宋体" w:hAnsi="宋体" w:eastAsia="宋体" w:cs="宋体"/>
                <w:bCs/>
                <w:color w:val="auto"/>
                <w:highlight w:val="none"/>
              </w:rPr>
            </w:pPr>
          </w:p>
        </w:tc>
        <w:tc>
          <w:tcPr>
            <w:tcW w:w="916" w:type="dxa"/>
            <w:noWrap w:val="0"/>
            <w:vAlign w:val="top"/>
          </w:tcPr>
          <w:p w14:paraId="265861CF">
            <w:pPr>
              <w:spacing w:line="360" w:lineRule="auto"/>
              <w:rPr>
                <w:rFonts w:hint="eastAsia" w:ascii="宋体" w:hAnsi="宋体" w:eastAsia="宋体" w:cs="宋体"/>
                <w:bCs/>
                <w:color w:val="auto"/>
                <w:highlight w:val="none"/>
              </w:rPr>
            </w:pPr>
          </w:p>
        </w:tc>
        <w:tc>
          <w:tcPr>
            <w:tcW w:w="1209" w:type="dxa"/>
            <w:noWrap w:val="0"/>
            <w:vAlign w:val="top"/>
          </w:tcPr>
          <w:p w14:paraId="1A746B62">
            <w:pPr>
              <w:spacing w:line="360" w:lineRule="auto"/>
              <w:rPr>
                <w:rFonts w:hint="eastAsia" w:ascii="宋体" w:hAnsi="宋体" w:eastAsia="宋体" w:cs="宋体"/>
                <w:bCs/>
                <w:color w:val="auto"/>
                <w:highlight w:val="none"/>
              </w:rPr>
            </w:pPr>
          </w:p>
        </w:tc>
        <w:tc>
          <w:tcPr>
            <w:tcW w:w="1210" w:type="dxa"/>
            <w:noWrap w:val="0"/>
            <w:vAlign w:val="top"/>
          </w:tcPr>
          <w:p w14:paraId="2FA15457">
            <w:pPr>
              <w:spacing w:line="360" w:lineRule="auto"/>
              <w:rPr>
                <w:rFonts w:hint="eastAsia" w:ascii="宋体" w:hAnsi="宋体" w:eastAsia="宋体" w:cs="宋体"/>
                <w:bCs/>
                <w:color w:val="auto"/>
                <w:highlight w:val="none"/>
              </w:rPr>
            </w:pPr>
          </w:p>
        </w:tc>
        <w:tc>
          <w:tcPr>
            <w:tcW w:w="1178" w:type="dxa"/>
            <w:noWrap w:val="0"/>
            <w:vAlign w:val="top"/>
          </w:tcPr>
          <w:p w14:paraId="0D824837">
            <w:pPr>
              <w:spacing w:line="360" w:lineRule="auto"/>
              <w:rPr>
                <w:rFonts w:hint="eastAsia" w:ascii="宋体" w:hAnsi="宋体" w:eastAsia="宋体" w:cs="宋体"/>
                <w:bCs/>
                <w:color w:val="auto"/>
                <w:highlight w:val="none"/>
              </w:rPr>
            </w:pPr>
          </w:p>
        </w:tc>
        <w:tc>
          <w:tcPr>
            <w:tcW w:w="1172" w:type="dxa"/>
            <w:noWrap w:val="0"/>
            <w:vAlign w:val="top"/>
          </w:tcPr>
          <w:p w14:paraId="2ACA9592">
            <w:pPr>
              <w:spacing w:line="360" w:lineRule="auto"/>
              <w:rPr>
                <w:rFonts w:hint="eastAsia" w:ascii="宋体" w:hAnsi="宋体" w:eastAsia="宋体" w:cs="宋体"/>
                <w:bCs/>
                <w:color w:val="auto"/>
                <w:highlight w:val="none"/>
              </w:rPr>
            </w:pPr>
          </w:p>
        </w:tc>
        <w:tc>
          <w:tcPr>
            <w:tcW w:w="2063" w:type="dxa"/>
            <w:noWrap w:val="0"/>
            <w:vAlign w:val="top"/>
          </w:tcPr>
          <w:p w14:paraId="1A42BFC9">
            <w:pPr>
              <w:spacing w:line="360" w:lineRule="auto"/>
              <w:rPr>
                <w:rFonts w:hint="eastAsia" w:ascii="宋体" w:hAnsi="宋体" w:eastAsia="宋体" w:cs="宋体"/>
                <w:bCs/>
                <w:color w:val="auto"/>
                <w:highlight w:val="none"/>
              </w:rPr>
            </w:pPr>
          </w:p>
        </w:tc>
      </w:tr>
      <w:tr w14:paraId="6AB6C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916" w:type="dxa"/>
            <w:noWrap w:val="0"/>
            <w:vAlign w:val="top"/>
          </w:tcPr>
          <w:p w14:paraId="4BCFD155">
            <w:pPr>
              <w:spacing w:line="360" w:lineRule="auto"/>
              <w:rPr>
                <w:rFonts w:hint="eastAsia" w:ascii="宋体" w:hAnsi="宋体" w:eastAsia="宋体" w:cs="宋体"/>
                <w:bCs/>
                <w:color w:val="auto"/>
                <w:highlight w:val="none"/>
              </w:rPr>
            </w:pPr>
          </w:p>
        </w:tc>
        <w:tc>
          <w:tcPr>
            <w:tcW w:w="1210" w:type="dxa"/>
            <w:noWrap w:val="0"/>
            <w:vAlign w:val="top"/>
          </w:tcPr>
          <w:p w14:paraId="59005C01">
            <w:pPr>
              <w:spacing w:line="360" w:lineRule="auto"/>
              <w:rPr>
                <w:rFonts w:hint="eastAsia" w:ascii="宋体" w:hAnsi="宋体" w:eastAsia="宋体" w:cs="宋体"/>
                <w:bCs/>
                <w:color w:val="auto"/>
                <w:highlight w:val="none"/>
              </w:rPr>
            </w:pPr>
          </w:p>
        </w:tc>
        <w:tc>
          <w:tcPr>
            <w:tcW w:w="916" w:type="dxa"/>
            <w:noWrap w:val="0"/>
            <w:vAlign w:val="top"/>
          </w:tcPr>
          <w:p w14:paraId="0D38C5A7">
            <w:pPr>
              <w:spacing w:line="360" w:lineRule="auto"/>
              <w:rPr>
                <w:rFonts w:hint="eastAsia" w:ascii="宋体" w:hAnsi="宋体" w:eastAsia="宋体" w:cs="宋体"/>
                <w:bCs/>
                <w:color w:val="auto"/>
                <w:highlight w:val="none"/>
              </w:rPr>
            </w:pPr>
          </w:p>
        </w:tc>
        <w:tc>
          <w:tcPr>
            <w:tcW w:w="1209" w:type="dxa"/>
            <w:noWrap w:val="0"/>
            <w:vAlign w:val="top"/>
          </w:tcPr>
          <w:p w14:paraId="4E35307C">
            <w:pPr>
              <w:spacing w:line="360" w:lineRule="auto"/>
              <w:rPr>
                <w:rFonts w:hint="eastAsia" w:ascii="宋体" w:hAnsi="宋体" w:eastAsia="宋体" w:cs="宋体"/>
                <w:bCs/>
                <w:color w:val="auto"/>
                <w:highlight w:val="none"/>
              </w:rPr>
            </w:pPr>
          </w:p>
        </w:tc>
        <w:tc>
          <w:tcPr>
            <w:tcW w:w="1210" w:type="dxa"/>
            <w:noWrap w:val="0"/>
            <w:vAlign w:val="top"/>
          </w:tcPr>
          <w:p w14:paraId="1F48A0B8">
            <w:pPr>
              <w:spacing w:line="360" w:lineRule="auto"/>
              <w:rPr>
                <w:rFonts w:hint="eastAsia" w:ascii="宋体" w:hAnsi="宋体" w:eastAsia="宋体" w:cs="宋体"/>
                <w:bCs/>
                <w:color w:val="auto"/>
                <w:highlight w:val="none"/>
              </w:rPr>
            </w:pPr>
          </w:p>
        </w:tc>
        <w:tc>
          <w:tcPr>
            <w:tcW w:w="1178" w:type="dxa"/>
            <w:noWrap w:val="0"/>
            <w:vAlign w:val="top"/>
          </w:tcPr>
          <w:p w14:paraId="0DA5EFE4">
            <w:pPr>
              <w:spacing w:line="360" w:lineRule="auto"/>
              <w:rPr>
                <w:rFonts w:hint="eastAsia" w:ascii="宋体" w:hAnsi="宋体" w:eastAsia="宋体" w:cs="宋体"/>
                <w:bCs/>
                <w:color w:val="auto"/>
                <w:highlight w:val="none"/>
              </w:rPr>
            </w:pPr>
          </w:p>
        </w:tc>
        <w:tc>
          <w:tcPr>
            <w:tcW w:w="1172" w:type="dxa"/>
            <w:noWrap w:val="0"/>
            <w:vAlign w:val="top"/>
          </w:tcPr>
          <w:p w14:paraId="4CECC8C1">
            <w:pPr>
              <w:spacing w:line="360" w:lineRule="auto"/>
              <w:rPr>
                <w:rFonts w:hint="eastAsia" w:ascii="宋体" w:hAnsi="宋体" w:eastAsia="宋体" w:cs="宋体"/>
                <w:bCs/>
                <w:color w:val="auto"/>
                <w:highlight w:val="none"/>
              </w:rPr>
            </w:pPr>
          </w:p>
        </w:tc>
        <w:tc>
          <w:tcPr>
            <w:tcW w:w="2063" w:type="dxa"/>
            <w:noWrap w:val="0"/>
            <w:vAlign w:val="top"/>
          </w:tcPr>
          <w:p w14:paraId="28D9B0B3">
            <w:pPr>
              <w:spacing w:line="360" w:lineRule="auto"/>
              <w:rPr>
                <w:rFonts w:hint="eastAsia" w:ascii="宋体" w:hAnsi="宋体" w:eastAsia="宋体" w:cs="宋体"/>
                <w:bCs/>
                <w:color w:val="auto"/>
                <w:highlight w:val="none"/>
              </w:rPr>
            </w:pPr>
          </w:p>
        </w:tc>
      </w:tr>
      <w:tr w14:paraId="22518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916" w:type="dxa"/>
            <w:noWrap w:val="0"/>
            <w:vAlign w:val="top"/>
          </w:tcPr>
          <w:p w14:paraId="7B57CB9D">
            <w:pPr>
              <w:spacing w:line="360" w:lineRule="auto"/>
              <w:rPr>
                <w:rFonts w:hint="eastAsia" w:ascii="宋体" w:hAnsi="宋体" w:eastAsia="宋体" w:cs="宋体"/>
                <w:bCs/>
                <w:color w:val="auto"/>
                <w:highlight w:val="none"/>
              </w:rPr>
            </w:pPr>
          </w:p>
        </w:tc>
        <w:tc>
          <w:tcPr>
            <w:tcW w:w="1210" w:type="dxa"/>
            <w:noWrap w:val="0"/>
            <w:vAlign w:val="top"/>
          </w:tcPr>
          <w:p w14:paraId="6DE27F81">
            <w:pPr>
              <w:spacing w:line="360" w:lineRule="auto"/>
              <w:rPr>
                <w:rFonts w:hint="eastAsia" w:ascii="宋体" w:hAnsi="宋体" w:eastAsia="宋体" w:cs="宋体"/>
                <w:bCs/>
                <w:color w:val="auto"/>
                <w:highlight w:val="none"/>
              </w:rPr>
            </w:pPr>
          </w:p>
        </w:tc>
        <w:tc>
          <w:tcPr>
            <w:tcW w:w="916" w:type="dxa"/>
            <w:noWrap w:val="0"/>
            <w:vAlign w:val="top"/>
          </w:tcPr>
          <w:p w14:paraId="77EE811B">
            <w:pPr>
              <w:spacing w:line="360" w:lineRule="auto"/>
              <w:rPr>
                <w:rFonts w:hint="eastAsia" w:ascii="宋体" w:hAnsi="宋体" w:eastAsia="宋体" w:cs="宋体"/>
                <w:bCs/>
                <w:color w:val="auto"/>
                <w:highlight w:val="none"/>
              </w:rPr>
            </w:pPr>
          </w:p>
        </w:tc>
        <w:tc>
          <w:tcPr>
            <w:tcW w:w="1209" w:type="dxa"/>
            <w:noWrap w:val="0"/>
            <w:vAlign w:val="top"/>
          </w:tcPr>
          <w:p w14:paraId="34D56C38">
            <w:pPr>
              <w:spacing w:line="360" w:lineRule="auto"/>
              <w:rPr>
                <w:rFonts w:hint="eastAsia" w:ascii="宋体" w:hAnsi="宋体" w:eastAsia="宋体" w:cs="宋体"/>
                <w:bCs/>
                <w:color w:val="auto"/>
                <w:highlight w:val="none"/>
              </w:rPr>
            </w:pPr>
          </w:p>
        </w:tc>
        <w:tc>
          <w:tcPr>
            <w:tcW w:w="1210" w:type="dxa"/>
            <w:noWrap w:val="0"/>
            <w:vAlign w:val="top"/>
          </w:tcPr>
          <w:p w14:paraId="2DCF8269">
            <w:pPr>
              <w:spacing w:line="360" w:lineRule="auto"/>
              <w:rPr>
                <w:rFonts w:hint="eastAsia" w:ascii="宋体" w:hAnsi="宋体" w:eastAsia="宋体" w:cs="宋体"/>
                <w:bCs/>
                <w:color w:val="auto"/>
                <w:highlight w:val="none"/>
              </w:rPr>
            </w:pPr>
          </w:p>
        </w:tc>
        <w:tc>
          <w:tcPr>
            <w:tcW w:w="1178" w:type="dxa"/>
            <w:noWrap w:val="0"/>
            <w:vAlign w:val="top"/>
          </w:tcPr>
          <w:p w14:paraId="12C47D80">
            <w:pPr>
              <w:spacing w:line="360" w:lineRule="auto"/>
              <w:rPr>
                <w:rFonts w:hint="eastAsia" w:ascii="宋体" w:hAnsi="宋体" w:eastAsia="宋体" w:cs="宋体"/>
                <w:bCs/>
                <w:color w:val="auto"/>
                <w:highlight w:val="none"/>
              </w:rPr>
            </w:pPr>
          </w:p>
        </w:tc>
        <w:tc>
          <w:tcPr>
            <w:tcW w:w="1172" w:type="dxa"/>
            <w:noWrap w:val="0"/>
            <w:vAlign w:val="top"/>
          </w:tcPr>
          <w:p w14:paraId="458A0558">
            <w:pPr>
              <w:spacing w:line="360" w:lineRule="auto"/>
              <w:rPr>
                <w:rFonts w:hint="eastAsia" w:ascii="宋体" w:hAnsi="宋体" w:eastAsia="宋体" w:cs="宋体"/>
                <w:bCs/>
                <w:color w:val="auto"/>
                <w:highlight w:val="none"/>
              </w:rPr>
            </w:pPr>
          </w:p>
        </w:tc>
        <w:tc>
          <w:tcPr>
            <w:tcW w:w="2063" w:type="dxa"/>
            <w:noWrap w:val="0"/>
            <w:vAlign w:val="top"/>
          </w:tcPr>
          <w:p w14:paraId="2AA0AE42">
            <w:pPr>
              <w:spacing w:line="360" w:lineRule="auto"/>
              <w:rPr>
                <w:rFonts w:hint="eastAsia" w:ascii="宋体" w:hAnsi="宋体" w:eastAsia="宋体" w:cs="宋体"/>
                <w:bCs/>
                <w:color w:val="auto"/>
                <w:highlight w:val="none"/>
              </w:rPr>
            </w:pPr>
          </w:p>
        </w:tc>
      </w:tr>
      <w:tr w14:paraId="5DABE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916" w:type="dxa"/>
            <w:noWrap w:val="0"/>
            <w:vAlign w:val="top"/>
          </w:tcPr>
          <w:p w14:paraId="0AB3E997">
            <w:pPr>
              <w:spacing w:line="360" w:lineRule="auto"/>
              <w:rPr>
                <w:rFonts w:hint="eastAsia" w:ascii="宋体" w:hAnsi="宋体" w:eastAsia="宋体" w:cs="宋体"/>
                <w:bCs/>
                <w:color w:val="auto"/>
                <w:highlight w:val="none"/>
              </w:rPr>
            </w:pPr>
          </w:p>
        </w:tc>
        <w:tc>
          <w:tcPr>
            <w:tcW w:w="1210" w:type="dxa"/>
            <w:noWrap w:val="0"/>
            <w:vAlign w:val="top"/>
          </w:tcPr>
          <w:p w14:paraId="4C9C8264">
            <w:pPr>
              <w:spacing w:line="360" w:lineRule="auto"/>
              <w:rPr>
                <w:rFonts w:hint="eastAsia" w:ascii="宋体" w:hAnsi="宋体" w:eastAsia="宋体" w:cs="宋体"/>
                <w:bCs/>
                <w:color w:val="auto"/>
                <w:highlight w:val="none"/>
              </w:rPr>
            </w:pPr>
          </w:p>
        </w:tc>
        <w:tc>
          <w:tcPr>
            <w:tcW w:w="916" w:type="dxa"/>
            <w:noWrap w:val="0"/>
            <w:vAlign w:val="top"/>
          </w:tcPr>
          <w:p w14:paraId="6B8BE0D3">
            <w:pPr>
              <w:spacing w:line="360" w:lineRule="auto"/>
              <w:rPr>
                <w:rFonts w:hint="eastAsia" w:ascii="宋体" w:hAnsi="宋体" w:eastAsia="宋体" w:cs="宋体"/>
                <w:bCs/>
                <w:color w:val="auto"/>
                <w:highlight w:val="none"/>
              </w:rPr>
            </w:pPr>
          </w:p>
        </w:tc>
        <w:tc>
          <w:tcPr>
            <w:tcW w:w="1209" w:type="dxa"/>
            <w:noWrap w:val="0"/>
            <w:vAlign w:val="top"/>
          </w:tcPr>
          <w:p w14:paraId="6860B5A0">
            <w:pPr>
              <w:spacing w:line="360" w:lineRule="auto"/>
              <w:rPr>
                <w:rFonts w:hint="eastAsia" w:ascii="宋体" w:hAnsi="宋体" w:eastAsia="宋体" w:cs="宋体"/>
                <w:bCs/>
                <w:color w:val="auto"/>
                <w:highlight w:val="none"/>
              </w:rPr>
            </w:pPr>
          </w:p>
        </w:tc>
        <w:tc>
          <w:tcPr>
            <w:tcW w:w="1210" w:type="dxa"/>
            <w:noWrap w:val="0"/>
            <w:vAlign w:val="top"/>
          </w:tcPr>
          <w:p w14:paraId="364D7CC3">
            <w:pPr>
              <w:spacing w:line="360" w:lineRule="auto"/>
              <w:rPr>
                <w:rFonts w:hint="eastAsia" w:ascii="宋体" w:hAnsi="宋体" w:eastAsia="宋体" w:cs="宋体"/>
                <w:bCs/>
                <w:color w:val="auto"/>
                <w:highlight w:val="none"/>
              </w:rPr>
            </w:pPr>
          </w:p>
        </w:tc>
        <w:tc>
          <w:tcPr>
            <w:tcW w:w="1178" w:type="dxa"/>
            <w:noWrap w:val="0"/>
            <w:vAlign w:val="top"/>
          </w:tcPr>
          <w:p w14:paraId="73E868C3">
            <w:pPr>
              <w:spacing w:line="360" w:lineRule="auto"/>
              <w:rPr>
                <w:rFonts w:hint="eastAsia" w:ascii="宋体" w:hAnsi="宋体" w:eastAsia="宋体" w:cs="宋体"/>
                <w:bCs/>
                <w:color w:val="auto"/>
                <w:highlight w:val="none"/>
              </w:rPr>
            </w:pPr>
          </w:p>
        </w:tc>
        <w:tc>
          <w:tcPr>
            <w:tcW w:w="1172" w:type="dxa"/>
            <w:noWrap w:val="0"/>
            <w:vAlign w:val="top"/>
          </w:tcPr>
          <w:p w14:paraId="57674168">
            <w:pPr>
              <w:spacing w:line="360" w:lineRule="auto"/>
              <w:rPr>
                <w:rFonts w:hint="eastAsia" w:ascii="宋体" w:hAnsi="宋体" w:eastAsia="宋体" w:cs="宋体"/>
                <w:bCs/>
                <w:color w:val="auto"/>
                <w:highlight w:val="none"/>
              </w:rPr>
            </w:pPr>
          </w:p>
        </w:tc>
        <w:tc>
          <w:tcPr>
            <w:tcW w:w="2063" w:type="dxa"/>
            <w:noWrap w:val="0"/>
            <w:vAlign w:val="top"/>
          </w:tcPr>
          <w:p w14:paraId="245A9F0F">
            <w:pPr>
              <w:spacing w:line="360" w:lineRule="auto"/>
              <w:rPr>
                <w:rFonts w:hint="eastAsia" w:ascii="宋体" w:hAnsi="宋体" w:eastAsia="宋体" w:cs="宋体"/>
                <w:bCs/>
                <w:color w:val="auto"/>
                <w:highlight w:val="none"/>
              </w:rPr>
            </w:pPr>
          </w:p>
        </w:tc>
      </w:tr>
    </w:tbl>
    <w:p w14:paraId="4394CAF6">
      <w:pPr>
        <w:widowControl/>
        <w:spacing w:line="360" w:lineRule="auto"/>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注：本表后应附拟投入本项目主要人员的相关证件。</w:t>
      </w:r>
    </w:p>
    <w:p w14:paraId="2DC5F66B">
      <w:pPr>
        <w:pStyle w:val="21"/>
        <w:keepNext w:val="0"/>
        <w:keepLines w:val="0"/>
        <w:widowControl/>
        <w:suppressLineNumbers w:val="0"/>
        <w:spacing w:beforeAutospacing="1" w:afterAutospacing="1" w:line="240" w:lineRule="auto"/>
        <w:ind w:left="2940" w:leftChars="1400" w:firstLine="0"/>
        <w:jc w:val="both"/>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供应商名称：（公章）</w:t>
      </w:r>
    </w:p>
    <w:p w14:paraId="1319A531">
      <w:pPr>
        <w:pStyle w:val="21"/>
        <w:keepNext w:val="0"/>
        <w:keepLines w:val="0"/>
        <w:widowControl/>
        <w:suppressLineNumbers w:val="0"/>
        <w:spacing w:beforeAutospacing="1" w:afterAutospacing="1" w:line="240" w:lineRule="auto"/>
        <w:ind w:left="2940" w:leftChars="1400" w:firstLine="0"/>
        <w:jc w:val="both"/>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法定代表人：（签字并盖章）</w:t>
      </w:r>
    </w:p>
    <w:p w14:paraId="18918C5E">
      <w:pPr>
        <w:pStyle w:val="21"/>
        <w:keepNext w:val="0"/>
        <w:keepLines w:val="0"/>
        <w:widowControl/>
        <w:suppressLineNumbers w:val="0"/>
        <w:spacing w:beforeAutospacing="1" w:afterAutospacing="1" w:line="240" w:lineRule="auto"/>
        <w:ind w:left="2940" w:leftChars="1400" w:firstLine="0"/>
        <w:jc w:val="both"/>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   期：  年   月   日</w:t>
      </w:r>
    </w:p>
    <w:p w14:paraId="07D18222">
      <w:pPr>
        <w:widowControl/>
        <w:spacing w:line="360" w:lineRule="auto"/>
        <w:jc w:val="left"/>
        <w:rPr>
          <w:rFonts w:hint="eastAsia" w:ascii="宋体" w:hAnsi="宋体" w:eastAsia="宋体" w:cs="宋体"/>
          <w:bCs/>
          <w:color w:val="auto"/>
          <w:kern w:val="0"/>
          <w:sz w:val="24"/>
          <w:szCs w:val="24"/>
          <w:highlight w:val="none"/>
        </w:rPr>
        <w:sectPr>
          <w:pgSz w:w="11906" w:h="16838"/>
          <w:pgMar w:top="1440" w:right="1080" w:bottom="1440" w:left="1080" w:header="720" w:footer="1134" w:gutter="0"/>
          <w:pgNumType w:fmt="decimal"/>
          <w:cols w:space="720" w:num="1"/>
          <w:titlePg/>
          <w:docGrid w:type="lines" w:linePitch="312" w:charSpace="0"/>
        </w:sectPr>
      </w:pPr>
    </w:p>
    <w:p w14:paraId="49E2359A">
      <w:pPr>
        <w:spacing w:line="360" w:lineRule="auto"/>
        <w:jc w:val="center"/>
        <w:rPr>
          <w:rFonts w:hint="eastAsia" w:ascii="宋体" w:hAnsi="宋体" w:eastAsia="宋体" w:cs="宋体"/>
          <w:b w:val="0"/>
          <w:bCs/>
          <w:color w:val="auto"/>
          <w:kern w:val="0"/>
          <w:sz w:val="32"/>
          <w:highlight w:val="none"/>
          <w:lang w:val="en-US" w:eastAsia="zh-CN" w:bidi="ar-SA"/>
        </w:rPr>
      </w:pPr>
      <w:r>
        <w:rPr>
          <w:rFonts w:hint="eastAsia" w:ascii="宋体" w:hAnsi="宋体" w:eastAsia="宋体" w:cs="宋体"/>
          <w:b w:val="0"/>
          <w:bCs/>
          <w:color w:val="auto"/>
          <w:kern w:val="0"/>
          <w:sz w:val="32"/>
          <w:highlight w:val="none"/>
          <w:lang w:val="en-US" w:eastAsia="zh-CN" w:bidi="ar-SA"/>
        </w:rPr>
        <w:tab/>
      </w:r>
      <w:bookmarkStart w:id="649" w:name="_Toc8255"/>
      <w:bookmarkStart w:id="650" w:name="_Toc21784"/>
      <w:bookmarkStart w:id="651" w:name="_Toc29898"/>
      <w:bookmarkStart w:id="652" w:name="_Toc8393"/>
      <w:bookmarkStart w:id="653" w:name="_Toc11226"/>
      <w:r>
        <w:rPr>
          <w:rFonts w:hint="eastAsia" w:ascii="宋体" w:hAnsi="宋体" w:eastAsia="宋体" w:cs="宋体"/>
          <w:b w:val="0"/>
          <w:bCs/>
          <w:color w:val="auto"/>
          <w:kern w:val="0"/>
          <w:sz w:val="32"/>
          <w:highlight w:val="none"/>
          <w:lang w:val="en-US" w:eastAsia="zh-CN" w:bidi="ar-SA"/>
        </w:rPr>
        <w:t>九、同类项目经验一览表</w:t>
      </w:r>
      <w:bookmarkEnd w:id="649"/>
      <w:bookmarkEnd w:id="650"/>
      <w:bookmarkEnd w:id="651"/>
      <w:bookmarkEnd w:id="652"/>
      <w:bookmarkEnd w:id="653"/>
    </w:p>
    <w:p w14:paraId="04B0B0B4">
      <w:pPr>
        <w:spacing w:line="360" w:lineRule="auto"/>
        <w:rPr>
          <w:rFonts w:hint="eastAsia" w:ascii="宋体" w:hAnsi="宋体" w:eastAsia="宋体" w:cs="宋体"/>
          <w:bCs/>
          <w:color w:val="auto"/>
          <w:highlight w:val="none"/>
          <w:u w:val="single"/>
        </w:rPr>
      </w:pPr>
      <w:r>
        <w:rPr>
          <w:rFonts w:hint="eastAsia" w:ascii="宋体" w:hAnsi="宋体" w:eastAsia="宋体" w:cs="宋体"/>
          <w:bCs/>
          <w:color w:val="auto"/>
          <w:sz w:val="24"/>
          <w:highlight w:val="none"/>
        </w:rPr>
        <w:t xml:space="preserve">供应商名称：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p>
    <w:tbl>
      <w:tblPr>
        <w:tblStyle w:val="2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56"/>
        <w:gridCol w:w="1148"/>
        <w:gridCol w:w="1524"/>
        <w:gridCol w:w="1745"/>
        <w:gridCol w:w="1553"/>
        <w:gridCol w:w="2911"/>
      </w:tblGrid>
      <w:tr w14:paraId="4D6F19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961" w:hRule="atLeast"/>
        </w:trPr>
        <w:tc>
          <w:tcPr>
            <w:tcW w:w="656" w:type="dxa"/>
            <w:noWrap w:val="0"/>
            <w:vAlign w:val="center"/>
          </w:tcPr>
          <w:p w14:paraId="2B2CF78B">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序号</w:t>
            </w:r>
          </w:p>
        </w:tc>
        <w:tc>
          <w:tcPr>
            <w:tcW w:w="1148" w:type="dxa"/>
            <w:noWrap w:val="0"/>
            <w:vAlign w:val="center"/>
          </w:tcPr>
          <w:p w14:paraId="7974996C">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项目名称</w:t>
            </w:r>
          </w:p>
        </w:tc>
        <w:tc>
          <w:tcPr>
            <w:tcW w:w="1524" w:type="dxa"/>
            <w:noWrap w:val="0"/>
            <w:vAlign w:val="center"/>
          </w:tcPr>
          <w:p w14:paraId="31262C76">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项目内容</w:t>
            </w:r>
          </w:p>
        </w:tc>
        <w:tc>
          <w:tcPr>
            <w:tcW w:w="1745" w:type="dxa"/>
            <w:tcBorders>
              <w:left w:val="single" w:color="auto" w:sz="4" w:space="0"/>
              <w:right w:val="single" w:color="auto" w:sz="4" w:space="0"/>
            </w:tcBorders>
            <w:noWrap w:val="0"/>
            <w:vAlign w:val="center"/>
          </w:tcPr>
          <w:p w14:paraId="1ADD258E">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合同金额</w:t>
            </w:r>
          </w:p>
          <w:p w14:paraId="5CE39E64">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（万元）</w:t>
            </w:r>
          </w:p>
        </w:tc>
        <w:tc>
          <w:tcPr>
            <w:tcW w:w="1553" w:type="dxa"/>
            <w:noWrap w:val="0"/>
            <w:vAlign w:val="center"/>
          </w:tcPr>
          <w:p w14:paraId="019C4D2C">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完成日期</w:t>
            </w:r>
          </w:p>
        </w:tc>
        <w:tc>
          <w:tcPr>
            <w:tcW w:w="2911" w:type="dxa"/>
            <w:noWrap w:val="0"/>
            <w:vAlign w:val="center"/>
          </w:tcPr>
          <w:p w14:paraId="20EC6467">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业主名称、联系人及电话</w:t>
            </w:r>
          </w:p>
        </w:tc>
      </w:tr>
      <w:tr w14:paraId="545A5B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2" w:hRule="atLeast"/>
        </w:trPr>
        <w:tc>
          <w:tcPr>
            <w:tcW w:w="656" w:type="dxa"/>
            <w:noWrap w:val="0"/>
            <w:vAlign w:val="center"/>
          </w:tcPr>
          <w:p w14:paraId="76DA67CC">
            <w:pPr>
              <w:spacing w:line="360" w:lineRule="auto"/>
              <w:ind w:left="12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p>
        </w:tc>
        <w:tc>
          <w:tcPr>
            <w:tcW w:w="1148" w:type="dxa"/>
            <w:noWrap w:val="0"/>
            <w:vAlign w:val="center"/>
          </w:tcPr>
          <w:p w14:paraId="1151D50E">
            <w:pPr>
              <w:spacing w:line="360" w:lineRule="auto"/>
              <w:jc w:val="center"/>
              <w:rPr>
                <w:rFonts w:hint="eastAsia" w:ascii="宋体" w:hAnsi="宋体" w:eastAsia="宋体" w:cs="宋体"/>
                <w:bCs/>
                <w:color w:val="auto"/>
                <w:sz w:val="24"/>
                <w:highlight w:val="none"/>
              </w:rPr>
            </w:pPr>
          </w:p>
        </w:tc>
        <w:tc>
          <w:tcPr>
            <w:tcW w:w="1524" w:type="dxa"/>
            <w:noWrap w:val="0"/>
            <w:vAlign w:val="center"/>
          </w:tcPr>
          <w:p w14:paraId="420B19FA">
            <w:pPr>
              <w:spacing w:line="360" w:lineRule="auto"/>
              <w:jc w:val="center"/>
              <w:rPr>
                <w:rFonts w:hint="eastAsia" w:ascii="宋体" w:hAnsi="宋体" w:eastAsia="宋体" w:cs="宋体"/>
                <w:bCs/>
                <w:color w:val="auto"/>
                <w:sz w:val="24"/>
                <w:highlight w:val="none"/>
              </w:rPr>
            </w:pPr>
          </w:p>
        </w:tc>
        <w:tc>
          <w:tcPr>
            <w:tcW w:w="1745" w:type="dxa"/>
            <w:tcBorders>
              <w:left w:val="single" w:color="auto" w:sz="4" w:space="0"/>
              <w:right w:val="single" w:color="auto" w:sz="4" w:space="0"/>
            </w:tcBorders>
            <w:noWrap w:val="0"/>
            <w:vAlign w:val="center"/>
          </w:tcPr>
          <w:p w14:paraId="4E540234">
            <w:pPr>
              <w:spacing w:line="360" w:lineRule="auto"/>
              <w:jc w:val="center"/>
              <w:rPr>
                <w:rFonts w:hint="eastAsia" w:ascii="宋体" w:hAnsi="宋体" w:eastAsia="宋体" w:cs="宋体"/>
                <w:bCs/>
                <w:color w:val="auto"/>
                <w:sz w:val="24"/>
                <w:highlight w:val="none"/>
              </w:rPr>
            </w:pPr>
          </w:p>
        </w:tc>
        <w:tc>
          <w:tcPr>
            <w:tcW w:w="1553" w:type="dxa"/>
            <w:noWrap w:val="0"/>
            <w:vAlign w:val="center"/>
          </w:tcPr>
          <w:p w14:paraId="0EFDF77B">
            <w:pPr>
              <w:spacing w:line="360" w:lineRule="auto"/>
              <w:jc w:val="center"/>
              <w:rPr>
                <w:rFonts w:hint="eastAsia" w:ascii="宋体" w:hAnsi="宋体" w:eastAsia="宋体" w:cs="宋体"/>
                <w:bCs/>
                <w:color w:val="auto"/>
                <w:sz w:val="24"/>
                <w:highlight w:val="none"/>
              </w:rPr>
            </w:pPr>
          </w:p>
        </w:tc>
        <w:tc>
          <w:tcPr>
            <w:tcW w:w="2911" w:type="dxa"/>
            <w:noWrap w:val="0"/>
            <w:vAlign w:val="top"/>
          </w:tcPr>
          <w:p w14:paraId="4FCEC0B4">
            <w:pPr>
              <w:spacing w:line="360" w:lineRule="auto"/>
              <w:jc w:val="center"/>
              <w:rPr>
                <w:rFonts w:hint="eastAsia" w:ascii="宋体" w:hAnsi="宋体" w:eastAsia="宋体" w:cs="宋体"/>
                <w:bCs/>
                <w:color w:val="auto"/>
                <w:sz w:val="24"/>
                <w:highlight w:val="none"/>
              </w:rPr>
            </w:pPr>
          </w:p>
        </w:tc>
      </w:tr>
      <w:tr w14:paraId="24EB88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2" w:hRule="atLeast"/>
        </w:trPr>
        <w:tc>
          <w:tcPr>
            <w:tcW w:w="656" w:type="dxa"/>
            <w:noWrap w:val="0"/>
            <w:vAlign w:val="center"/>
          </w:tcPr>
          <w:p w14:paraId="0DAEA39E">
            <w:pPr>
              <w:spacing w:line="360" w:lineRule="auto"/>
              <w:ind w:left="12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p>
        </w:tc>
        <w:tc>
          <w:tcPr>
            <w:tcW w:w="1148" w:type="dxa"/>
            <w:noWrap w:val="0"/>
            <w:vAlign w:val="center"/>
          </w:tcPr>
          <w:p w14:paraId="68AF9CF1">
            <w:pPr>
              <w:spacing w:line="360" w:lineRule="auto"/>
              <w:jc w:val="center"/>
              <w:rPr>
                <w:rFonts w:hint="eastAsia" w:ascii="宋体" w:hAnsi="宋体" w:eastAsia="宋体" w:cs="宋体"/>
                <w:bCs/>
                <w:color w:val="auto"/>
                <w:sz w:val="24"/>
                <w:highlight w:val="none"/>
              </w:rPr>
            </w:pPr>
          </w:p>
        </w:tc>
        <w:tc>
          <w:tcPr>
            <w:tcW w:w="1524" w:type="dxa"/>
            <w:noWrap w:val="0"/>
            <w:vAlign w:val="center"/>
          </w:tcPr>
          <w:p w14:paraId="439B210B">
            <w:pPr>
              <w:spacing w:line="360" w:lineRule="auto"/>
              <w:jc w:val="center"/>
              <w:rPr>
                <w:rFonts w:hint="eastAsia" w:ascii="宋体" w:hAnsi="宋体" w:eastAsia="宋体" w:cs="宋体"/>
                <w:bCs/>
                <w:color w:val="auto"/>
                <w:sz w:val="24"/>
                <w:highlight w:val="none"/>
              </w:rPr>
            </w:pPr>
          </w:p>
        </w:tc>
        <w:tc>
          <w:tcPr>
            <w:tcW w:w="1745" w:type="dxa"/>
            <w:tcBorders>
              <w:left w:val="single" w:color="auto" w:sz="4" w:space="0"/>
              <w:right w:val="single" w:color="auto" w:sz="4" w:space="0"/>
            </w:tcBorders>
            <w:noWrap w:val="0"/>
            <w:vAlign w:val="center"/>
          </w:tcPr>
          <w:p w14:paraId="3FC1463B">
            <w:pPr>
              <w:spacing w:line="360" w:lineRule="auto"/>
              <w:jc w:val="center"/>
              <w:rPr>
                <w:rFonts w:hint="eastAsia" w:ascii="宋体" w:hAnsi="宋体" w:eastAsia="宋体" w:cs="宋体"/>
                <w:bCs/>
                <w:color w:val="auto"/>
                <w:sz w:val="24"/>
                <w:highlight w:val="none"/>
              </w:rPr>
            </w:pPr>
          </w:p>
        </w:tc>
        <w:tc>
          <w:tcPr>
            <w:tcW w:w="1553" w:type="dxa"/>
            <w:noWrap w:val="0"/>
            <w:vAlign w:val="center"/>
          </w:tcPr>
          <w:p w14:paraId="58F3BB8F">
            <w:pPr>
              <w:spacing w:line="360" w:lineRule="auto"/>
              <w:jc w:val="center"/>
              <w:rPr>
                <w:rFonts w:hint="eastAsia" w:ascii="宋体" w:hAnsi="宋体" w:eastAsia="宋体" w:cs="宋体"/>
                <w:bCs/>
                <w:color w:val="auto"/>
                <w:sz w:val="24"/>
                <w:highlight w:val="none"/>
              </w:rPr>
            </w:pPr>
          </w:p>
        </w:tc>
        <w:tc>
          <w:tcPr>
            <w:tcW w:w="2911" w:type="dxa"/>
            <w:noWrap w:val="0"/>
            <w:vAlign w:val="top"/>
          </w:tcPr>
          <w:p w14:paraId="1B1E2391">
            <w:pPr>
              <w:spacing w:line="360" w:lineRule="auto"/>
              <w:jc w:val="center"/>
              <w:rPr>
                <w:rFonts w:hint="eastAsia" w:ascii="宋体" w:hAnsi="宋体" w:eastAsia="宋体" w:cs="宋体"/>
                <w:bCs/>
                <w:color w:val="auto"/>
                <w:sz w:val="24"/>
                <w:highlight w:val="none"/>
              </w:rPr>
            </w:pPr>
          </w:p>
        </w:tc>
      </w:tr>
      <w:tr w14:paraId="52B067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2" w:hRule="atLeast"/>
        </w:trPr>
        <w:tc>
          <w:tcPr>
            <w:tcW w:w="656" w:type="dxa"/>
            <w:noWrap w:val="0"/>
            <w:vAlign w:val="center"/>
          </w:tcPr>
          <w:p w14:paraId="554A4B21">
            <w:pPr>
              <w:spacing w:line="360" w:lineRule="auto"/>
              <w:ind w:left="12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w:t>
            </w:r>
          </w:p>
        </w:tc>
        <w:tc>
          <w:tcPr>
            <w:tcW w:w="1148" w:type="dxa"/>
            <w:noWrap w:val="0"/>
            <w:vAlign w:val="center"/>
          </w:tcPr>
          <w:p w14:paraId="27D95696">
            <w:pPr>
              <w:spacing w:line="360" w:lineRule="auto"/>
              <w:jc w:val="center"/>
              <w:rPr>
                <w:rFonts w:hint="eastAsia" w:ascii="宋体" w:hAnsi="宋体" w:eastAsia="宋体" w:cs="宋体"/>
                <w:bCs/>
                <w:color w:val="auto"/>
                <w:sz w:val="24"/>
                <w:highlight w:val="none"/>
              </w:rPr>
            </w:pPr>
          </w:p>
        </w:tc>
        <w:tc>
          <w:tcPr>
            <w:tcW w:w="1524" w:type="dxa"/>
            <w:noWrap w:val="0"/>
            <w:vAlign w:val="center"/>
          </w:tcPr>
          <w:p w14:paraId="76537859">
            <w:pPr>
              <w:spacing w:line="360" w:lineRule="auto"/>
              <w:jc w:val="center"/>
              <w:rPr>
                <w:rFonts w:hint="eastAsia" w:ascii="宋体" w:hAnsi="宋体" w:eastAsia="宋体" w:cs="宋体"/>
                <w:bCs/>
                <w:color w:val="auto"/>
                <w:sz w:val="24"/>
                <w:highlight w:val="none"/>
              </w:rPr>
            </w:pPr>
          </w:p>
        </w:tc>
        <w:tc>
          <w:tcPr>
            <w:tcW w:w="1745" w:type="dxa"/>
            <w:tcBorders>
              <w:left w:val="single" w:color="auto" w:sz="4" w:space="0"/>
              <w:right w:val="single" w:color="auto" w:sz="4" w:space="0"/>
            </w:tcBorders>
            <w:noWrap w:val="0"/>
            <w:vAlign w:val="center"/>
          </w:tcPr>
          <w:p w14:paraId="45D9E6DE">
            <w:pPr>
              <w:spacing w:line="360" w:lineRule="auto"/>
              <w:jc w:val="center"/>
              <w:rPr>
                <w:rFonts w:hint="eastAsia" w:ascii="宋体" w:hAnsi="宋体" w:eastAsia="宋体" w:cs="宋体"/>
                <w:bCs/>
                <w:color w:val="auto"/>
                <w:sz w:val="24"/>
                <w:highlight w:val="none"/>
              </w:rPr>
            </w:pPr>
          </w:p>
        </w:tc>
        <w:tc>
          <w:tcPr>
            <w:tcW w:w="1553" w:type="dxa"/>
            <w:noWrap w:val="0"/>
            <w:vAlign w:val="center"/>
          </w:tcPr>
          <w:p w14:paraId="0683909E">
            <w:pPr>
              <w:spacing w:line="360" w:lineRule="auto"/>
              <w:jc w:val="center"/>
              <w:rPr>
                <w:rFonts w:hint="eastAsia" w:ascii="宋体" w:hAnsi="宋体" w:eastAsia="宋体" w:cs="宋体"/>
                <w:bCs/>
                <w:color w:val="auto"/>
                <w:sz w:val="24"/>
                <w:highlight w:val="none"/>
              </w:rPr>
            </w:pPr>
          </w:p>
        </w:tc>
        <w:tc>
          <w:tcPr>
            <w:tcW w:w="2911" w:type="dxa"/>
            <w:noWrap w:val="0"/>
            <w:vAlign w:val="top"/>
          </w:tcPr>
          <w:p w14:paraId="04AF816D">
            <w:pPr>
              <w:spacing w:line="360" w:lineRule="auto"/>
              <w:jc w:val="center"/>
              <w:rPr>
                <w:rFonts w:hint="eastAsia" w:ascii="宋体" w:hAnsi="宋体" w:eastAsia="宋体" w:cs="宋体"/>
                <w:bCs/>
                <w:color w:val="auto"/>
                <w:sz w:val="24"/>
                <w:highlight w:val="none"/>
              </w:rPr>
            </w:pPr>
          </w:p>
        </w:tc>
      </w:tr>
      <w:tr w14:paraId="1BDED1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2" w:hRule="atLeast"/>
        </w:trPr>
        <w:tc>
          <w:tcPr>
            <w:tcW w:w="656" w:type="dxa"/>
            <w:noWrap w:val="0"/>
            <w:vAlign w:val="center"/>
          </w:tcPr>
          <w:p w14:paraId="324A3950">
            <w:pPr>
              <w:spacing w:line="360" w:lineRule="auto"/>
              <w:ind w:left="12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w:t>
            </w:r>
          </w:p>
        </w:tc>
        <w:tc>
          <w:tcPr>
            <w:tcW w:w="1148" w:type="dxa"/>
            <w:noWrap w:val="0"/>
            <w:vAlign w:val="center"/>
          </w:tcPr>
          <w:p w14:paraId="68BD290B">
            <w:pPr>
              <w:spacing w:line="360" w:lineRule="auto"/>
              <w:jc w:val="center"/>
              <w:rPr>
                <w:rFonts w:hint="eastAsia" w:ascii="宋体" w:hAnsi="宋体" w:eastAsia="宋体" w:cs="宋体"/>
                <w:bCs/>
                <w:color w:val="auto"/>
                <w:sz w:val="24"/>
                <w:highlight w:val="none"/>
              </w:rPr>
            </w:pPr>
          </w:p>
        </w:tc>
        <w:tc>
          <w:tcPr>
            <w:tcW w:w="1524" w:type="dxa"/>
            <w:noWrap w:val="0"/>
            <w:vAlign w:val="center"/>
          </w:tcPr>
          <w:p w14:paraId="26DD8928">
            <w:pPr>
              <w:spacing w:line="360" w:lineRule="auto"/>
              <w:jc w:val="center"/>
              <w:rPr>
                <w:rFonts w:hint="eastAsia" w:ascii="宋体" w:hAnsi="宋体" w:eastAsia="宋体" w:cs="宋体"/>
                <w:bCs/>
                <w:color w:val="auto"/>
                <w:sz w:val="24"/>
                <w:highlight w:val="none"/>
              </w:rPr>
            </w:pPr>
          </w:p>
        </w:tc>
        <w:tc>
          <w:tcPr>
            <w:tcW w:w="1745" w:type="dxa"/>
            <w:tcBorders>
              <w:left w:val="single" w:color="auto" w:sz="4" w:space="0"/>
              <w:right w:val="single" w:color="auto" w:sz="4" w:space="0"/>
            </w:tcBorders>
            <w:noWrap w:val="0"/>
            <w:vAlign w:val="center"/>
          </w:tcPr>
          <w:p w14:paraId="413384CF">
            <w:pPr>
              <w:spacing w:line="360" w:lineRule="auto"/>
              <w:jc w:val="center"/>
              <w:rPr>
                <w:rFonts w:hint="eastAsia" w:ascii="宋体" w:hAnsi="宋体" w:eastAsia="宋体" w:cs="宋体"/>
                <w:bCs/>
                <w:color w:val="auto"/>
                <w:sz w:val="24"/>
                <w:highlight w:val="none"/>
              </w:rPr>
            </w:pPr>
          </w:p>
        </w:tc>
        <w:tc>
          <w:tcPr>
            <w:tcW w:w="1553" w:type="dxa"/>
            <w:noWrap w:val="0"/>
            <w:vAlign w:val="center"/>
          </w:tcPr>
          <w:p w14:paraId="7ECE8C98">
            <w:pPr>
              <w:spacing w:line="360" w:lineRule="auto"/>
              <w:jc w:val="center"/>
              <w:rPr>
                <w:rFonts w:hint="eastAsia" w:ascii="宋体" w:hAnsi="宋体" w:eastAsia="宋体" w:cs="宋体"/>
                <w:bCs/>
                <w:color w:val="auto"/>
                <w:sz w:val="24"/>
                <w:highlight w:val="none"/>
              </w:rPr>
            </w:pPr>
          </w:p>
        </w:tc>
        <w:tc>
          <w:tcPr>
            <w:tcW w:w="2911" w:type="dxa"/>
            <w:noWrap w:val="0"/>
            <w:vAlign w:val="top"/>
          </w:tcPr>
          <w:p w14:paraId="782B1559">
            <w:pPr>
              <w:spacing w:line="360" w:lineRule="auto"/>
              <w:jc w:val="center"/>
              <w:rPr>
                <w:rFonts w:hint="eastAsia" w:ascii="宋体" w:hAnsi="宋体" w:eastAsia="宋体" w:cs="宋体"/>
                <w:bCs/>
                <w:color w:val="auto"/>
                <w:sz w:val="24"/>
                <w:highlight w:val="none"/>
              </w:rPr>
            </w:pPr>
          </w:p>
        </w:tc>
      </w:tr>
      <w:tr w14:paraId="74AF6D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2" w:hRule="atLeast"/>
        </w:trPr>
        <w:tc>
          <w:tcPr>
            <w:tcW w:w="656" w:type="dxa"/>
            <w:noWrap w:val="0"/>
            <w:vAlign w:val="center"/>
          </w:tcPr>
          <w:p w14:paraId="5BC10DB5">
            <w:pPr>
              <w:spacing w:line="360" w:lineRule="auto"/>
              <w:ind w:left="12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w:t>
            </w:r>
          </w:p>
        </w:tc>
        <w:tc>
          <w:tcPr>
            <w:tcW w:w="1148" w:type="dxa"/>
            <w:noWrap w:val="0"/>
            <w:vAlign w:val="center"/>
          </w:tcPr>
          <w:p w14:paraId="7C766288">
            <w:pPr>
              <w:spacing w:line="360" w:lineRule="auto"/>
              <w:jc w:val="center"/>
              <w:rPr>
                <w:rFonts w:hint="eastAsia" w:ascii="宋体" w:hAnsi="宋体" w:eastAsia="宋体" w:cs="宋体"/>
                <w:bCs/>
                <w:color w:val="auto"/>
                <w:sz w:val="24"/>
                <w:highlight w:val="none"/>
              </w:rPr>
            </w:pPr>
          </w:p>
        </w:tc>
        <w:tc>
          <w:tcPr>
            <w:tcW w:w="1524" w:type="dxa"/>
            <w:noWrap w:val="0"/>
            <w:vAlign w:val="center"/>
          </w:tcPr>
          <w:p w14:paraId="5A94412F">
            <w:pPr>
              <w:spacing w:line="360" w:lineRule="auto"/>
              <w:jc w:val="center"/>
              <w:rPr>
                <w:rFonts w:hint="eastAsia" w:ascii="宋体" w:hAnsi="宋体" w:eastAsia="宋体" w:cs="宋体"/>
                <w:bCs/>
                <w:color w:val="auto"/>
                <w:sz w:val="24"/>
                <w:highlight w:val="none"/>
              </w:rPr>
            </w:pPr>
          </w:p>
        </w:tc>
        <w:tc>
          <w:tcPr>
            <w:tcW w:w="1745" w:type="dxa"/>
            <w:tcBorders>
              <w:left w:val="single" w:color="auto" w:sz="4" w:space="0"/>
              <w:right w:val="single" w:color="auto" w:sz="4" w:space="0"/>
            </w:tcBorders>
            <w:noWrap w:val="0"/>
            <w:vAlign w:val="center"/>
          </w:tcPr>
          <w:p w14:paraId="269623DF">
            <w:pPr>
              <w:spacing w:line="360" w:lineRule="auto"/>
              <w:jc w:val="center"/>
              <w:rPr>
                <w:rFonts w:hint="eastAsia" w:ascii="宋体" w:hAnsi="宋体" w:eastAsia="宋体" w:cs="宋体"/>
                <w:bCs/>
                <w:color w:val="auto"/>
                <w:sz w:val="24"/>
                <w:highlight w:val="none"/>
              </w:rPr>
            </w:pPr>
          </w:p>
        </w:tc>
        <w:tc>
          <w:tcPr>
            <w:tcW w:w="1553" w:type="dxa"/>
            <w:noWrap w:val="0"/>
            <w:vAlign w:val="center"/>
          </w:tcPr>
          <w:p w14:paraId="05193E19">
            <w:pPr>
              <w:spacing w:line="360" w:lineRule="auto"/>
              <w:jc w:val="center"/>
              <w:rPr>
                <w:rFonts w:hint="eastAsia" w:ascii="宋体" w:hAnsi="宋体" w:eastAsia="宋体" w:cs="宋体"/>
                <w:bCs/>
                <w:color w:val="auto"/>
                <w:sz w:val="24"/>
                <w:highlight w:val="none"/>
              </w:rPr>
            </w:pPr>
          </w:p>
        </w:tc>
        <w:tc>
          <w:tcPr>
            <w:tcW w:w="2911" w:type="dxa"/>
            <w:noWrap w:val="0"/>
            <w:vAlign w:val="top"/>
          </w:tcPr>
          <w:p w14:paraId="3C29A44B">
            <w:pPr>
              <w:spacing w:line="360" w:lineRule="auto"/>
              <w:jc w:val="center"/>
              <w:rPr>
                <w:rFonts w:hint="eastAsia" w:ascii="宋体" w:hAnsi="宋体" w:eastAsia="宋体" w:cs="宋体"/>
                <w:bCs/>
                <w:color w:val="auto"/>
                <w:sz w:val="24"/>
                <w:highlight w:val="none"/>
              </w:rPr>
            </w:pPr>
          </w:p>
        </w:tc>
      </w:tr>
      <w:tr w14:paraId="60E7E6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2" w:hRule="atLeast"/>
        </w:trPr>
        <w:tc>
          <w:tcPr>
            <w:tcW w:w="656" w:type="dxa"/>
            <w:noWrap w:val="0"/>
            <w:vAlign w:val="center"/>
          </w:tcPr>
          <w:p w14:paraId="42CF524E">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p>
        </w:tc>
        <w:tc>
          <w:tcPr>
            <w:tcW w:w="1148" w:type="dxa"/>
            <w:noWrap w:val="0"/>
            <w:vAlign w:val="center"/>
          </w:tcPr>
          <w:p w14:paraId="3B47C033">
            <w:pPr>
              <w:spacing w:line="360" w:lineRule="auto"/>
              <w:jc w:val="center"/>
              <w:rPr>
                <w:rFonts w:hint="eastAsia" w:ascii="宋体" w:hAnsi="宋体" w:eastAsia="宋体" w:cs="宋体"/>
                <w:bCs/>
                <w:color w:val="auto"/>
                <w:sz w:val="24"/>
                <w:highlight w:val="none"/>
              </w:rPr>
            </w:pPr>
          </w:p>
        </w:tc>
        <w:tc>
          <w:tcPr>
            <w:tcW w:w="1524" w:type="dxa"/>
            <w:noWrap w:val="0"/>
            <w:vAlign w:val="center"/>
          </w:tcPr>
          <w:p w14:paraId="20A668E0">
            <w:pPr>
              <w:spacing w:line="360" w:lineRule="auto"/>
              <w:jc w:val="center"/>
              <w:rPr>
                <w:rFonts w:hint="eastAsia" w:ascii="宋体" w:hAnsi="宋体" w:eastAsia="宋体" w:cs="宋体"/>
                <w:bCs/>
                <w:color w:val="auto"/>
                <w:sz w:val="24"/>
                <w:highlight w:val="none"/>
              </w:rPr>
            </w:pPr>
          </w:p>
        </w:tc>
        <w:tc>
          <w:tcPr>
            <w:tcW w:w="1745" w:type="dxa"/>
            <w:tcBorders>
              <w:left w:val="single" w:color="auto" w:sz="4" w:space="0"/>
              <w:right w:val="single" w:color="auto" w:sz="4" w:space="0"/>
            </w:tcBorders>
            <w:noWrap w:val="0"/>
            <w:vAlign w:val="center"/>
          </w:tcPr>
          <w:p w14:paraId="023C4CE0">
            <w:pPr>
              <w:spacing w:line="360" w:lineRule="auto"/>
              <w:jc w:val="center"/>
              <w:rPr>
                <w:rFonts w:hint="eastAsia" w:ascii="宋体" w:hAnsi="宋体" w:eastAsia="宋体" w:cs="宋体"/>
                <w:bCs/>
                <w:color w:val="auto"/>
                <w:sz w:val="24"/>
                <w:highlight w:val="none"/>
              </w:rPr>
            </w:pPr>
          </w:p>
        </w:tc>
        <w:tc>
          <w:tcPr>
            <w:tcW w:w="1553" w:type="dxa"/>
            <w:noWrap w:val="0"/>
            <w:vAlign w:val="center"/>
          </w:tcPr>
          <w:p w14:paraId="3BDA9149">
            <w:pPr>
              <w:spacing w:line="360" w:lineRule="auto"/>
              <w:jc w:val="center"/>
              <w:rPr>
                <w:rFonts w:hint="eastAsia" w:ascii="宋体" w:hAnsi="宋体" w:eastAsia="宋体" w:cs="宋体"/>
                <w:bCs/>
                <w:color w:val="auto"/>
                <w:sz w:val="24"/>
                <w:highlight w:val="none"/>
              </w:rPr>
            </w:pPr>
          </w:p>
        </w:tc>
        <w:tc>
          <w:tcPr>
            <w:tcW w:w="2911" w:type="dxa"/>
            <w:noWrap w:val="0"/>
            <w:vAlign w:val="top"/>
          </w:tcPr>
          <w:p w14:paraId="0C96EC07">
            <w:pPr>
              <w:spacing w:line="360" w:lineRule="auto"/>
              <w:jc w:val="center"/>
              <w:rPr>
                <w:rFonts w:hint="eastAsia" w:ascii="宋体" w:hAnsi="宋体" w:eastAsia="宋体" w:cs="宋体"/>
                <w:bCs/>
                <w:color w:val="auto"/>
                <w:sz w:val="24"/>
                <w:highlight w:val="none"/>
              </w:rPr>
            </w:pPr>
          </w:p>
        </w:tc>
      </w:tr>
      <w:tr w14:paraId="6205B3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2" w:hRule="atLeast"/>
        </w:trPr>
        <w:tc>
          <w:tcPr>
            <w:tcW w:w="656" w:type="dxa"/>
            <w:noWrap w:val="0"/>
            <w:vAlign w:val="center"/>
          </w:tcPr>
          <w:p w14:paraId="067E6BD9">
            <w:pPr>
              <w:spacing w:line="360" w:lineRule="auto"/>
              <w:jc w:val="center"/>
              <w:rPr>
                <w:rFonts w:hint="eastAsia" w:ascii="宋体" w:hAnsi="宋体" w:eastAsia="宋体" w:cs="宋体"/>
                <w:bCs/>
                <w:color w:val="auto"/>
                <w:sz w:val="24"/>
                <w:highlight w:val="none"/>
              </w:rPr>
            </w:pPr>
          </w:p>
        </w:tc>
        <w:tc>
          <w:tcPr>
            <w:tcW w:w="1148" w:type="dxa"/>
            <w:noWrap w:val="0"/>
            <w:vAlign w:val="center"/>
          </w:tcPr>
          <w:p w14:paraId="056100C0">
            <w:pPr>
              <w:spacing w:line="360" w:lineRule="auto"/>
              <w:jc w:val="center"/>
              <w:rPr>
                <w:rFonts w:hint="eastAsia" w:ascii="宋体" w:hAnsi="宋体" w:eastAsia="宋体" w:cs="宋体"/>
                <w:bCs/>
                <w:color w:val="auto"/>
                <w:sz w:val="24"/>
                <w:highlight w:val="none"/>
              </w:rPr>
            </w:pPr>
          </w:p>
        </w:tc>
        <w:tc>
          <w:tcPr>
            <w:tcW w:w="1524" w:type="dxa"/>
            <w:noWrap w:val="0"/>
            <w:vAlign w:val="center"/>
          </w:tcPr>
          <w:p w14:paraId="065151C9">
            <w:pPr>
              <w:spacing w:line="360" w:lineRule="auto"/>
              <w:jc w:val="center"/>
              <w:rPr>
                <w:rFonts w:hint="eastAsia" w:ascii="宋体" w:hAnsi="宋体" w:eastAsia="宋体" w:cs="宋体"/>
                <w:bCs/>
                <w:color w:val="auto"/>
                <w:sz w:val="24"/>
                <w:highlight w:val="none"/>
              </w:rPr>
            </w:pPr>
          </w:p>
        </w:tc>
        <w:tc>
          <w:tcPr>
            <w:tcW w:w="1745" w:type="dxa"/>
            <w:tcBorders>
              <w:left w:val="single" w:color="auto" w:sz="4" w:space="0"/>
              <w:right w:val="single" w:color="auto" w:sz="4" w:space="0"/>
            </w:tcBorders>
            <w:noWrap w:val="0"/>
            <w:vAlign w:val="center"/>
          </w:tcPr>
          <w:p w14:paraId="1F373BD9">
            <w:pPr>
              <w:spacing w:line="360" w:lineRule="auto"/>
              <w:jc w:val="center"/>
              <w:rPr>
                <w:rFonts w:hint="eastAsia" w:ascii="宋体" w:hAnsi="宋体" w:eastAsia="宋体" w:cs="宋体"/>
                <w:bCs/>
                <w:color w:val="auto"/>
                <w:sz w:val="24"/>
                <w:highlight w:val="none"/>
              </w:rPr>
            </w:pPr>
          </w:p>
        </w:tc>
        <w:tc>
          <w:tcPr>
            <w:tcW w:w="1553" w:type="dxa"/>
            <w:noWrap w:val="0"/>
            <w:vAlign w:val="center"/>
          </w:tcPr>
          <w:p w14:paraId="3512E214">
            <w:pPr>
              <w:spacing w:line="360" w:lineRule="auto"/>
              <w:jc w:val="center"/>
              <w:rPr>
                <w:rFonts w:hint="eastAsia" w:ascii="宋体" w:hAnsi="宋体" w:eastAsia="宋体" w:cs="宋体"/>
                <w:bCs/>
                <w:color w:val="auto"/>
                <w:sz w:val="24"/>
                <w:highlight w:val="none"/>
              </w:rPr>
            </w:pPr>
          </w:p>
        </w:tc>
        <w:tc>
          <w:tcPr>
            <w:tcW w:w="2911" w:type="dxa"/>
            <w:noWrap w:val="0"/>
            <w:vAlign w:val="top"/>
          </w:tcPr>
          <w:p w14:paraId="5BA347AF">
            <w:pPr>
              <w:spacing w:line="360" w:lineRule="auto"/>
              <w:jc w:val="center"/>
              <w:rPr>
                <w:rFonts w:hint="eastAsia" w:ascii="宋体" w:hAnsi="宋体" w:eastAsia="宋体" w:cs="宋体"/>
                <w:bCs/>
                <w:color w:val="auto"/>
                <w:sz w:val="24"/>
                <w:highlight w:val="none"/>
              </w:rPr>
            </w:pPr>
          </w:p>
        </w:tc>
      </w:tr>
      <w:tr w14:paraId="5D90ED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2" w:hRule="atLeast"/>
        </w:trPr>
        <w:tc>
          <w:tcPr>
            <w:tcW w:w="656" w:type="dxa"/>
            <w:noWrap w:val="0"/>
            <w:vAlign w:val="center"/>
          </w:tcPr>
          <w:p w14:paraId="7B7F017E">
            <w:pPr>
              <w:spacing w:line="360" w:lineRule="auto"/>
              <w:jc w:val="center"/>
              <w:rPr>
                <w:rFonts w:hint="eastAsia" w:ascii="宋体" w:hAnsi="宋体" w:eastAsia="宋体" w:cs="宋体"/>
                <w:bCs/>
                <w:color w:val="auto"/>
                <w:sz w:val="24"/>
                <w:highlight w:val="none"/>
              </w:rPr>
            </w:pPr>
          </w:p>
        </w:tc>
        <w:tc>
          <w:tcPr>
            <w:tcW w:w="1148" w:type="dxa"/>
            <w:noWrap w:val="0"/>
            <w:vAlign w:val="center"/>
          </w:tcPr>
          <w:p w14:paraId="254F67FD">
            <w:pPr>
              <w:spacing w:line="360" w:lineRule="auto"/>
              <w:jc w:val="center"/>
              <w:rPr>
                <w:rFonts w:hint="eastAsia" w:ascii="宋体" w:hAnsi="宋体" w:eastAsia="宋体" w:cs="宋体"/>
                <w:bCs/>
                <w:color w:val="auto"/>
                <w:sz w:val="24"/>
                <w:highlight w:val="none"/>
              </w:rPr>
            </w:pPr>
          </w:p>
        </w:tc>
        <w:tc>
          <w:tcPr>
            <w:tcW w:w="1524" w:type="dxa"/>
            <w:noWrap w:val="0"/>
            <w:vAlign w:val="center"/>
          </w:tcPr>
          <w:p w14:paraId="1B3BBD04">
            <w:pPr>
              <w:spacing w:line="360" w:lineRule="auto"/>
              <w:jc w:val="center"/>
              <w:rPr>
                <w:rFonts w:hint="eastAsia" w:ascii="宋体" w:hAnsi="宋体" w:eastAsia="宋体" w:cs="宋体"/>
                <w:bCs/>
                <w:color w:val="auto"/>
                <w:sz w:val="24"/>
                <w:highlight w:val="none"/>
              </w:rPr>
            </w:pPr>
          </w:p>
        </w:tc>
        <w:tc>
          <w:tcPr>
            <w:tcW w:w="1745" w:type="dxa"/>
            <w:tcBorders>
              <w:left w:val="single" w:color="auto" w:sz="4" w:space="0"/>
              <w:right w:val="single" w:color="auto" w:sz="4" w:space="0"/>
            </w:tcBorders>
            <w:noWrap w:val="0"/>
            <w:vAlign w:val="center"/>
          </w:tcPr>
          <w:p w14:paraId="49A1557E">
            <w:pPr>
              <w:spacing w:line="360" w:lineRule="auto"/>
              <w:jc w:val="center"/>
              <w:rPr>
                <w:rFonts w:hint="eastAsia" w:ascii="宋体" w:hAnsi="宋体" w:eastAsia="宋体" w:cs="宋体"/>
                <w:bCs/>
                <w:color w:val="auto"/>
                <w:sz w:val="24"/>
                <w:highlight w:val="none"/>
              </w:rPr>
            </w:pPr>
          </w:p>
        </w:tc>
        <w:tc>
          <w:tcPr>
            <w:tcW w:w="1553" w:type="dxa"/>
            <w:noWrap w:val="0"/>
            <w:vAlign w:val="center"/>
          </w:tcPr>
          <w:p w14:paraId="01BE21B3">
            <w:pPr>
              <w:spacing w:line="360" w:lineRule="auto"/>
              <w:jc w:val="center"/>
              <w:rPr>
                <w:rFonts w:hint="eastAsia" w:ascii="宋体" w:hAnsi="宋体" w:eastAsia="宋体" w:cs="宋体"/>
                <w:bCs/>
                <w:color w:val="auto"/>
                <w:sz w:val="24"/>
                <w:highlight w:val="none"/>
              </w:rPr>
            </w:pPr>
          </w:p>
        </w:tc>
        <w:tc>
          <w:tcPr>
            <w:tcW w:w="2911" w:type="dxa"/>
            <w:noWrap w:val="0"/>
            <w:vAlign w:val="top"/>
          </w:tcPr>
          <w:p w14:paraId="1D186DC0">
            <w:pPr>
              <w:spacing w:line="360" w:lineRule="auto"/>
              <w:jc w:val="center"/>
              <w:rPr>
                <w:rFonts w:hint="eastAsia" w:ascii="宋体" w:hAnsi="宋体" w:eastAsia="宋体" w:cs="宋体"/>
                <w:bCs/>
                <w:color w:val="auto"/>
                <w:sz w:val="24"/>
                <w:highlight w:val="none"/>
              </w:rPr>
            </w:pPr>
          </w:p>
        </w:tc>
      </w:tr>
      <w:tr w14:paraId="0439DB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2" w:hRule="atLeast"/>
        </w:trPr>
        <w:tc>
          <w:tcPr>
            <w:tcW w:w="656" w:type="dxa"/>
            <w:noWrap w:val="0"/>
            <w:vAlign w:val="center"/>
          </w:tcPr>
          <w:p w14:paraId="0EE2D248">
            <w:pPr>
              <w:spacing w:line="360" w:lineRule="auto"/>
              <w:jc w:val="center"/>
              <w:rPr>
                <w:rFonts w:hint="eastAsia" w:ascii="宋体" w:hAnsi="宋体" w:eastAsia="宋体" w:cs="宋体"/>
                <w:bCs/>
                <w:color w:val="auto"/>
                <w:sz w:val="24"/>
                <w:highlight w:val="none"/>
              </w:rPr>
            </w:pPr>
          </w:p>
        </w:tc>
        <w:tc>
          <w:tcPr>
            <w:tcW w:w="1148" w:type="dxa"/>
            <w:noWrap w:val="0"/>
            <w:vAlign w:val="center"/>
          </w:tcPr>
          <w:p w14:paraId="060E266A">
            <w:pPr>
              <w:spacing w:line="360" w:lineRule="auto"/>
              <w:jc w:val="center"/>
              <w:rPr>
                <w:rFonts w:hint="eastAsia" w:ascii="宋体" w:hAnsi="宋体" w:eastAsia="宋体" w:cs="宋体"/>
                <w:bCs/>
                <w:color w:val="auto"/>
                <w:sz w:val="24"/>
                <w:highlight w:val="none"/>
              </w:rPr>
            </w:pPr>
          </w:p>
        </w:tc>
        <w:tc>
          <w:tcPr>
            <w:tcW w:w="1524" w:type="dxa"/>
            <w:noWrap w:val="0"/>
            <w:vAlign w:val="center"/>
          </w:tcPr>
          <w:p w14:paraId="0C2FC385">
            <w:pPr>
              <w:spacing w:line="360" w:lineRule="auto"/>
              <w:jc w:val="center"/>
              <w:rPr>
                <w:rFonts w:hint="eastAsia" w:ascii="宋体" w:hAnsi="宋体" w:eastAsia="宋体" w:cs="宋体"/>
                <w:bCs/>
                <w:color w:val="auto"/>
                <w:sz w:val="24"/>
                <w:highlight w:val="none"/>
              </w:rPr>
            </w:pPr>
          </w:p>
        </w:tc>
        <w:tc>
          <w:tcPr>
            <w:tcW w:w="1745" w:type="dxa"/>
            <w:tcBorders>
              <w:left w:val="single" w:color="auto" w:sz="4" w:space="0"/>
              <w:right w:val="single" w:color="auto" w:sz="4" w:space="0"/>
            </w:tcBorders>
            <w:noWrap w:val="0"/>
            <w:vAlign w:val="center"/>
          </w:tcPr>
          <w:p w14:paraId="0204AAD2">
            <w:pPr>
              <w:spacing w:line="360" w:lineRule="auto"/>
              <w:jc w:val="center"/>
              <w:rPr>
                <w:rFonts w:hint="eastAsia" w:ascii="宋体" w:hAnsi="宋体" w:eastAsia="宋体" w:cs="宋体"/>
                <w:bCs/>
                <w:color w:val="auto"/>
                <w:sz w:val="24"/>
                <w:highlight w:val="none"/>
              </w:rPr>
            </w:pPr>
          </w:p>
        </w:tc>
        <w:tc>
          <w:tcPr>
            <w:tcW w:w="1553" w:type="dxa"/>
            <w:noWrap w:val="0"/>
            <w:vAlign w:val="center"/>
          </w:tcPr>
          <w:p w14:paraId="5B1043B9">
            <w:pPr>
              <w:spacing w:line="360" w:lineRule="auto"/>
              <w:jc w:val="center"/>
              <w:rPr>
                <w:rFonts w:hint="eastAsia" w:ascii="宋体" w:hAnsi="宋体" w:eastAsia="宋体" w:cs="宋体"/>
                <w:bCs/>
                <w:color w:val="auto"/>
                <w:sz w:val="24"/>
                <w:highlight w:val="none"/>
              </w:rPr>
            </w:pPr>
          </w:p>
        </w:tc>
        <w:tc>
          <w:tcPr>
            <w:tcW w:w="2911" w:type="dxa"/>
            <w:noWrap w:val="0"/>
            <w:vAlign w:val="top"/>
          </w:tcPr>
          <w:p w14:paraId="16137D36">
            <w:pPr>
              <w:spacing w:line="360" w:lineRule="auto"/>
              <w:jc w:val="center"/>
              <w:rPr>
                <w:rFonts w:hint="eastAsia" w:ascii="宋体" w:hAnsi="宋体" w:eastAsia="宋体" w:cs="宋体"/>
                <w:bCs/>
                <w:color w:val="auto"/>
                <w:sz w:val="24"/>
                <w:highlight w:val="none"/>
              </w:rPr>
            </w:pPr>
          </w:p>
        </w:tc>
      </w:tr>
      <w:tr w14:paraId="18DCE0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78" w:hRule="atLeast"/>
        </w:trPr>
        <w:tc>
          <w:tcPr>
            <w:tcW w:w="656" w:type="dxa"/>
            <w:noWrap w:val="0"/>
            <w:vAlign w:val="center"/>
          </w:tcPr>
          <w:p w14:paraId="70BE1A0E">
            <w:pPr>
              <w:spacing w:line="360" w:lineRule="auto"/>
              <w:ind w:left="120"/>
              <w:jc w:val="center"/>
              <w:rPr>
                <w:rFonts w:hint="eastAsia" w:ascii="宋体" w:hAnsi="宋体" w:eastAsia="宋体" w:cs="宋体"/>
                <w:bCs/>
                <w:color w:val="auto"/>
                <w:sz w:val="24"/>
                <w:highlight w:val="none"/>
              </w:rPr>
            </w:pPr>
          </w:p>
        </w:tc>
        <w:tc>
          <w:tcPr>
            <w:tcW w:w="1148" w:type="dxa"/>
            <w:noWrap w:val="0"/>
            <w:vAlign w:val="center"/>
          </w:tcPr>
          <w:p w14:paraId="06A831CC">
            <w:pPr>
              <w:spacing w:line="360" w:lineRule="auto"/>
              <w:jc w:val="center"/>
              <w:rPr>
                <w:rFonts w:hint="eastAsia" w:ascii="宋体" w:hAnsi="宋体" w:eastAsia="宋体" w:cs="宋体"/>
                <w:bCs/>
                <w:color w:val="auto"/>
                <w:sz w:val="24"/>
                <w:highlight w:val="none"/>
              </w:rPr>
            </w:pPr>
          </w:p>
        </w:tc>
        <w:tc>
          <w:tcPr>
            <w:tcW w:w="1524" w:type="dxa"/>
            <w:noWrap w:val="0"/>
            <w:vAlign w:val="center"/>
          </w:tcPr>
          <w:p w14:paraId="47E8E834">
            <w:pPr>
              <w:spacing w:line="360" w:lineRule="auto"/>
              <w:jc w:val="center"/>
              <w:rPr>
                <w:rFonts w:hint="eastAsia" w:ascii="宋体" w:hAnsi="宋体" w:eastAsia="宋体" w:cs="宋体"/>
                <w:bCs/>
                <w:color w:val="auto"/>
                <w:sz w:val="24"/>
                <w:highlight w:val="none"/>
              </w:rPr>
            </w:pPr>
          </w:p>
        </w:tc>
        <w:tc>
          <w:tcPr>
            <w:tcW w:w="1745" w:type="dxa"/>
            <w:tcBorders>
              <w:left w:val="single" w:color="auto" w:sz="4" w:space="0"/>
              <w:right w:val="single" w:color="auto" w:sz="4" w:space="0"/>
            </w:tcBorders>
            <w:noWrap w:val="0"/>
            <w:vAlign w:val="center"/>
          </w:tcPr>
          <w:p w14:paraId="6F4E44F5">
            <w:pPr>
              <w:spacing w:line="360" w:lineRule="auto"/>
              <w:jc w:val="center"/>
              <w:rPr>
                <w:rFonts w:hint="eastAsia" w:ascii="宋体" w:hAnsi="宋体" w:eastAsia="宋体" w:cs="宋体"/>
                <w:bCs/>
                <w:color w:val="auto"/>
                <w:sz w:val="24"/>
                <w:highlight w:val="none"/>
              </w:rPr>
            </w:pPr>
          </w:p>
        </w:tc>
        <w:tc>
          <w:tcPr>
            <w:tcW w:w="1553" w:type="dxa"/>
            <w:noWrap w:val="0"/>
            <w:vAlign w:val="center"/>
          </w:tcPr>
          <w:p w14:paraId="2A54A64F">
            <w:pPr>
              <w:spacing w:line="360" w:lineRule="auto"/>
              <w:jc w:val="center"/>
              <w:rPr>
                <w:rFonts w:hint="eastAsia" w:ascii="宋体" w:hAnsi="宋体" w:eastAsia="宋体" w:cs="宋体"/>
                <w:bCs/>
                <w:color w:val="auto"/>
                <w:sz w:val="24"/>
                <w:highlight w:val="none"/>
              </w:rPr>
            </w:pPr>
          </w:p>
        </w:tc>
        <w:tc>
          <w:tcPr>
            <w:tcW w:w="2911" w:type="dxa"/>
            <w:noWrap w:val="0"/>
            <w:vAlign w:val="top"/>
          </w:tcPr>
          <w:p w14:paraId="4D6DFBC9">
            <w:pPr>
              <w:spacing w:line="360" w:lineRule="auto"/>
              <w:jc w:val="center"/>
              <w:rPr>
                <w:rFonts w:hint="eastAsia" w:ascii="宋体" w:hAnsi="宋体" w:eastAsia="宋体" w:cs="宋体"/>
                <w:bCs/>
                <w:color w:val="auto"/>
                <w:sz w:val="24"/>
                <w:highlight w:val="none"/>
              </w:rPr>
            </w:pPr>
          </w:p>
        </w:tc>
      </w:tr>
    </w:tbl>
    <w:p w14:paraId="585C32A4">
      <w:pPr>
        <w:snapToGrid w:val="0"/>
        <w:spacing w:before="120" w:line="360" w:lineRule="auto"/>
        <w:ind w:right="357"/>
        <w:rPr>
          <w:rFonts w:hint="eastAsia" w:ascii="宋体" w:hAnsi="宋体" w:eastAsia="宋体" w:cs="宋体"/>
          <w:bCs/>
          <w:color w:val="auto"/>
          <w:highlight w:val="none"/>
        </w:rPr>
      </w:pPr>
    </w:p>
    <w:p w14:paraId="0C683929">
      <w:pPr>
        <w:tabs>
          <w:tab w:val="left" w:pos="8782"/>
        </w:tabs>
        <w:snapToGrid w:val="0"/>
        <w:spacing w:before="120" w:line="360" w:lineRule="auto"/>
        <w:ind w:left="503" w:leftChars="50" w:right="-38" w:hanging="398" w:hangingChars="16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注：1.如有同类项目经验请如实填写本表。供应商应如实列出以上情况，如有隐瞒，一经查实将导致其报价申请被拒绝。</w:t>
      </w:r>
    </w:p>
    <w:p w14:paraId="32E1F904">
      <w:pPr>
        <w:snapToGrid w:val="0"/>
        <w:spacing w:before="120" w:line="360" w:lineRule="auto"/>
        <w:ind w:left="523" w:leftChars="249" w:right="35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2.供应商应提供双方签订的合同（合同复印件加盖公章装订在谈判响应文件中）。</w:t>
      </w:r>
    </w:p>
    <w:p w14:paraId="6015D453">
      <w:pPr>
        <w:pStyle w:val="8"/>
        <w:rPr>
          <w:rFonts w:hint="eastAsia" w:ascii="宋体" w:hAnsi="宋体" w:eastAsia="宋体" w:cs="宋体"/>
          <w:bCs/>
          <w:color w:val="auto"/>
          <w:highlight w:val="none"/>
        </w:rPr>
        <w:sectPr>
          <w:pgSz w:w="11906" w:h="16838"/>
          <w:pgMar w:top="1440" w:right="1080" w:bottom="1440" w:left="1080" w:header="720" w:footer="1134" w:gutter="0"/>
          <w:pgNumType w:fmt="decimal"/>
          <w:cols w:space="720" w:num="1"/>
          <w:titlePg/>
          <w:docGrid w:type="lines" w:linePitch="312" w:charSpace="0"/>
        </w:sectPr>
      </w:pPr>
    </w:p>
    <w:p w14:paraId="7FD8C8C7">
      <w:pPr>
        <w:spacing w:line="360" w:lineRule="auto"/>
        <w:jc w:val="center"/>
        <w:rPr>
          <w:rFonts w:hint="eastAsia" w:ascii="宋体" w:hAnsi="宋体" w:cs="宋体"/>
          <w:b w:val="0"/>
          <w:bCs/>
          <w:color w:val="auto"/>
          <w:kern w:val="0"/>
          <w:sz w:val="32"/>
          <w:highlight w:val="none"/>
          <w:lang w:val="en-US" w:eastAsia="zh-CN" w:bidi="ar-SA"/>
        </w:rPr>
      </w:pPr>
      <w:bookmarkStart w:id="654" w:name="_Toc305"/>
      <w:bookmarkStart w:id="655" w:name="_Toc18900"/>
      <w:bookmarkStart w:id="656" w:name="_Toc10245"/>
      <w:bookmarkStart w:id="657" w:name="_Toc11881"/>
      <w:r>
        <w:rPr>
          <w:rFonts w:hint="eastAsia" w:ascii="宋体" w:hAnsi="宋体" w:cs="宋体"/>
          <w:b w:val="0"/>
          <w:bCs/>
          <w:color w:val="auto"/>
          <w:kern w:val="0"/>
          <w:sz w:val="32"/>
          <w:highlight w:val="none"/>
          <w:lang w:val="en-US" w:eastAsia="zh-CN" w:bidi="ar-SA"/>
        </w:rPr>
        <w:t>十、中小企业声明函</w:t>
      </w:r>
      <w:bookmarkEnd w:id="654"/>
      <w:bookmarkEnd w:id="655"/>
      <w:bookmarkEnd w:id="656"/>
      <w:bookmarkEnd w:id="657"/>
    </w:p>
    <w:p w14:paraId="5265D24B">
      <w:pPr>
        <w:widowControl/>
        <w:spacing w:before="100" w:beforeAutospacing="1" w:after="100" w:afterAutospacing="1" w:line="435" w:lineRule="exact"/>
        <w:ind w:firstLine="480" w:firstLineChars="200"/>
        <w:jc w:val="left"/>
        <w:rPr>
          <w:rFonts w:hint="eastAsia" w:ascii="宋体" w:hAnsi="宋体" w:eastAsia="宋体" w:cs="宋体"/>
          <w:bCs/>
          <w:color w:val="auto"/>
          <w:kern w:val="0"/>
          <w:sz w:val="24"/>
          <w:highlight w:val="none"/>
          <w:lang w:bidi="ar"/>
        </w:rPr>
      </w:pPr>
      <w:r>
        <w:rPr>
          <w:rFonts w:hint="eastAsia" w:ascii="宋体" w:hAnsi="宋体" w:eastAsia="宋体" w:cs="宋体"/>
          <w:bCs/>
          <w:color w:val="auto"/>
          <w:kern w:val="0"/>
          <w:sz w:val="24"/>
          <w:highlight w:val="none"/>
          <w:lang w:bidi="ar"/>
        </w:rPr>
        <w:t>本公司（联合体）郑重声明，根据《政府采购促进中小企业发展管理办法》（财库﹝2020﹞46 号）的规定，本公司（联合体）参加</w:t>
      </w:r>
      <w:r>
        <w:rPr>
          <w:rFonts w:hint="eastAsia" w:ascii="宋体" w:hAnsi="宋体" w:eastAsia="宋体" w:cs="宋体"/>
          <w:bCs/>
          <w:color w:val="auto"/>
          <w:kern w:val="0"/>
          <w:sz w:val="24"/>
          <w:highlight w:val="none"/>
          <w:u w:val="single"/>
          <w:lang w:bidi="ar"/>
        </w:rPr>
        <w:t xml:space="preserve">  （单位名称）</w:t>
      </w:r>
      <w:r>
        <w:rPr>
          <w:rFonts w:hint="eastAsia" w:ascii="宋体" w:hAnsi="宋体" w:eastAsia="宋体" w:cs="宋体"/>
          <w:bCs/>
          <w:color w:val="auto"/>
          <w:kern w:val="0"/>
          <w:sz w:val="24"/>
          <w:highlight w:val="none"/>
          <w:lang w:bidi="ar"/>
        </w:rPr>
        <w:t>的</w:t>
      </w:r>
      <w:r>
        <w:rPr>
          <w:rFonts w:hint="eastAsia" w:ascii="宋体" w:hAnsi="宋体" w:eastAsia="宋体" w:cs="宋体"/>
          <w:bCs/>
          <w:color w:val="auto"/>
          <w:kern w:val="0"/>
          <w:sz w:val="24"/>
          <w:highlight w:val="none"/>
          <w:u w:val="single"/>
          <w:lang w:bidi="ar"/>
        </w:rPr>
        <w:t>（项目名称）</w:t>
      </w:r>
      <w:r>
        <w:rPr>
          <w:rFonts w:hint="eastAsia" w:ascii="宋体" w:hAnsi="宋体" w:eastAsia="宋体" w:cs="宋体"/>
          <w:bCs/>
          <w:color w:val="auto"/>
          <w:kern w:val="0"/>
          <w:sz w:val="24"/>
          <w:highlight w:val="none"/>
          <w:lang w:bidi="ar"/>
        </w:rPr>
        <w:t>采购活动，服务全部由符合政策要求的中小企业承接。相关企业（含联合体中的中小企业、签订分包意向协议的中小企业）的具体情况如下：</w:t>
      </w:r>
    </w:p>
    <w:p w14:paraId="0D78F1CA">
      <w:pPr>
        <w:widowControl/>
        <w:numPr>
          <w:ilvl w:val="0"/>
          <w:numId w:val="8"/>
        </w:numPr>
        <w:spacing w:before="100" w:beforeAutospacing="1" w:after="100" w:afterAutospacing="1" w:line="435" w:lineRule="exact"/>
        <w:ind w:firstLine="480" w:firstLineChars="200"/>
        <w:jc w:val="left"/>
        <w:rPr>
          <w:rFonts w:hint="eastAsia" w:ascii="宋体" w:hAnsi="宋体" w:eastAsia="宋体" w:cs="宋体"/>
          <w:bCs/>
          <w:color w:val="auto"/>
          <w:kern w:val="0"/>
          <w:sz w:val="24"/>
          <w:highlight w:val="none"/>
          <w:lang w:bidi="ar"/>
        </w:rPr>
      </w:pPr>
      <w:r>
        <w:rPr>
          <w:rFonts w:hint="eastAsia" w:ascii="宋体" w:hAnsi="宋体" w:eastAsia="宋体" w:cs="宋体"/>
          <w:bCs/>
          <w:color w:val="auto"/>
          <w:kern w:val="0"/>
          <w:sz w:val="24"/>
          <w:highlight w:val="none"/>
          <w:u w:val="single"/>
          <w:lang w:bidi="ar"/>
        </w:rPr>
        <w:t xml:space="preserve">    （标的名称）   </w:t>
      </w:r>
      <w:r>
        <w:rPr>
          <w:rFonts w:hint="eastAsia" w:ascii="宋体" w:hAnsi="宋体" w:eastAsia="宋体" w:cs="宋体"/>
          <w:bCs/>
          <w:color w:val="auto"/>
          <w:kern w:val="0"/>
          <w:sz w:val="24"/>
          <w:highlight w:val="none"/>
          <w:lang w:bidi="ar"/>
        </w:rPr>
        <w:t>，属于</w:t>
      </w:r>
      <w:r>
        <w:rPr>
          <w:rFonts w:hint="eastAsia" w:ascii="宋体" w:hAnsi="宋体" w:eastAsia="宋体" w:cs="宋体"/>
          <w:bCs/>
          <w:color w:val="auto"/>
          <w:kern w:val="0"/>
          <w:sz w:val="24"/>
          <w:highlight w:val="none"/>
          <w:u w:val="single"/>
          <w:lang w:bidi="ar"/>
        </w:rPr>
        <w:t xml:space="preserve"> （采购文件中明确的所属行业） </w:t>
      </w:r>
      <w:r>
        <w:rPr>
          <w:rFonts w:hint="eastAsia" w:ascii="宋体" w:hAnsi="宋体" w:eastAsia="宋体" w:cs="宋体"/>
          <w:bCs/>
          <w:color w:val="auto"/>
          <w:kern w:val="0"/>
          <w:sz w:val="24"/>
          <w:highlight w:val="none"/>
          <w:lang w:bidi="ar"/>
        </w:rPr>
        <w:t>行业；承接企业为</w:t>
      </w:r>
      <w:r>
        <w:rPr>
          <w:rFonts w:hint="eastAsia" w:ascii="宋体" w:hAnsi="宋体" w:eastAsia="宋体" w:cs="宋体"/>
          <w:bCs/>
          <w:color w:val="auto"/>
          <w:sz w:val="24"/>
          <w:highlight w:val="none"/>
          <w:u w:val="single"/>
        </w:rPr>
        <w:t>（企业名称）</w:t>
      </w:r>
      <w:r>
        <w:rPr>
          <w:rFonts w:hint="eastAsia" w:ascii="宋体" w:hAnsi="宋体" w:eastAsia="宋体" w:cs="宋体"/>
          <w:bCs/>
          <w:color w:val="auto"/>
          <w:kern w:val="0"/>
          <w:sz w:val="24"/>
          <w:highlight w:val="none"/>
          <w:lang w:bidi="ar"/>
        </w:rPr>
        <w:t>，从业人员</w:t>
      </w:r>
      <w:r>
        <w:rPr>
          <w:rFonts w:hint="eastAsia" w:ascii="宋体" w:hAnsi="宋体" w:eastAsia="宋体" w:cs="宋体"/>
          <w:bCs/>
          <w:color w:val="auto"/>
          <w:kern w:val="0"/>
          <w:sz w:val="24"/>
          <w:highlight w:val="none"/>
          <w:u w:val="single"/>
          <w:lang w:bidi="ar"/>
        </w:rPr>
        <w:t xml:space="preserve">  </w:t>
      </w:r>
      <w:r>
        <w:rPr>
          <w:rFonts w:hint="eastAsia" w:ascii="宋体" w:hAnsi="宋体" w:eastAsia="宋体" w:cs="宋体"/>
          <w:bCs/>
          <w:color w:val="auto"/>
          <w:kern w:val="0"/>
          <w:sz w:val="24"/>
          <w:highlight w:val="none"/>
          <w:lang w:bidi="ar"/>
        </w:rPr>
        <w:t>人，营业收入为</w:t>
      </w:r>
      <w:r>
        <w:rPr>
          <w:rFonts w:hint="eastAsia" w:ascii="宋体" w:hAnsi="宋体" w:eastAsia="宋体" w:cs="宋体"/>
          <w:bCs/>
          <w:color w:val="auto"/>
          <w:kern w:val="0"/>
          <w:sz w:val="24"/>
          <w:highlight w:val="none"/>
          <w:u w:val="single"/>
          <w:lang w:bidi="ar"/>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kern w:val="0"/>
          <w:sz w:val="24"/>
          <w:highlight w:val="none"/>
          <w:lang w:bidi="ar"/>
        </w:rPr>
        <w:t>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kern w:val="0"/>
          <w:sz w:val="24"/>
          <w:highlight w:val="none"/>
          <w:lang w:bidi="ar"/>
        </w:rPr>
        <w:t>万元，属于</w:t>
      </w:r>
      <w:r>
        <w:rPr>
          <w:rFonts w:hint="eastAsia" w:ascii="宋体" w:hAnsi="宋体" w:eastAsia="宋体" w:cs="宋体"/>
          <w:bCs/>
          <w:color w:val="auto"/>
          <w:kern w:val="0"/>
          <w:sz w:val="24"/>
          <w:highlight w:val="none"/>
          <w:u w:val="single"/>
          <w:lang w:bidi="ar"/>
        </w:rPr>
        <w:t>（中型企业、小型企业、微型企业）</w:t>
      </w:r>
      <w:r>
        <w:rPr>
          <w:rFonts w:hint="eastAsia" w:ascii="宋体" w:hAnsi="宋体" w:eastAsia="宋体" w:cs="宋体"/>
          <w:bCs/>
          <w:color w:val="auto"/>
          <w:kern w:val="0"/>
          <w:sz w:val="24"/>
          <w:highlight w:val="none"/>
          <w:lang w:bidi="ar"/>
        </w:rPr>
        <w:t>；</w:t>
      </w:r>
    </w:p>
    <w:p w14:paraId="131F13CB">
      <w:pPr>
        <w:widowControl/>
        <w:numPr>
          <w:ilvl w:val="0"/>
          <w:numId w:val="8"/>
        </w:numPr>
        <w:spacing w:before="100" w:beforeAutospacing="1" w:after="100" w:afterAutospacing="1" w:line="435" w:lineRule="exact"/>
        <w:ind w:firstLine="480" w:firstLineChars="200"/>
        <w:jc w:val="left"/>
        <w:rPr>
          <w:rFonts w:hint="eastAsia" w:ascii="宋体" w:hAnsi="宋体" w:eastAsia="宋体" w:cs="宋体"/>
          <w:bCs/>
          <w:color w:val="auto"/>
          <w:kern w:val="0"/>
          <w:sz w:val="24"/>
          <w:highlight w:val="none"/>
          <w:lang w:bidi="ar"/>
        </w:rPr>
      </w:pPr>
      <w:r>
        <w:rPr>
          <w:rFonts w:hint="eastAsia" w:ascii="宋体" w:hAnsi="宋体" w:eastAsia="宋体" w:cs="宋体"/>
          <w:bCs/>
          <w:color w:val="auto"/>
          <w:kern w:val="0"/>
          <w:sz w:val="24"/>
          <w:highlight w:val="none"/>
          <w:u w:val="single"/>
          <w:lang w:bidi="ar"/>
        </w:rPr>
        <w:t xml:space="preserve">    （标的名称）   </w:t>
      </w:r>
      <w:r>
        <w:rPr>
          <w:rFonts w:hint="eastAsia" w:ascii="宋体" w:hAnsi="宋体" w:eastAsia="宋体" w:cs="宋体"/>
          <w:bCs/>
          <w:color w:val="auto"/>
          <w:kern w:val="0"/>
          <w:sz w:val="24"/>
          <w:highlight w:val="none"/>
          <w:lang w:bidi="ar"/>
        </w:rPr>
        <w:t>，属于</w:t>
      </w:r>
      <w:r>
        <w:rPr>
          <w:rFonts w:hint="eastAsia" w:ascii="宋体" w:hAnsi="宋体" w:eastAsia="宋体" w:cs="宋体"/>
          <w:bCs/>
          <w:color w:val="auto"/>
          <w:kern w:val="0"/>
          <w:sz w:val="24"/>
          <w:highlight w:val="none"/>
          <w:u w:val="single"/>
          <w:lang w:bidi="ar"/>
        </w:rPr>
        <w:t xml:space="preserve"> （采购文件中明确的所属行业） </w:t>
      </w:r>
      <w:r>
        <w:rPr>
          <w:rFonts w:hint="eastAsia" w:ascii="宋体" w:hAnsi="宋体" w:eastAsia="宋体" w:cs="宋体"/>
          <w:bCs/>
          <w:color w:val="auto"/>
          <w:kern w:val="0"/>
          <w:sz w:val="24"/>
          <w:highlight w:val="none"/>
          <w:lang w:bidi="ar"/>
        </w:rPr>
        <w:t>行业；承接企业为</w:t>
      </w:r>
      <w:r>
        <w:rPr>
          <w:rFonts w:hint="eastAsia" w:ascii="宋体" w:hAnsi="宋体" w:eastAsia="宋体" w:cs="宋体"/>
          <w:bCs/>
          <w:color w:val="auto"/>
          <w:sz w:val="24"/>
          <w:highlight w:val="none"/>
          <w:u w:val="single"/>
        </w:rPr>
        <w:t>（企业名称）</w:t>
      </w:r>
      <w:r>
        <w:rPr>
          <w:rFonts w:hint="eastAsia" w:ascii="宋体" w:hAnsi="宋体" w:eastAsia="宋体" w:cs="宋体"/>
          <w:bCs/>
          <w:color w:val="auto"/>
          <w:kern w:val="0"/>
          <w:sz w:val="24"/>
          <w:highlight w:val="none"/>
          <w:lang w:bidi="ar"/>
        </w:rPr>
        <w:t>，从业人员</w:t>
      </w:r>
      <w:r>
        <w:rPr>
          <w:rFonts w:hint="eastAsia" w:ascii="宋体" w:hAnsi="宋体" w:eastAsia="宋体" w:cs="宋体"/>
          <w:bCs/>
          <w:color w:val="auto"/>
          <w:kern w:val="0"/>
          <w:sz w:val="24"/>
          <w:highlight w:val="none"/>
          <w:u w:val="single"/>
          <w:lang w:bidi="ar"/>
        </w:rPr>
        <w:t xml:space="preserve">  </w:t>
      </w:r>
      <w:r>
        <w:rPr>
          <w:rFonts w:hint="eastAsia" w:ascii="宋体" w:hAnsi="宋体" w:eastAsia="宋体" w:cs="宋体"/>
          <w:bCs/>
          <w:color w:val="auto"/>
          <w:kern w:val="0"/>
          <w:sz w:val="24"/>
          <w:highlight w:val="none"/>
          <w:lang w:bidi="ar"/>
        </w:rPr>
        <w:t>人，营业收入为</w:t>
      </w:r>
      <w:r>
        <w:rPr>
          <w:rFonts w:hint="eastAsia" w:ascii="宋体" w:hAnsi="宋体" w:eastAsia="宋体" w:cs="宋体"/>
          <w:bCs/>
          <w:color w:val="auto"/>
          <w:kern w:val="0"/>
          <w:sz w:val="24"/>
          <w:highlight w:val="none"/>
          <w:u w:val="single"/>
          <w:lang w:bidi="ar"/>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kern w:val="0"/>
          <w:sz w:val="24"/>
          <w:highlight w:val="none"/>
          <w:lang w:bidi="ar"/>
        </w:rPr>
        <w:t>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kern w:val="0"/>
          <w:sz w:val="24"/>
          <w:highlight w:val="none"/>
          <w:lang w:bidi="ar"/>
        </w:rPr>
        <w:t>万元，属于</w:t>
      </w:r>
      <w:r>
        <w:rPr>
          <w:rFonts w:hint="eastAsia" w:ascii="宋体" w:hAnsi="宋体" w:eastAsia="宋体" w:cs="宋体"/>
          <w:bCs/>
          <w:color w:val="auto"/>
          <w:kern w:val="0"/>
          <w:sz w:val="24"/>
          <w:highlight w:val="none"/>
          <w:u w:val="single"/>
          <w:lang w:bidi="ar"/>
        </w:rPr>
        <w:t>（中型企业、小型企业、微型企业）</w:t>
      </w:r>
      <w:r>
        <w:rPr>
          <w:rFonts w:hint="eastAsia" w:ascii="宋体" w:hAnsi="宋体" w:eastAsia="宋体" w:cs="宋体"/>
          <w:bCs/>
          <w:color w:val="auto"/>
          <w:kern w:val="0"/>
          <w:sz w:val="24"/>
          <w:highlight w:val="none"/>
          <w:lang w:bidi="ar"/>
        </w:rPr>
        <w:t>；</w:t>
      </w:r>
    </w:p>
    <w:p w14:paraId="5E9E150C">
      <w:pPr>
        <w:widowControl/>
        <w:spacing w:before="100" w:beforeAutospacing="1" w:after="100" w:afterAutospacing="1" w:line="435" w:lineRule="exact"/>
        <w:ind w:firstLine="420" w:firstLineChars="200"/>
        <w:jc w:val="left"/>
        <w:rPr>
          <w:rFonts w:hint="eastAsia" w:ascii="宋体" w:hAnsi="宋体" w:eastAsia="宋体" w:cs="宋体"/>
          <w:bCs/>
          <w:color w:val="auto"/>
          <w:highlight w:val="none"/>
        </w:rPr>
      </w:pPr>
      <w:r>
        <w:rPr>
          <w:rFonts w:hint="eastAsia" w:ascii="宋体" w:hAnsi="宋体" w:eastAsia="宋体" w:cs="宋体"/>
          <w:bCs/>
          <w:color w:val="auto"/>
          <w:highlight w:val="none"/>
        </w:rPr>
        <w:t>......</w:t>
      </w:r>
    </w:p>
    <w:p w14:paraId="222112BA">
      <w:pPr>
        <w:widowControl/>
        <w:spacing w:before="100" w:beforeAutospacing="1" w:after="100" w:afterAutospacing="1" w:line="435" w:lineRule="exact"/>
        <w:ind w:firstLine="480" w:firstLineChars="200"/>
        <w:jc w:val="left"/>
        <w:rPr>
          <w:rFonts w:hint="eastAsia" w:ascii="宋体" w:hAnsi="宋体" w:eastAsia="宋体" w:cs="宋体"/>
          <w:bCs/>
          <w:color w:val="auto"/>
          <w:highlight w:val="none"/>
        </w:rPr>
      </w:pPr>
      <w:r>
        <w:rPr>
          <w:rFonts w:hint="eastAsia" w:ascii="宋体" w:hAnsi="宋体" w:eastAsia="宋体" w:cs="宋体"/>
          <w:bCs/>
          <w:color w:val="auto"/>
          <w:kern w:val="0"/>
          <w:sz w:val="24"/>
          <w:highlight w:val="none"/>
          <w:lang w:bidi="ar"/>
        </w:rPr>
        <w:t>以上企业，不属于大企业的分支机构，不存在控股股东为大企业的情形，也不存在与大企业的负责人为同一人的情形。</w:t>
      </w:r>
    </w:p>
    <w:p w14:paraId="7FF1E418">
      <w:pPr>
        <w:widowControl/>
        <w:spacing w:before="100" w:beforeAutospacing="1" w:after="100" w:afterAutospacing="1" w:line="435" w:lineRule="exact"/>
        <w:ind w:firstLine="480" w:firstLineChars="200"/>
        <w:jc w:val="left"/>
        <w:rPr>
          <w:rFonts w:hint="eastAsia" w:ascii="宋体" w:hAnsi="宋体" w:eastAsia="宋体" w:cs="宋体"/>
          <w:bCs/>
          <w:color w:val="auto"/>
          <w:highlight w:val="none"/>
        </w:rPr>
      </w:pPr>
      <w:r>
        <w:rPr>
          <w:rFonts w:hint="eastAsia" w:ascii="宋体" w:hAnsi="宋体" w:eastAsia="宋体" w:cs="宋体"/>
          <w:bCs/>
          <w:color w:val="auto"/>
          <w:kern w:val="0"/>
          <w:sz w:val="24"/>
          <w:highlight w:val="none"/>
          <w:lang w:bidi="ar"/>
        </w:rPr>
        <w:t>本企业对上述声明内容的真实性负责。如有虚假，将依法承担相应责任。</w:t>
      </w:r>
    </w:p>
    <w:p w14:paraId="04FA26F3">
      <w:pPr>
        <w:spacing w:line="360" w:lineRule="auto"/>
        <w:ind w:firstLine="480" w:firstLineChars="200"/>
        <w:jc w:val="center"/>
        <w:rPr>
          <w:rFonts w:hint="eastAsia" w:ascii="宋体" w:hAnsi="宋体" w:eastAsia="宋体" w:cs="宋体"/>
          <w:bCs/>
          <w:color w:val="auto"/>
          <w:sz w:val="24"/>
          <w:highlight w:val="none"/>
        </w:rPr>
      </w:pPr>
    </w:p>
    <w:p w14:paraId="63210939">
      <w:pPr>
        <w:spacing w:line="360" w:lineRule="auto"/>
        <w:ind w:firstLine="480" w:firstLineChars="200"/>
        <w:jc w:val="center"/>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企业名称（盖章）： </w:t>
      </w:r>
      <w:r>
        <w:rPr>
          <w:rFonts w:hint="eastAsia" w:ascii="宋体" w:hAnsi="宋体" w:eastAsia="宋体" w:cs="宋体"/>
          <w:bCs/>
          <w:color w:val="auto"/>
          <w:sz w:val="24"/>
          <w:highlight w:val="none"/>
          <w:u w:val="single"/>
        </w:rPr>
        <w:t xml:space="preserve">                  </w:t>
      </w:r>
    </w:p>
    <w:p w14:paraId="13712BA3">
      <w:pPr>
        <w:spacing w:line="360" w:lineRule="auto"/>
        <w:ind w:firstLine="480" w:firstLineChars="20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            期：</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p>
    <w:p w14:paraId="01E04FF2">
      <w:pPr>
        <w:pStyle w:val="8"/>
        <w:rPr>
          <w:rFonts w:hint="eastAsia" w:ascii="宋体" w:hAnsi="宋体" w:eastAsia="宋体" w:cs="宋体"/>
          <w:bCs/>
          <w:color w:val="auto"/>
          <w:sz w:val="32"/>
          <w:szCs w:val="32"/>
          <w:highlight w:val="none"/>
        </w:rPr>
      </w:pPr>
    </w:p>
    <w:p w14:paraId="7FBA7C44">
      <w:pPr>
        <w:widowControl/>
        <w:spacing w:line="360" w:lineRule="auto"/>
        <w:jc w:val="center"/>
        <w:rPr>
          <w:rFonts w:hint="eastAsia" w:ascii="宋体" w:hAnsi="宋体" w:eastAsia="宋体" w:cs="宋体"/>
          <w:bCs/>
          <w:color w:val="auto"/>
          <w:kern w:val="0"/>
          <w:sz w:val="36"/>
          <w:szCs w:val="36"/>
          <w:highlight w:val="none"/>
          <w:lang w:bidi="ar"/>
        </w:rPr>
        <w:sectPr>
          <w:footerReference r:id="rId15" w:type="default"/>
          <w:pgSz w:w="11906" w:h="16838"/>
          <w:pgMar w:top="1440" w:right="1080" w:bottom="1440" w:left="1080" w:header="1077" w:footer="1191" w:gutter="0"/>
          <w:pgNumType w:fmt="decimal"/>
          <w:cols w:space="720" w:num="1"/>
          <w:docGrid w:type="lines" w:linePitch="312" w:charSpace="0"/>
        </w:sectPr>
      </w:pPr>
    </w:p>
    <w:p w14:paraId="18D93110">
      <w:pPr>
        <w:spacing w:line="360" w:lineRule="auto"/>
        <w:jc w:val="center"/>
        <w:rPr>
          <w:rFonts w:hint="eastAsia" w:ascii="宋体" w:hAnsi="宋体" w:cs="宋体"/>
          <w:b w:val="0"/>
          <w:bCs/>
          <w:color w:val="auto"/>
          <w:kern w:val="0"/>
          <w:sz w:val="32"/>
          <w:highlight w:val="none"/>
          <w:lang w:val="en-US" w:eastAsia="zh-CN" w:bidi="ar-SA"/>
        </w:rPr>
      </w:pPr>
      <w:bookmarkStart w:id="658" w:name="_Toc31521"/>
      <w:bookmarkStart w:id="659" w:name="_Toc7208"/>
      <w:bookmarkStart w:id="660" w:name="_Toc7244"/>
      <w:bookmarkStart w:id="661" w:name="_Toc26676"/>
      <w:r>
        <w:rPr>
          <w:rFonts w:hint="eastAsia" w:ascii="宋体" w:hAnsi="宋体" w:cs="宋体"/>
          <w:b w:val="0"/>
          <w:bCs/>
          <w:color w:val="auto"/>
          <w:kern w:val="0"/>
          <w:sz w:val="32"/>
          <w:highlight w:val="none"/>
          <w:lang w:val="en-US" w:eastAsia="zh-CN" w:bidi="ar-SA"/>
        </w:rPr>
        <w:t>十一、</w:t>
      </w:r>
      <w:r>
        <w:rPr>
          <w:rFonts w:hint="eastAsia" w:ascii="宋体" w:hAnsi="宋体" w:cs="宋体"/>
          <w:b w:val="0"/>
          <w:bCs/>
          <w:color w:val="auto"/>
          <w:kern w:val="0"/>
          <w:sz w:val="32"/>
          <w:highlight w:val="none"/>
          <w:lang w:val="zh-CN" w:eastAsia="zh-CN" w:bidi="ar-SA"/>
        </w:rPr>
        <w:t>残疾人福利性单位声明函</w:t>
      </w:r>
      <w:bookmarkEnd w:id="658"/>
      <w:bookmarkEnd w:id="659"/>
      <w:bookmarkEnd w:id="660"/>
      <w:bookmarkEnd w:id="661"/>
    </w:p>
    <w:p w14:paraId="630E2C7D">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78833CF6">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本单位对上述声明的真实性负责。如有虚假，将依法承担相应责任。</w:t>
      </w:r>
    </w:p>
    <w:p w14:paraId="41E8F633">
      <w:pPr>
        <w:spacing w:line="360" w:lineRule="auto"/>
        <w:ind w:firstLine="480" w:firstLineChars="200"/>
        <w:rPr>
          <w:rFonts w:hint="eastAsia" w:ascii="宋体" w:hAnsi="宋体" w:eastAsia="宋体" w:cs="宋体"/>
          <w:bCs/>
          <w:color w:val="auto"/>
          <w:sz w:val="24"/>
          <w:highlight w:val="none"/>
        </w:rPr>
      </w:pPr>
    </w:p>
    <w:p w14:paraId="39497917">
      <w:pPr>
        <w:spacing w:line="360" w:lineRule="auto"/>
        <w:ind w:firstLine="480" w:firstLineChars="200"/>
        <w:rPr>
          <w:rFonts w:hint="eastAsia" w:ascii="宋体" w:hAnsi="宋体" w:eastAsia="宋体" w:cs="宋体"/>
          <w:bCs/>
          <w:color w:val="auto"/>
          <w:sz w:val="24"/>
          <w:highlight w:val="none"/>
        </w:rPr>
      </w:pPr>
    </w:p>
    <w:p w14:paraId="2D42901D">
      <w:pPr>
        <w:tabs>
          <w:tab w:val="left" w:pos="4860"/>
          <w:tab w:val="left" w:pos="8040"/>
          <w:tab w:val="left" w:pos="8160"/>
        </w:tabs>
        <w:spacing w:line="360" w:lineRule="auto"/>
        <w:ind w:right="862" w:firstLine="480" w:firstLineChars="200"/>
        <w:jc w:val="center"/>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单位名称（盖章）：</w:t>
      </w:r>
      <w:r>
        <w:rPr>
          <w:rFonts w:hint="eastAsia" w:ascii="宋体" w:hAnsi="宋体" w:eastAsia="宋体" w:cs="宋体"/>
          <w:bCs/>
          <w:color w:val="auto"/>
          <w:sz w:val="24"/>
          <w:highlight w:val="none"/>
          <w:u w:val="single"/>
        </w:rPr>
        <w:t xml:space="preserve">                   </w:t>
      </w:r>
    </w:p>
    <w:p w14:paraId="17606B33">
      <w:pPr>
        <w:tabs>
          <w:tab w:val="left" w:pos="4860"/>
        </w:tabs>
        <w:spacing w:line="360" w:lineRule="auto"/>
        <w:ind w:right="1560" w:firstLine="480" w:firstLineChars="20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p>
    <w:p w14:paraId="052AC9B4">
      <w:pPr>
        <w:tabs>
          <w:tab w:val="left" w:pos="4860"/>
        </w:tabs>
        <w:spacing w:line="360" w:lineRule="auto"/>
        <w:ind w:right="1560" w:firstLine="480" w:firstLineChars="20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  期：</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p w14:paraId="76768900">
      <w:pPr>
        <w:spacing w:line="360" w:lineRule="auto"/>
        <w:ind w:firstLine="504" w:firstLineChars="200"/>
        <w:rPr>
          <w:rFonts w:hint="eastAsia" w:ascii="宋体" w:hAnsi="宋体" w:eastAsia="宋体" w:cs="宋体"/>
          <w:bCs/>
          <w:color w:val="auto"/>
          <w:spacing w:val="6"/>
          <w:sz w:val="24"/>
          <w:highlight w:val="none"/>
          <w:shd w:val="pct10" w:color="auto" w:fill="FFFFFF"/>
        </w:rPr>
      </w:pPr>
    </w:p>
    <w:p w14:paraId="3FA74B8D">
      <w:pPr>
        <w:spacing w:line="360" w:lineRule="auto"/>
        <w:ind w:firstLine="504" w:firstLineChars="200"/>
        <w:rPr>
          <w:rFonts w:hint="eastAsia" w:ascii="宋体" w:hAnsi="宋体" w:eastAsia="宋体" w:cs="宋体"/>
          <w:bCs/>
          <w:color w:val="auto"/>
          <w:spacing w:val="6"/>
          <w:sz w:val="24"/>
          <w:highlight w:val="none"/>
          <w:shd w:val="pct10" w:color="auto" w:fill="FFFFFF"/>
        </w:rPr>
      </w:pPr>
    </w:p>
    <w:p w14:paraId="481E2DB1">
      <w:pPr>
        <w:widowControl/>
        <w:spacing w:line="360" w:lineRule="auto"/>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lang w:val="zh-CN"/>
        </w:rPr>
        <w:t>备注：非</w:t>
      </w:r>
      <w:r>
        <w:rPr>
          <w:rFonts w:hint="eastAsia" w:ascii="宋体" w:hAnsi="宋体" w:eastAsia="宋体" w:cs="宋体"/>
          <w:bCs/>
          <w:color w:val="auto"/>
          <w:kern w:val="0"/>
          <w:sz w:val="24"/>
          <w:highlight w:val="none"/>
        </w:rPr>
        <w:t>残疾人福利企业请划“/”，不得删除本表。</w:t>
      </w:r>
    </w:p>
    <w:p w14:paraId="2233E5C1">
      <w:pPr>
        <w:widowControl/>
        <w:spacing w:line="360" w:lineRule="auto"/>
        <w:ind w:left="239" w:leftChars="114" w:firstLine="699" w:firstLineChars="227"/>
        <w:jc w:val="left"/>
        <w:rPr>
          <w:rFonts w:hint="eastAsia" w:ascii="宋体" w:hAnsi="宋体" w:eastAsia="宋体" w:cs="宋体"/>
          <w:bCs/>
          <w:color w:val="auto"/>
          <w:spacing w:val="4"/>
          <w:sz w:val="30"/>
          <w:szCs w:val="30"/>
          <w:highlight w:val="none"/>
        </w:rPr>
        <w:sectPr>
          <w:pgSz w:w="11906" w:h="16838"/>
          <w:pgMar w:top="1440" w:right="1080" w:bottom="1440" w:left="1080" w:header="720" w:footer="1134" w:gutter="0"/>
          <w:pgNumType w:fmt="decimal"/>
          <w:cols w:space="720" w:num="1"/>
          <w:docGrid w:type="lines" w:linePitch="312" w:charSpace="0"/>
        </w:sectPr>
      </w:pPr>
    </w:p>
    <w:p w14:paraId="5C60FF67">
      <w:pPr>
        <w:spacing w:line="360" w:lineRule="auto"/>
        <w:jc w:val="center"/>
        <w:rPr>
          <w:rFonts w:hint="eastAsia" w:ascii="宋体" w:hAnsi="宋体" w:cs="宋体"/>
          <w:b w:val="0"/>
          <w:bCs/>
          <w:color w:val="auto"/>
          <w:kern w:val="0"/>
          <w:sz w:val="32"/>
          <w:highlight w:val="none"/>
          <w:lang w:val="en-US" w:eastAsia="zh-CN" w:bidi="ar-SA"/>
        </w:rPr>
      </w:pPr>
      <w:bookmarkStart w:id="662" w:name="_Toc25562"/>
      <w:bookmarkStart w:id="663" w:name="_Toc31115"/>
      <w:bookmarkStart w:id="664" w:name="_Toc8340"/>
      <w:bookmarkStart w:id="665" w:name="_Toc31221"/>
      <w:r>
        <w:rPr>
          <w:rFonts w:hint="eastAsia" w:ascii="宋体" w:hAnsi="宋体" w:cs="宋体"/>
          <w:b w:val="0"/>
          <w:bCs/>
          <w:color w:val="auto"/>
          <w:kern w:val="0"/>
          <w:sz w:val="32"/>
          <w:highlight w:val="none"/>
          <w:lang w:val="en-US" w:eastAsia="zh-CN" w:bidi="ar-SA"/>
        </w:rPr>
        <w:t>十二、监狱或戒毒企业声明函</w:t>
      </w:r>
      <w:bookmarkEnd w:id="662"/>
      <w:bookmarkEnd w:id="663"/>
      <w:bookmarkEnd w:id="664"/>
      <w:bookmarkEnd w:id="665"/>
    </w:p>
    <w:p w14:paraId="6BA3296A">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本单位郑重声明，根据《</w:t>
      </w:r>
      <w:r>
        <w:rPr>
          <w:rFonts w:hint="eastAsia" w:ascii="宋体" w:hAnsi="宋体" w:eastAsia="宋体" w:cs="宋体"/>
          <w:bCs/>
          <w:color w:val="auto"/>
          <w:spacing w:val="-4"/>
          <w:kern w:val="0"/>
          <w:sz w:val="24"/>
          <w:highlight w:val="none"/>
        </w:rPr>
        <w:t>财政部 司法部 关于政府采购支持监狱企业发展有关问题的通知</w:t>
      </w:r>
      <w:r>
        <w:rPr>
          <w:rFonts w:hint="eastAsia" w:ascii="宋体" w:hAnsi="宋体" w:eastAsia="宋体" w:cs="宋体"/>
          <w:bCs/>
          <w:color w:val="auto"/>
          <w:sz w:val="24"/>
          <w:highlight w:val="none"/>
        </w:rPr>
        <w:t>》（财库〔2014〕 68号）的规定，本单位为符合条件的监狱、戒毒企业，且本单位参加的</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项目采购活动提供本单位制造的货物（由本单位承担工程/提供服务），或者提供其他监狱、戒毒企业制造的货物（不包括使用非监狱、戒毒企业注册商标的货物）。</w:t>
      </w:r>
    </w:p>
    <w:p w14:paraId="3613FF5F">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本单位对上述声明的真实性负责。如有虚假，将依法承担相应责任。</w:t>
      </w:r>
    </w:p>
    <w:p w14:paraId="15A4D7D7">
      <w:pPr>
        <w:spacing w:line="360" w:lineRule="auto"/>
        <w:ind w:firstLine="480" w:firstLineChars="200"/>
        <w:rPr>
          <w:rFonts w:hint="eastAsia" w:ascii="宋体" w:hAnsi="宋体" w:eastAsia="宋体" w:cs="宋体"/>
          <w:bCs/>
          <w:color w:val="auto"/>
          <w:sz w:val="24"/>
          <w:highlight w:val="none"/>
        </w:rPr>
      </w:pPr>
    </w:p>
    <w:p w14:paraId="4AA7CAE0">
      <w:pPr>
        <w:spacing w:line="360" w:lineRule="auto"/>
        <w:ind w:firstLine="480" w:firstLineChars="200"/>
        <w:rPr>
          <w:rFonts w:hint="eastAsia" w:ascii="宋体" w:hAnsi="宋体" w:eastAsia="宋体" w:cs="宋体"/>
          <w:bCs/>
          <w:color w:val="auto"/>
          <w:sz w:val="24"/>
          <w:highlight w:val="none"/>
        </w:rPr>
      </w:pPr>
    </w:p>
    <w:p w14:paraId="3B090BD0">
      <w:pPr>
        <w:tabs>
          <w:tab w:val="left" w:pos="4860"/>
          <w:tab w:val="left" w:pos="8040"/>
          <w:tab w:val="left" w:pos="8160"/>
        </w:tabs>
        <w:spacing w:line="360" w:lineRule="auto"/>
        <w:ind w:right="862" w:firstLine="480" w:firstLineChars="200"/>
        <w:jc w:val="center"/>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投标人（公章）：</w:t>
      </w:r>
      <w:r>
        <w:rPr>
          <w:rFonts w:hint="eastAsia" w:ascii="宋体" w:hAnsi="宋体" w:eastAsia="宋体" w:cs="宋体"/>
          <w:bCs/>
          <w:color w:val="auto"/>
          <w:sz w:val="24"/>
          <w:highlight w:val="none"/>
          <w:u w:val="single"/>
        </w:rPr>
        <w:t xml:space="preserve">                   </w:t>
      </w:r>
    </w:p>
    <w:p w14:paraId="760737BF">
      <w:pPr>
        <w:tabs>
          <w:tab w:val="left" w:pos="4860"/>
        </w:tabs>
        <w:spacing w:line="360" w:lineRule="auto"/>
        <w:ind w:right="1560" w:firstLine="480" w:firstLineChars="20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p>
    <w:p w14:paraId="0512DE79">
      <w:pPr>
        <w:tabs>
          <w:tab w:val="left" w:pos="4860"/>
        </w:tabs>
        <w:spacing w:line="360" w:lineRule="auto"/>
        <w:ind w:firstLine="480" w:firstLineChars="20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  期：</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p w14:paraId="3C88EE5F">
      <w:pPr>
        <w:spacing w:line="360" w:lineRule="auto"/>
        <w:ind w:firstLine="504" w:firstLineChars="200"/>
        <w:rPr>
          <w:rFonts w:hint="eastAsia" w:ascii="宋体" w:hAnsi="宋体" w:eastAsia="宋体" w:cs="宋体"/>
          <w:bCs/>
          <w:color w:val="auto"/>
          <w:spacing w:val="6"/>
          <w:sz w:val="24"/>
          <w:highlight w:val="none"/>
          <w:shd w:val="pct10" w:color="auto" w:fill="FFFFFF"/>
        </w:rPr>
      </w:pPr>
    </w:p>
    <w:p w14:paraId="5242D1FB">
      <w:pPr>
        <w:spacing w:line="360" w:lineRule="auto"/>
        <w:ind w:firstLine="504" w:firstLineChars="200"/>
        <w:rPr>
          <w:rFonts w:hint="eastAsia" w:ascii="宋体" w:hAnsi="宋体" w:eastAsia="宋体" w:cs="宋体"/>
          <w:bCs/>
          <w:color w:val="auto"/>
          <w:spacing w:val="6"/>
          <w:sz w:val="24"/>
          <w:highlight w:val="none"/>
          <w:shd w:val="pct10" w:color="auto" w:fill="FFFFFF"/>
        </w:rPr>
      </w:pPr>
    </w:p>
    <w:p w14:paraId="05B3FE0A">
      <w:pPr>
        <w:kinsoku w:val="0"/>
        <w:spacing w:line="360" w:lineRule="auto"/>
        <w:ind w:firstLine="480" w:firstLineChars="200"/>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lang w:val="zh-CN"/>
        </w:rPr>
        <w:t>备注：</w:t>
      </w:r>
      <w:r>
        <w:rPr>
          <w:rFonts w:hint="eastAsia" w:ascii="宋体" w:hAnsi="宋体" w:eastAsia="宋体" w:cs="宋体"/>
          <w:bCs/>
          <w:color w:val="auto"/>
          <w:kern w:val="0"/>
          <w:sz w:val="24"/>
          <w:highlight w:val="none"/>
        </w:rPr>
        <w:t>非</w:t>
      </w:r>
      <w:r>
        <w:rPr>
          <w:rFonts w:hint="eastAsia" w:ascii="宋体" w:hAnsi="宋体" w:eastAsia="宋体" w:cs="宋体"/>
          <w:bCs/>
          <w:color w:val="auto"/>
          <w:sz w:val="24"/>
          <w:szCs w:val="24"/>
          <w:highlight w:val="none"/>
        </w:rPr>
        <w:t>监狱、戒毒企业请划“/”，不得删除本表。</w:t>
      </w:r>
    </w:p>
    <w:p w14:paraId="2479D7F7">
      <w:pPr>
        <w:spacing w:before="156" w:beforeLines="50" w:after="312" w:afterLines="100"/>
        <w:jc w:val="center"/>
        <w:rPr>
          <w:rFonts w:hint="eastAsia" w:ascii="宋体" w:hAnsi="宋体" w:eastAsia="宋体" w:cs="宋体"/>
          <w:bCs/>
          <w:color w:val="auto"/>
          <w:spacing w:val="4"/>
          <w:sz w:val="30"/>
          <w:szCs w:val="30"/>
          <w:highlight w:val="none"/>
        </w:rPr>
      </w:pPr>
    </w:p>
    <w:p w14:paraId="455F0665">
      <w:pPr>
        <w:spacing w:line="360" w:lineRule="auto"/>
        <w:jc w:val="center"/>
        <w:rPr>
          <w:rFonts w:hint="eastAsia" w:ascii="宋体" w:hAnsi="宋体" w:eastAsia="宋体" w:cs="宋体"/>
          <w:bCs/>
          <w:color w:val="auto"/>
          <w:sz w:val="36"/>
          <w:szCs w:val="36"/>
          <w:highlight w:val="none"/>
        </w:rPr>
        <w:sectPr>
          <w:pgSz w:w="11906" w:h="16838"/>
          <w:pgMar w:top="1440" w:right="1080" w:bottom="1440" w:left="1080" w:header="720" w:footer="1134" w:gutter="0"/>
          <w:pgNumType w:fmt="decimal"/>
          <w:cols w:space="720" w:num="1"/>
          <w:docGrid w:type="lines" w:linePitch="312" w:charSpace="0"/>
        </w:sectPr>
      </w:pPr>
    </w:p>
    <w:p w14:paraId="7DCC82BD">
      <w:pPr>
        <w:spacing w:line="360" w:lineRule="auto"/>
        <w:jc w:val="center"/>
        <w:rPr>
          <w:rFonts w:hint="eastAsia" w:ascii="宋体" w:hAnsi="宋体" w:cs="宋体"/>
          <w:b w:val="0"/>
          <w:bCs/>
          <w:color w:val="auto"/>
          <w:kern w:val="0"/>
          <w:sz w:val="32"/>
          <w:highlight w:val="none"/>
          <w:lang w:val="en-US" w:eastAsia="zh-CN" w:bidi="ar-SA"/>
        </w:rPr>
        <w:sectPr>
          <w:pgSz w:w="11906" w:h="16838"/>
          <w:pgMar w:top="1440" w:right="1080" w:bottom="1440" w:left="1080" w:header="720" w:footer="1134" w:gutter="0"/>
          <w:pgNumType w:fmt="decimal"/>
          <w:cols w:space="720" w:num="1"/>
          <w:docGrid w:type="lines" w:linePitch="312" w:charSpace="0"/>
        </w:sectPr>
      </w:pPr>
      <w:bookmarkStart w:id="666" w:name="_Toc28074"/>
      <w:bookmarkStart w:id="667" w:name="_Toc25700"/>
      <w:bookmarkStart w:id="668" w:name="_Toc26671"/>
      <w:bookmarkStart w:id="669" w:name="_Toc18019"/>
      <w:bookmarkStart w:id="670" w:name="_Toc6543"/>
      <w:r>
        <w:rPr>
          <w:rFonts w:hint="eastAsia" w:ascii="宋体" w:hAnsi="宋体" w:cs="宋体"/>
          <w:b w:val="0"/>
          <w:bCs/>
          <w:color w:val="auto"/>
          <w:kern w:val="0"/>
          <w:sz w:val="32"/>
          <w:highlight w:val="none"/>
          <w:lang w:val="en-US" w:eastAsia="zh-CN" w:bidi="ar-SA"/>
        </w:rPr>
        <w:t>十三、信用中国陕西榆林承诺申报截图</w:t>
      </w:r>
      <w:bookmarkEnd w:id="666"/>
      <w:bookmarkEnd w:id="667"/>
      <w:bookmarkEnd w:id="668"/>
      <w:bookmarkEnd w:id="669"/>
      <w:bookmarkEnd w:id="670"/>
    </w:p>
    <w:p w14:paraId="67AA5A0A">
      <w:pPr>
        <w:spacing w:line="360" w:lineRule="auto"/>
        <w:jc w:val="center"/>
        <w:rPr>
          <w:rFonts w:hint="eastAsia" w:ascii="宋体" w:hAnsi="宋体" w:eastAsia="宋体" w:cs="宋体"/>
          <w:bCs/>
          <w:color w:val="auto"/>
          <w:sz w:val="22"/>
          <w:szCs w:val="28"/>
          <w:highlight w:val="none"/>
        </w:rPr>
        <w:sectPr>
          <w:type w:val="continuous"/>
          <w:pgSz w:w="11906" w:h="16838"/>
          <w:pgMar w:top="1440" w:right="1080" w:bottom="1440" w:left="1080" w:header="720" w:footer="720" w:gutter="0"/>
          <w:pgNumType w:fmt="decimal"/>
          <w:cols w:space="720" w:num="1"/>
          <w:docGrid w:type="lines" w:linePitch="315" w:charSpace="0"/>
        </w:sectPr>
      </w:pPr>
      <w:r>
        <w:rPr>
          <w:rFonts w:hint="eastAsia" w:ascii="宋体" w:hAnsi="宋体" w:eastAsia="宋体" w:cs="宋体"/>
          <w:bCs/>
          <w:color w:val="auto"/>
          <w:sz w:val="22"/>
          <w:szCs w:val="28"/>
          <w:highlight w:val="none"/>
        </w:rPr>
        <w:t>注：截图须体现</w:t>
      </w:r>
      <w:r>
        <w:rPr>
          <w:rFonts w:hint="eastAsia" w:ascii="宋体" w:hAnsi="宋体" w:eastAsia="宋体" w:cs="宋体"/>
          <w:bCs/>
          <w:color w:val="auto"/>
          <w:sz w:val="22"/>
          <w:szCs w:val="28"/>
          <w:highlight w:val="none"/>
          <w:lang w:val="en-US" w:eastAsia="zh-CN"/>
        </w:rPr>
        <w:t>项目</w:t>
      </w:r>
      <w:r>
        <w:rPr>
          <w:rFonts w:hint="eastAsia" w:ascii="宋体" w:hAnsi="宋体" w:eastAsia="宋体" w:cs="宋体"/>
          <w:bCs/>
          <w:color w:val="auto"/>
          <w:sz w:val="22"/>
          <w:szCs w:val="28"/>
          <w:highlight w:val="none"/>
        </w:rPr>
        <w:t>名称。</w:t>
      </w:r>
    </w:p>
    <w:p w14:paraId="69F6B205">
      <w:pPr>
        <w:pStyle w:val="2"/>
        <w:spacing w:line="240" w:lineRule="auto"/>
        <w:jc w:val="center"/>
        <w:rPr>
          <w:rFonts w:hint="eastAsia" w:ascii="宋体" w:hAnsi="宋体" w:eastAsia="宋体" w:cs="宋体"/>
          <w:b w:val="0"/>
          <w:bCs/>
          <w:color w:val="auto"/>
          <w:sz w:val="40"/>
          <w:szCs w:val="40"/>
          <w:highlight w:val="none"/>
        </w:rPr>
      </w:pPr>
      <w:bookmarkStart w:id="671" w:name="_Toc10677"/>
      <w:bookmarkStart w:id="672" w:name="_Toc12569"/>
      <w:bookmarkStart w:id="673" w:name="_Toc27804"/>
      <w:r>
        <w:rPr>
          <w:rFonts w:hint="eastAsia" w:ascii="宋体" w:hAnsi="宋体" w:eastAsia="宋体" w:cs="宋体"/>
          <w:b w:val="0"/>
          <w:bCs/>
          <w:color w:val="auto"/>
          <w:sz w:val="40"/>
          <w:szCs w:val="40"/>
          <w:highlight w:val="none"/>
        </w:rPr>
        <w:t>第九部分  附件</w:t>
      </w:r>
      <w:bookmarkEnd w:id="671"/>
      <w:bookmarkEnd w:id="672"/>
      <w:bookmarkEnd w:id="673"/>
    </w:p>
    <w:p w14:paraId="00012216">
      <w:pPr>
        <w:spacing w:line="360" w:lineRule="auto"/>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（投标人须在开标前将附件1、附件2、附件3、附件4按时上传至信用中国（陕西榆林）进行公示，并将上传后的截图</w:t>
      </w:r>
      <w:r>
        <w:rPr>
          <w:rFonts w:hint="eastAsia" w:ascii="宋体" w:hAnsi="宋体" w:eastAsia="宋体" w:cs="宋体"/>
          <w:bCs/>
          <w:color w:val="auto"/>
          <w:sz w:val="28"/>
          <w:szCs w:val="28"/>
          <w:highlight w:val="none"/>
          <w:lang w:val="en-US" w:eastAsia="zh-CN"/>
        </w:rPr>
        <w:t>和附件及承诺书</w:t>
      </w:r>
      <w:r>
        <w:rPr>
          <w:rFonts w:hint="eastAsia" w:ascii="宋体" w:hAnsi="宋体" w:eastAsia="宋体" w:cs="宋体"/>
          <w:bCs/>
          <w:color w:val="auto"/>
          <w:sz w:val="28"/>
          <w:szCs w:val="28"/>
          <w:highlight w:val="none"/>
        </w:rPr>
        <w:t>附在投标文件中。）</w:t>
      </w:r>
      <w:bookmarkStart w:id="674" w:name="_Toc7135"/>
    </w:p>
    <w:p w14:paraId="5D57A028">
      <w:pPr>
        <w:spacing w:line="360" w:lineRule="auto"/>
        <w:jc w:val="center"/>
        <w:outlineLvl w:val="0"/>
        <w:rPr>
          <w:rFonts w:hint="eastAsia" w:ascii="宋体" w:hAnsi="宋体" w:eastAsia="宋体" w:cs="宋体"/>
          <w:bCs/>
          <w:color w:val="auto"/>
          <w:sz w:val="40"/>
          <w:szCs w:val="40"/>
          <w:highlight w:val="none"/>
        </w:rPr>
      </w:pPr>
      <w:bookmarkStart w:id="704" w:name="_GoBack"/>
      <w:bookmarkStart w:id="675" w:name="_Toc6172"/>
      <w:bookmarkStart w:id="676" w:name="_Toc24678"/>
      <w:bookmarkStart w:id="677" w:name="_Toc18999"/>
      <w:bookmarkStart w:id="678" w:name="_Toc26797"/>
      <w:bookmarkStart w:id="679" w:name="_Toc12732"/>
      <w:r>
        <w:rPr>
          <w:rFonts w:hint="eastAsia" w:ascii="宋体" w:hAnsi="宋体" w:eastAsia="宋体" w:cs="宋体"/>
          <w:bCs/>
          <w:color w:val="auto"/>
          <w:sz w:val="32"/>
          <w:szCs w:val="32"/>
          <w:highlight w:val="none"/>
        </w:rPr>
        <w:t>附件1 投标人信用承诺书</w:t>
      </w:r>
      <w:bookmarkEnd w:id="674"/>
      <w:bookmarkEnd w:id="675"/>
      <w:bookmarkEnd w:id="676"/>
      <w:bookmarkEnd w:id="677"/>
      <w:bookmarkEnd w:id="678"/>
      <w:bookmarkEnd w:id="679"/>
    </w:p>
    <w:p w14:paraId="4EC30AE4">
      <w:pPr>
        <w:widowControl/>
        <w:adjustRightInd w:val="0"/>
        <w:snapToGrid w:val="0"/>
        <w:spacing w:line="480" w:lineRule="auto"/>
        <w:jc w:val="left"/>
        <w:rPr>
          <w:rFonts w:hint="eastAsia" w:ascii="宋体" w:hAnsi="宋体" w:eastAsia="宋体" w:cs="宋体"/>
          <w:bCs/>
          <w:color w:val="auto"/>
          <w:kern w:val="0"/>
          <w:sz w:val="24"/>
          <w:highlight w:val="none"/>
          <w:u w:val="single"/>
        </w:rPr>
      </w:pPr>
      <w:r>
        <w:rPr>
          <w:rFonts w:hint="eastAsia" w:ascii="宋体" w:hAnsi="宋体" w:eastAsia="宋体" w:cs="宋体"/>
          <w:bCs/>
          <w:color w:val="auto"/>
          <w:kern w:val="0"/>
          <w:sz w:val="24"/>
          <w:highlight w:val="none"/>
        </w:rPr>
        <w:t>投标人：</w:t>
      </w:r>
      <w:r>
        <w:rPr>
          <w:rFonts w:hint="eastAsia" w:ascii="宋体" w:hAnsi="宋体" w:eastAsia="宋体" w:cs="宋体"/>
          <w:bCs/>
          <w:color w:val="auto"/>
          <w:kern w:val="0"/>
          <w:sz w:val="24"/>
          <w:highlight w:val="none"/>
          <w:u w:val="single"/>
        </w:rPr>
        <w:t xml:space="preserve">                                                                   </w:t>
      </w:r>
    </w:p>
    <w:p w14:paraId="715F287F">
      <w:pPr>
        <w:widowControl/>
        <w:adjustRightInd w:val="0"/>
        <w:snapToGrid w:val="0"/>
        <w:spacing w:line="480" w:lineRule="auto"/>
        <w:jc w:val="left"/>
        <w:rPr>
          <w:rFonts w:hint="eastAsia" w:ascii="宋体" w:hAnsi="宋体" w:eastAsia="宋体" w:cs="宋体"/>
          <w:bCs/>
          <w:color w:val="auto"/>
          <w:kern w:val="0"/>
          <w:sz w:val="24"/>
          <w:highlight w:val="none"/>
          <w:u w:val="single"/>
        </w:rPr>
      </w:pPr>
      <w:r>
        <w:rPr>
          <w:rFonts w:hint="eastAsia" w:ascii="宋体" w:hAnsi="宋体" w:eastAsia="宋体" w:cs="宋体"/>
          <w:bCs/>
          <w:color w:val="auto"/>
          <w:kern w:val="0"/>
          <w:sz w:val="24"/>
          <w:highlight w:val="none"/>
        </w:rPr>
        <w:t>统一社会信用代码：</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法人代表：</w:t>
      </w:r>
      <w:r>
        <w:rPr>
          <w:rFonts w:hint="eastAsia" w:ascii="宋体" w:hAnsi="宋体" w:eastAsia="宋体" w:cs="宋体"/>
          <w:bCs/>
          <w:color w:val="auto"/>
          <w:kern w:val="0"/>
          <w:sz w:val="24"/>
          <w:highlight w:val="none"/>
          <w:u w:val="single"/>
        </w:rPr>
        <w:t xml:space="preserve">                  </w:t>
      </w:r>
    </w:p>
    <w:p w14:paraId="18354CBD">
      <w:pPr>
        <w:widowControl/>
        <w:adjustRightInd w:val="0"/>
        <w:snapToGrid w:val="0"/>
        <w:spacing w:line="480" w:lineRule="auto"/>
        <w:jc w:val="left"/>
        <w:rPr>
          <w:rFonts w:hint="eastAsia" w:ascii="宋体" w:hAnsi="宋体" w:eastAsia="宋体" w:cs="宋体"/>
          <w:bCs/>
          <w:color w:val="auto"/>
          <w:kern w:val="0"/>
          <w:sz w:val="24"/>
          <w:highlight w:val="none"/>
          <w:u w:val="single"/>
        </w:rPr>
      </w:pPr>
      <w:r>
        <w:rPr>
          <w:rFonts w:hint="eastAsia" w:ascii="宋体" w:hAnsi="宋体" w:eastAsia="宋体" w:cs="宋体"/>
          <w:bCs/>
          <w:color w:val="auto"/>
          <w:kern w:val="0"/>
          <w:sz w:val="24"/>
          <w:highlight w:val="none"/>
        </w:rPr>
        <w:t>承诺有效期限：</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年</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月</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日—</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年</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月</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日</w:t>
      </w:r>
    </w:p>
    <w:p w14:paraId="43268B52">
      <w:pPr>
        <w:widowControl/>
        <w:adjustRightInd w:val="0"/>
        <w:snapToGrid w:val="0"/>
        <w:spacing w:line="480" w:lineRule="auto"/>
        <w:ind w:firstLine="480" w:firstLineChars="20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在</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项目招投标活动中，我公司（单位）郑重作出以下信用承诺：</w:t>
      </w:r>
    </w:p>
    <w:p w14:paraId="2CFF02BF">
      <w:pPr>
        <w:widowControl/>
        <w:adjustRightInd w:val="0"/>
        <w:snapToGrid w:val="0"/>
        <w:spacing w:line="480" w:lineRule="auto"/>
        <w:ind w:firstLine="48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03038F66">
      <w:pPr>
        <w:widowControl/>
        <w:adjustRightInd w:val="0"/>
        <w:snapToGrid w:val="0"/>
        <w:spacing w:line="480" w:lineRule="auto"/>
        <w:ind w:firstLine="48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竞争性谈判文件和投标文件与招标人签订合同；在签订合同时向招标人提出附加条件、或者改变投标文件的实质性内容；放弃中标；不按照竞争性谈判文件的规定提交履约保证金。5.招投标法规定的其它违法违规行为。</w:t>
      </w:r>
    </w:p>
    <w:p w14:paraId="289983C3">
      <w:pPr>
        <w:widowControl/>
        <w:adjustRightInd w:val="0"/>
        <w:snapToGrid w:val="0"/>
        <w:spacing w:line="480" w:lineRule="auto"/>
        <w:ind w:firstLine="480"/>
        <w:jc w:val="left"/>
        <w:rPr>
          <w:rFonts w:hint="eastAsia" w:ascii="宋体" w:hAnsi="宋体" w:eastAsia="宋体" w:cs="宋体"/>
          <w:bCs/>
          <w:color w:val="auto"/>
          <w:kern w:val="0"/>
          <w:sz w:val="24"/>
          <w:highlight w:val="none"/>
        </w:rPr>
      </w:pPr>
      <w:bookmarkStart w:id="680" w:name="_Toc1855"/>
      <w:r>
        <w:rPr>
          <w:rFonts w:hint="eastAsia" w:ascii="宋体" w:hAnsi="宋体" w:eastAsia="宋体" w:cs="宋体"/>
          <w:bCs/>
          <w:color w:val="auto"/>
          <w:kern w:val="0"/>
          <w:sz w:val="24"/>
          <w:highlight w:val="none"/>
        </w:rPr>
        <w:t>（三）自愿接受招投标监督部门和有关行政监督部门的依法检查。</w:t>
      </w:r>
      <w:bookmarkEnd w:id="680"/>
    </w:p>
    <w:p w14:paraId="2A769A6C">
      <w:pPr>
        <w:widowControl/>
        <w:adjustRightInd w:val="0"/>
        <w:snapToGrid w:val="0"/>
        <w:spacing w:line="480" w:lineRule="auto"/>
        <w:ind w:firstLine="48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（四）同意将此信用承诺纳入陕西省公共信用信息平台和榆林市公共信用信息共享平台，并上网公示，接受社会监督。</w:t>
      </w:r>
    </w:p>
    <w:p w14:paraId="42D9D8D2">
      <w:pPr>
        <w:widowControl/>
        <w:adjustRightInd w:val="0"/>
        <w:snapToGrid w:val="0"/>
        <w:spacing w:line="480" w:lineRule="auto"/>
        <w:ind w:firstLine="48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40A3BC6F">
      <w:pPr>
        <w:pStyle w:val="8"/>
        <w:rPr>
          <w:rFonts w:hint="eastAsia" w:ascii="宋体" w:hAnsi="宋体" w:eastAsia="宋体" w:cs="宋体"/>
          <w:bCs/>
          <w:color w:val="auto"/>
          <w:highlight w:val="none"/>
        </w:rPr>
      </w:pPr>
    </w:p>
    <w:p w14:paraId="1A12C028">
      <w:pPr>
        <w:widowControl/>
        <w:tabs>
          <w:tab w:val="left" w:pos="4395"/>
        </w:tabs>
        <w:adjustRightInd w:val="0"/>
        <w:snapToGrid w:val="0"/>
        <w:spacing w:line="480" w:lineRule="auto"/>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法定代表人（签章）：                 投标人（盖章）：</w:t>
      </w:r>
    </w:p>
    <w:p w14:paraId="39893277">
      <w:pPr>
        <w:adjustRightInd w:val="0"/>
        <w:snapToGrid w:val="0"/>
        <w:spacing w:line="480" w:lineRule="auto"/>
        <w:jc w:val="center"/>
        <w:rPr>
          <w:rFonts w:hint="eastAsia" w:ascii="宋体" w:hAnsi="宋体" w:eastAsia="宋体" w:cs="宋体"/>
          <w:bCs/>
          <w:color w:val="auto"/>
          <w:kern w:val="0"/>
          <w:sz w:val="24"/>
          <w:highlight w:val="none"/>
        </w:rPr>
      </w:pPr>
    </w:p>
    <w:p w14:paraId="67B9A674">
      <w:pPr>
        <w:adjustRightInd w:val="0"/>
        <w:snapToGrid w:val="0"/>
        <w:spacing w:line="480" w:lineRule="auto"/>
        <w:jc w:val="center"/>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 xml:space="preserve">                             承诺时间：</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年</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月</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日</w:t>
      </w:r>
    </w:p>
    <w:p w14:paraId="53A94924">
      <w:pPr>
        <w:spacing w:line="480" w:lineRule="auto"/>
        <w:ind w:right="-2"/>
        <w:jc w:val="center"/>
        <w:rPr>
          <w:rFonts w:hint="eastAsia" w:ascii="宋体" w:hAnsi="宋体" w:eastAsia="宋体" w:cs="宋体"/>
          <w:bCs/>
          <w:color w:val="auto"/>
          <w:sz w:val="32"/>
          <w:szCs w:val="32"/>
          <w:highlight w:val="none"/>
        </w:rPr>
        <w:sectPr>
          <w:pgSz w:w="11906" w:h="16838"/>
          <w:pgMar w:top="1440" w:right="1080" w:bottom="1440" w:left="1080" w:header="1134" w:footer="1077" w:gutter="0"/>
          <w:pgNumType w:fmt="decimal"/>
          <w:cols w:space="720" w:num="1"/>
          <w:docGrid w:type="lines" w:linePitch="313" w:charSpace="0"/>
        </w:sectPr>
      </w:pPr>
    </w:p>
    <w:p w14:paraId="04795E4F">
      <w:pPr>
        <w:spacing w:line="560" w:lineRule="exact"/>
        <w:ind w:right="-2"/>
        <w:jc w:val="center"/>
        <w:outlineLvl w:val="0"/>
        <w:rPr>
          <w:rFonts w:hint="eastAsia" w:ascii="宋体" w:hAnsi="宋体" w:eastAsia="宋体" w:cs="宋体"/>
          <w:bCs/>
          <w:color w:val="auto"/>
          <w:sz w:val="32"/>
          <w:szCs w:val="32"/>
          <w:highlight w:val="none"/>
        </w:rPr>
      </w:pPr>
      <w:bookmarkStart w:id="681" w:name="_Toc8663"/>
      <w:bookmarkStart w:id="682" w:name="_Toc24231"/>
      <w:bookmarkStart w:id="683" w:name="_Toc22664"/>
      <w:bookmarkStart w:id="684" w:name="_Toc18071"/>
      <w:r>
        <w:rPr>
          <w:rFonts w:hint="eastAsia" w:ascii="宋体" w:hAnsi="宋体" w:eastAsia="宋体" w:cs="宋体"/>
          <w:bCs/>
          <w:color w:val="auto"/>
          <w:sz w:val="32"/>
          <w:szCs w:val="32"/>
          <w:highlight w:val="none"/>
        </w:rPr>
        <w:t>附件2 投标人委托代理人员信用承诺书</w:t>
      </w:r>
      <w:bookmarkEnd w:id="681"/>
      <w:bookmarkEnd w:id="682"/>
      <w:bookmarkEnd w:id="683"/>
      <w:bookmarkEnd w:id="684"/>
    </w:p>
    <w:p w14:paraId="51F744C2">
      <w:pPr>
        <w:widowControl/>
        <w:spacing w:line="540" w:lineRule="exact"/>
        <w:ind w:firstLine="480" w:firstLineChars="20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在</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项目招投标活动中，我个人郑重作出以下信用承诺：</w:t>
      </w:r>
    </w:p>
    <w:p w14:paraId="7D518E07">
      <w:pPr>
        <w:widowControl/>
        <w:adjustRightInd w:val="0"/>
        <w:snapToGrid w:val="0"/>
        <w:spacing w:line="540" w:lineRule="exact"/>
        <w:ind w:firstLine="48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（一）能严格遵守法律法规、职业道德和行业规范，具有独立承担民事责任的能力；无法律法规规定禁止开展从业活动情形。我所递交的文件资料合法、真实、准确、完整、有效，无弄虚作假等情形。</w:t>
      </w:r>
    </w:p>
    <w:p w14:paraId="7E8DC241">
      <w:pPr>
        <w:widowControl/>
        <w:adjustRightInd w:val="0"/>
        <w:snapToGrid w:val="0"/>
        <w:spacing w:line="540" w:lineRule="exact"/>
        <w:ind w:firstLine="48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竞争性谈判文件和投标文件与招标人签订合同；在签订合同时向招标人提出附加条件、或者改变投标文件的实质性内容；放弃中标；不按照竞争性谈判文件的规定提交履约保证金。5.招投标法规定的其它违法违规行为。</w:t>
      </w:r>
    </w:p>
    <w:p w14:paraId="692FB617">
      <w:pPr>
        <w:widowControl/>
        <w:adjustRightInd w:val="0"/>
        <w:snapToGrid w:val="0"/>
        <w:spacing w:line="540" w:lineRule="exact"/>
        <w:ind w:firstLine="480"/>
        <w:jc w:val="left"/>
        <w:rPr>
          <w:rFonts w:hint="eastAsia" w:ascii="宋体" w:hAnsi="宋体" w:eastAsia="宋体" w:cs="宋体"/>
          <w:bCs/>
          <w:color w:val="auto"/>
          <w:kern w:val="0"/>
          <w:sz w:val="24"/>
          <w:highlight w:val="none"/>
        </w:rPr>
      </w:pPr>
      <w:bookmarkStart w:id="685" w:name="_Toc30320"/>
      <w:r>
        <w:rPr>
          <w:rFonts w:hint="eastAsia" w:ascii="宋体" w:hAnsi="宋体" w:eastAsia="宋体" w:cs="宋体"/>
          <w:bCs/>
          <w:color w:val="auto"/>
          <w:kern w:val="0"/>
          <w:sz w:val="24"/>
          <w:highlight w:val="none"/>
        </w:rPr>
        <w:t>（三）自愿接受招投标监督部门和有关行政监督部门的依法检查。</w:t>
      </w:r>
      <w:bookmarkEnd w:id="685"/>
    </w:p>
    <w:p w14:paraId="31B683C2">
      <w:pPr>
        <w:widowControl/>
        <w:adjustRightInd w:val="0"/>
        <w:snapToGrid w:val="0"/>
        <w:spacing w:line="540" w:lineRule="exact"/>
        <w:ind w:firstLine="48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（四）同意将此信用承诺纳入陕西省公共信用信息平台和榆林市公共信用信息共享平台，并接受社会监督。</w:t>
      </w:r>
    </w:p>
    <w:p w14:paraId="61687D50">
      <w:pPr>
        <w:widowControl/>
        <w:adjustRightInd w:val="0"/>
        <w:snapToGrid w:val="0"/>
        <w:spacing w:line="540" w:lineRule="exact"/>
        <w:ind w:firstLine="48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7ED07481">
      <w:pPr>
        <w:widowControl/>
        <w:spacing w:line="320" w:lineRule="exact"/>
        <w:ind w:firstLine="482"/>
        <w:jc w:val="left"/>
        <w:rPr>
          <w:rFonts w:hint="eastAsia" w:ascii="宋体" w:hAnsi="宋体" w:eastAsia="宋体" w:cs="宋体"/>
          <w:bCs/>
          <w:color w:val="auto"/>
          <w:kern w:val="0"/>
          <w:sz w:val="24"/>
          <w:highlight w:val="none"/>
        </w:rPr>
      </w:pPr>
    </w:p>
    <w:p w14:paraId="424CD080">
      <w:pPr>
        <w:widowControl/>
        <w:spacing w:line="320" w:lineRule="exact"/>
        <w:ind w:firstLine="482"/>
        <w:jc w:val="left"/>
        <w:rPr>
          <w:rFonts w:hint="eastAsia" w:ascii="宋体" w:hAnsi="宋体" w:eastAsia="宋体" w:cs="宋体"/>
          <w:bCs/>
          <w:color w:val="auto"/>
          <w:kern w:val="0"/>
          <w:sz w:val="24"/>
          <w:highlight w:val="none"/>
          <w:u w:val="single"/>
        </w:rPr>
      </w:pPr>
      <w:r>
        <w:rPr>
          <w:rFonts w:hint="eastAsia" w:ascii="宋体" w:hAnsi="宋体" w:eastAsia="宋体" w:cs="宋体"/>
          <w:bCs/>
          <w:color w:val="auto"/>
          <w:kern w:val="0"/>
          <w:sz w:val="24"/>
          <w:highlight w:val="none"/>
        </w:rPr>
        <w:t>承诺有效期限：</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年</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月</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日—</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年</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月</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日</w:t>
      </w:r>
    </w:p>
    <w:p w14:paraId="19063AC1">
      <w:pPr>
        <w:widowControl/>
        <w:spacing w:line="320" w:lineRule="exact"/>
        <w:ind w:firstLine="482"/>
        <w:jc w:val="left"/>
        <w:rPr>
          <w:rFonts w:hint="eastAsia" w:ascii="宋体" w:hAnsi="宋体" w:eastAsia="宋体" w:cs="宋体"/>
          <w:bCs/>
          <w:color w:val="auto"/>
          <w:kern w:val="0"/>
          <w:sz w:val="24"/>
          <w:highlight w:val="none"/>
        </w:rPr>
      </w:pPr>
    </w:p>
    <w:p w14:paraId="51119F0F">
      <w:pPr>
        <w:widowControl/>
        <w:spacing w:line="320" w:lineRule="exact"/>
        <w:ind w:firstLine="482"/>
        <w:jc w:val="left"/>
        <w:rPr>
          <w:rFonts w:hint="eastAsia" w:ascii="宋体" w:hAnsi="宋体" w:eastAsia="宋体" w:cs="宋体"/>
          <w:bCs/>
          <w:color w:val="auto"/>
          <w:kern w:val="0"/>
          <w:sz w:val="24"/>
          <w:highlight w:val="none"/>
          <w:u w:val="single"/>
        </w:rPr>
      </w:pPr>
      <w:r>
        <w:rPr>
          <w:rFonts w:hint="eastAsia" w:ascii="宋体" w:hAnsi="宋体" w:eastAsia="宋体" w:cs="宋体"/>
          <w:bCs/>
          <w:color w:val="auto"/>
          <w:kern w:val="0"/>
          <w:sz w:val="24"/>
          <w:highlight w:val="none"/>
        </w:rPr>
        <w:t>投标人：</w:t>
      </w:r>
      <w:r>
        <w:rPr>
          <w:rFonts w:hint="eastAsia" w:ascii="宋体" w:hAnsi="宋体" w:eastAsia="宋体" w:cs="宋体"/>
          <w:bCs/>
          <w:color w:val="auto"/>
          <w:kern w:val="0"/>
          <w:sz w:val="24"/>
          <w:highlight w:val="none"/>
          <w:u w:val="single"/>
        </w:rPr>
        <w:t xml:space="preserve">                                                        </w:t>
      </w:r>
    </w:p>
    <w:p w14:paraId="75B7E5BF">
      <w:pPr>
        <w:widowControl/>
        <w:spacing w:line="320" w:lineRule="exact"/>
        <w:ind w:firstLine="482"/>
        <w:jc w:val="left"/>
        <w:rPr>
          <w:rFonts w:hint="eastAsia" w:ascii="宋体" w:hAnsi="宋体" w:eastAsia="宋体" w:cs="宋体"/>
          <w:bCs/>
          <w:color w:val="auto"/>
          <w:kern w:val="0"/>
          <w:sz w:val="24"/>
          <w:highlight w:val="none"/>
        </w:rPr>
      </w:pPr>
    </w:p>
    <w:p w14:paraId="0E3B3F1D">
      <w:pPr>
        <w:widowControl/>
        <w:spacing w:line="320" w:lineRule="exact"/>
        <w:ind w:firstLine="482"/>
        <w:jc w:val="left"/>
        <w:rPr>
          <w:rFonts w:hint="eastAsia" w:ascii="宋体" w:hAnsi="宋体" w:eastAsia="宋体" w:cs="宋体"/>
          <w:bCs/>
          <w:color w:val="auto"/>
          <w:kern w:val="0"/>
          <w:sz w:val="24"/>
          <w:highlight w:val="none"/>
          <w:u w:val="single"/>
        </w:rPr>
      </w:pPr>
      <w:r>
        <w:rPr>
          <w:rFonts w:hint="eastAsia" w:ascii="宋体" w:hAnsi="宋体" w:eastAsia="宋体" w:cs="宋体"/>
          <w:bCs/>
          <w:color w:val="auto"/>
          <w:kern w:val="0"/>
          <w:sz w:val="24"/>
          <w:highlight w:val="none"/>
        </w:rPr>
        <w:t>承诺人</w:t>
      </w:r>
      <w:r>
        <w:rPr>
          <w:rFonts w:hint="eastAsia" w:ascii="宋体" w:hAnsi="宋体" w:eastAsia="宋体" w:cs="宋体"/>
          <w:bCs/>
          <w:color w:val="auto"/>
          <w:sz w:val="24"/>
          <w:szCs w:val="24"/>
          <w:highlight w:val="none"/>
        </w:rPr>
        <w:t>（签字或盖章）</w:t>
      </w:r>
      <w:r>
        <w:rPr>
          <w:rFonts w:hint="eastAsia" w:ascii="宋体" w:hAnsi="宋体" w:eastAsia="宋体" w:cs="宋体"/>
          <w:bCs/>
          <w:color w:val="auto"/>
          <w:kern w:val="0"/>
          <w:sz w:val="24"/>
          <w:highlight w:val="none"/>
        </w:rPr>
        <w:t>：</w:t>
      </w:r>
      <w:r>
        <w:rPr>
          <w:rFonts w:hint="eastAsia" w:ascii="宋体" w:hAnsi="宋体" w:eastAsia="宋体" w:cs="宋体"/>
          <w:bCs/>
          <w:color w:val="auto"/>
          <w:kern w:val="0"/>
          <w:sz w:val="24"/>
          <w:highlight w:val="none"/>
          <w:u w:val="single"/>
        </w:rPr>
        <w:t xml:space="preserve">                 </w:t>
      </w:r>
    </w:p>
    <w:p w14:paraId="7CA2029F">
      <w:pPr>
        <w:widowControl/>
        <w:spacing w:line="320" w:lineRule="exact"/>
        <w:ind w:firstLine="482"/>
        <w:jc w:val="left"/>
        <w:rPr>
          <w:rFonts w:hint="eastAsia" w:ascii="宋体" w:hAnsi="宋体" w:eastAsia="宋体" w:cs="宋体"/>
          <w:bCs/>
          <w:color w:val="auto"/>
          <w:kern w:val="0"/>
          <w:sz w:val="24"/>
          <w:highlight w:val="none"/>
          <w:u w:val="single"/>
        </w:rPr>
      </w:pPr>
    </w:p>
    <w:p w14:paraId="1BB99896">
      <w:pPr>
        <w:ind w:firstLine="480" w:firstLineChars="200"/>
        <w:rPr>
          <w:rFonts w:hint="eastAsia" w:ascii="宋体" w:hAnsi="宋体" w:eastAsia="宋体" w:cs="宋体"/>
          <w:bCs/>
          <w:color w:val="auto"/>
          <w:highlight w:val="none"/>
        </w:rPr>
      </w:pPr>
      <w:r>
        <w:rPr>
          <w:rFonts w:hint="eastAsia" w:ascii="宋体" w:hAnsi="宋体" w:eastAsia="宋体" w:cs="宋体"/>
          <w:bCs/>
          <w:color w:val="auto"/>
          <w:kern w:val="0"/>
          <w:sz w:val="24"/>
          <w:highlight w:val="none"/>
        </w:rPr>
        <w:t>承诺时间：</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年</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月</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日</w:t>
      </w:r>
    </w:p>
    <w:p w14:paraId="1AE48A95">
      <w:pPr>
        <w:spacing w:line="560" w:lineRule="exact"/>
        <w:ind w:right="-2"/>
        <w:jc w:val="center"/>
        <w:rPr>
          <w:rFonts w:hint="eastAsia" w:ascii="宋体" w:hAnsi="宋体" w:eastAsia="宋体" w:cs="宋体"/>
          <w:bCs/>
          <w:color w:val="auto"/>
          <w:sz w:val="32"/>
          <w:szCs w:val="32"/>
          <w:highlight w:val="none"/>
        </w:rPr>
        <w:sectPr>
          <w:pgSz w:w="11906" w:h="16838"/>
          <w:pgMar w:top="1440" w:right="1080" w:bottom="1440" w:left="1080" w:header="1134" w:footer="1134" w:gutter="0"/>
          <w:pgNumType w:fmt="decimal"/>
          <w:cols w:space="720" w:num="1"/>
          <w:docGrid w:type="lines" w:linePitch="313" w:charSpace="0"/>
        </w:sectPr>
      </w:pPr>
    </w:p>
    <w:p w14:paraId="3F9CC56C">
      <w:pPr>
        <w:spacing w:line="560" w:lineRule="exact"/>
        <w:ind w:right="-2"/>
        <w:jc w:val="center"/>
        <w:outlineLvl w:val="0"/>
        <w:rPr>
          <w:rFonts w:hint="eastAsia" w:ascii="宋体" w:hAnsi="宋体" w:eastAsia="宋体" w:cs="宋体"/>
          <w:bCs/>
          <w:color w:val="auto"/>
          <w:kern w:val="0"/>
          <w:szCs w:val="16"/>
          <w:highlight w:val="none"/>
        </w:rPr>
      </w:pPr>
      <w:bookmarkStart w:id="686" w:name="_Toc20896"/>
      <w:bookmarkStart w:id="687" w:name="_Toc20575"/>
      <w:bookmarkStart w:id="688" w:name="_Toc12125"/>
      <w:bookmarkStart w:id="689" w:name="_Toc22155"/>
      <w:r>
        <w:rPr>
          <w:rFonts w:hint="eastAsia" w:ascii="宋体" w:hAnsi="宋体" w:eastAsia="宋体" w:cs="宋体"/>
          <w:bCs/>
          <w:color w:val="auto"/>
          <w:sz w:val="32"/>
          <w:szCs w:val="32"/>
          <w:highlight w:val="none"/>
        </w:rPr>
        <w:t>附件3 投标信用承诺书</w:t>
      </w:r>
      <w:bookmarkEnd w:id="686"/>
      <w:bookmarkEnd w:id="687"/>
      <w:bookmarkEnd w:id="688"/>
      <w:bookmarkEnd w:id="689"/>
    </w:p>
    <w:p w14:paraId="0985329E">
      <w:pPr>
        <w:widowControl/>
        <w:spacing w:line="540" w:lineRule="exact"/>
        <w:jc w:val="left"/>
        <w:rPr>
          <w:rFonts w:hint="eastAsia" w:ascii="宋体" w:hAnsi="宋体" w:eastAsia="宋体" w:cs="宋体"/>
          <w:bCs/>
          <w:color w:val="auto"/>
          <w:kern w:val="0"/>
          <w:sz w:val="24"/>
          <w:highlight w:val="none"/>
          <w:u w:val="single"/>
        </w:rPr>
      </w:pPr>
      <w:r>
        <w:rPr>
          <w:rFonts w:hint="eastAsia" w:ascii="宋体" w:hAnsi="宋体" w:eastAsia="宋体" w:cs="宋体"/>
          <w:bCs/>
          <w:color w:val="auto"/>
          <w:kern w:val="0"/>
          <w:sz w:val="24"/>
          <w:highlight w:val="none"/>
        </w:rPr>
        <w:t>项目标段：</w:t>
      </w:r>
      <w:r>
        <w:rPr>
          <w:rFonts w:hint="eastAsia" w:ascii="宋体" w:hAnsi="宋体" w:eastAsia="宋体" w:cs="宋体"/>
          <w:bCs/>
          <w:color w:val="auto"/>
          <w:kern w:val="0"/>
          <w:sz w:val="24"/>
          <w:highlight w:val="none"/>
          <w:u w:val="single"/>
        </w:rPr>
        <w:t xml:space="preserve">                                                                  </w:t>
      </w:r>
    </w:p>
    <w:p w14:paraId="39FAD033">
      <w:pPr>
        <w:widowControl/>
        <w:spacing w:line="540" w:lineRule="exact"/>
        <w:jc w:val="left"/>
        <w:rPr>
          <w:rFonts w:hint="eastAsia" w:ascii="宋体" w:hAnsi="宋体" w:eastAsia="宋体" w:cs="宋体"/>
          <w:bCs/>
          <w:color w:val="auto"/>
          <w:kern w:val="0"/>
          <w:sz w:val="24"/>
          <w:highlight w:val="none"/>
          <w:u w:val="single"/>
        </w:rPr>
      </w:pPr>
      <w:r>
        <w:rPr>
          <w:rFonts w:hint="eastAsia" w:ascii="宋体" w:hAnsi="宋体" w:eastAsia="宋体" w:cs="宋体"/>
          <w:bCs/>
          <w:color w:val="auto"/>
          <w:kern w:val="0"/>
          <w:sz w:val="24"/>
          <w:highlight w:val="none"/>
        </w:rPr>
        <w:t>投标人：</w:t>
      </w:r>
      <w:r>
        <w:rPr>
          <w:rFonts w:hint="eastAsia" w:ascii="宋体" w:hAnsi="宋体" w:eastAsia="宋体" w:cs="宋体"/>
          <w:bCs/>
          <w:color w:val="auto"/>
          <w:kern w:val="0"/>
          <w:sz w:val="24"/>
          <w:highlight w:val="none"/>
          <w:u w:val="single"/>
        </w:rPr>
        <w:t xml:space="preserve">                                                                    </w:t>
      </w:r>
    </w:p>
    <w:p w14:paraId="29497F74">
      <w:pPr>
        <w:widowControl/>
        <w:spacing w:line="540" w:lineRule="exact"/>
        <w:jc w:val="left"/>
        <w:rPr>
          <w:rFonts w:hint="eastAsia" w:ascii="宋体" w:hAnsi="宋体" w:eastAsia="宋体" w:cs="宋体"/>
          <w:bCs/>
          <w:color w:val="auto"/>
          <w:kern w:val="0"/>
          <w:sz w:val="24"/>
          <w:highlight w:val="none"/>
          <w:u w:val="single"/>
        </w:rPr>
      </w:pPr>
      <w:r>
        <w:rPr>
          <w:rFonts w:hint="eastAsia" w:ascii="宋体" w:hAnsi="宋体" w:eastAsia="宋体" w:cs="宋体"/>
          <w:bCs/>
          <w:color w:val="auto"/>
          <w:kern w:val="0"/>
          <w:sz w:val="24"/>
          <w:highlight w:val="none"/>
        </w:rPr>
        <w:t>统一社会信用代码：</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法人代表：</w:t>
      </w:r>
      <w:r>
        <w:rPr>
          <w:rFonts w:hint="eastAsia" w:ascii="宋体" w:hAnsi="宋体" w:eastAsia="宋体" w:cs="宋体"/>
          <w:bCs/>
          <w:color w:val="auto"/>
          <w:kern w:val="0"/>
          <w:sz w:val="24"/>
          <w:highlight w:val="none"/>
          <w:u w:val="single"/>
        </w:rPr>
        <w:t xml:space="preserve">                 </w:t>
      </w:r>
    </w:p>
    <w:p w14:paraId="4026A4E4">
      <w:pPr>
        <w:widowControl/>
        <w:adjustRightInd w:val="0"/>
        <w:snapToGrid w:val="0"/>
        <w:spacing w:line="540" w:lineRule="exact"/>
        <w:ind w:firstLine="480" w:firstLineChars="20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在本项目标段招投标活动中，我公司（单位）自愿作出以下投标信用承诺：</w:t>
      </w:r>
    </w:p>
    <w:p w14:paraId="02AF8619">
      <w:pPr>
        <w:widowControl/>
        <w:adjustRightInd w:val="0"/>
        <w:snapToGrid w:val="0"/>
        <w:spacing w:line="540" w:lineRule="exact"/>
        <w:ind w:firstLine="480" w:firstLineChars="200"/>
        <w:jc w:val="left"/>
        <w:rPr>
          <w:rFonts w:hint="eastAsia" w:ascii="宋体" w:hAnsi="宋体" w:eastAsia="宋体" w:cs="宋体"/>
          <w:bCs/>
          <w:color w:val="auto"/>
          <w:kern w:val="0"/>
          <w:sz w:val="24"/>
          <w:highlight w:val="none"/>
        </w:rPr>
      </w:pPr>
      <w:bookmarkStart w:id="690" w:name="_Toc14815"/>
      <w:r>
        <w:rPr>
          <w:rFonts w:hint="eastAsia" w:ascii="宋体" w:hAnsi="宋体" w:eastAsia="宋体" w:cs="宋体"/>
          <w:bCs/>
          <w:color w:val="auto"/>
          <w:kern w:val="0"/>
          <w:sz w:val="24"/>
          <w:highlight w:val="none"/>
        </w:rPr>
        <w:t>（一）能严格遵守法律法规、职业道德和行业规范。</w:t>
      </w:r>
      <w:bookmarkEnd w:id="690"/>
    </w:p>
    <w:p w14:paraId="4C186B60">
      <w:pPr>
        <w:widowControl/>
        <w:adjustRightInd w:val="0"/>
        <w:snapToGrid w:val="0"/>
        <w:spacing w:line="540" w:lineRule="exact"/>
        <w:ind w:firstLine="480" w:firstLineChars="20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竞争性谈判文件和投标文件与招标人签订合同；在签订合同时向招标人提出附加条件、或者改变投标文件的实质性内容；放弃中标；不按照竞争性谈判文件的规定提交履约保证金。5.招投标法规定的其它违法违规行为。</w:t>
      </w:r>
    </w:p>
    <w:p w14:paraId="453E06F9">
      <w:pPr>
        <w:widowControl/>
        <w:adjustRightInd w:val="0"/>
        <w:snapToGrid w:val="0"/>
        <w:spacing w:line="540" w:lineRule="exact"/>
        <w:ind w:firstLine="480" w:firstLineChars="20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13138109">
      <w:pPr>
        <w:widowControl/>
        <w:adjustRightInd w:val="0"/>
        <w:snapToGrid w:val="0"/>
        <w:spacing w:line="540" w:lineRule="exact"/>
        <w:ind w:firstLine="480" w:firstLineChars="200"/>
        <w:jc w:val="left"/>
        <w:rPr>
          <w:rFonts w:hint="eastAsia" w:ascii="宋体" w:hAnsi="宋体" w:eastAsia="宋体" w:cs="宋体"/>
          <w:bCs/>
          <w:color w:val="auto"/>
          <w:kern w:val="0"/>
          <w:sz w:val="24"/>
          <w:highlight w:val="none"/>
        </w:rPr>
      </w:pPr>
    </w:p>
    <w:p w14:paraId="70FB3C85">
      <w:pPr>
        <w:widowControl/>
        <w:tabs>
          <w:tab w:val="left" w:pos="4395"/>
        </w:tabs>
        <w:adjustRightInd w:val="0"/>
        <w:snapToGrid w:val="0"/>
        <w:spacing w:line="500" w:lineRule="exact"/>
        <w:ind w:firstLine="480" w:firstLineChars="20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法定代表人（签章）：             投标人（盖章）：</w:t>
      </w:r>
    </w:p>
    <w:p w14:paraId="39202AFD">
      <w:pPr>
        <w:adjustRightInd w:val="0"/>
        <w:snapToGrid w:val="0"/>
        <w:spacing w:line="500" w:lineRule="exact"/>
        <w:rPr>
          <w:rFonts w:hint="eastAsia" w:ascii="宋体" w:hAnsi="宋体" w:eastAsia="宋体" w:cs="宋体"/>
          <w:bCs/>
          <w:color w:val="auto"/>
          <w:kern w:val="0"/>
          <w:sz w:val="24"/>
          <w:highlight w:val="none"/>
        </w:rPr>
      </w:pPr>
    </w:p>
    <w:p w14:paraId="2B8A1C23">
      <w:pPr>
        <w:adjustRightInd w:val="0"/>
        <w:snapToGrid w:val="0"/>
        <w:spacing w:line="500" w:lineRule="exact"/>
        <w:ind w:firstLine="4440" w:firstLineChars="1850"/>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承诺时间：</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年</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月</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日</w:t>
      </w:r>
    </w:p>
    <w:p w14:paraId="310F895D">
      <w:pPr>
        <w:pStyle w:val="3"/>
        <w:spacing w:line="240" w:lineRule="auto"/>
        <w:jc w:val="center"/>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  </w:t>
      </w:r>
      <w:bookmarkStart w:id="691" w:name="_Toc7940"/>
      <w:bookmarkStart w:id="692" w:name="_Toc13669"/>
      <w:bookmarkStart w:id="693" w:name="_Toc10003"/>
      <w:bookmarkStart w:id="694" w:name="_Toc23551"/>
      <w:r>
        <w:rPr>
          <w:rFonts w:hint="eastAsia" w:ascii="宋体" w:hAnsi="宋体" w:eastAsia="宋体" w:cs="宋体"/>
          <w:b w:val="0"/>
          <w:bCs/>
          <w:color w:val="auto"/>
          <w:sz w:val="24"/>
          <w:highlight w:val="none"/>
        </w:rPr>
        <w:t>说明：本承诺书效力和作用等同投标保证金，其有效期与投标有效期一致</w:t>
      </w:r>
      <w:r>
        <w:rPr>
          <w:rFonts w:hint="eastAsia" w:ascii="宋体" w:hAnsi="宋体" w:eastAsia="宋体" w:cs="宋体"/>
          <w:b w:val="0"/>
          <w:bCs/>
          <w:color w:val="auto"/>
          <w:sz w:val="24"/>
          <w:highlight w:val="none"/>
          <w:lang w:eastAsia="zh-CN"/>
        </w:rPr>
        <w:t>。</w:t>
      </w:r>
      <w:bookmarkEnd w:id="691"/>
      <w:bookmarkEnd w:id="692"/>
      <w:bookmarkEnd w:id="693"/>
      <w:bookmarkEnd w:id="694"/>
    </w:p>
    <w:p w14:paraId="54FDE3FF">
      <w:pPr>
        <w:pStyle w:val="3"/>
        <w:spacing w:line="240" w:lineRule="auto"/>
        <w:rPr>
          <w:rFonts w:hint="eastAsia" w:ascii="宋体" w:hAnsi="宋体" w:eastAsia="宋体" w:cs="宋体"/>
          <w:b w:val="0"/>
          <w:bCs/>
          <w:color w:val="auto"/>
          <w:highlight w:val="none"/>
        </w:rPr>
        <w:sectPr>
          <w:pgSz w:w="11906" w:h="16838"/>
          <w:pgMar w:top="1440" w:right="1080" w:bottom="1440" w:left="1080" w:header="1134" w:footer="1134" w:gutter="0"/>
          <w:pgNumType w:fmt="decimal"/>
          <w:cols w:space="720" w:num="1"/>
          <w:docGrid w:type="lines" w:linePitch="313" w:charSpace="0"/>
        </w:sectPr>
      </w:pPr>
      <w:r>
        <w:rPr>
          <w:rFonts w:hint="eastAsia" w:ascii="宋体" w:hAnsi="宋体" w:eastAsia="宋体" w:cs="宋体"/>
          <w:b w:val="0"/>
          <w:bCs/>
          <w:color w:val="auto"/>
          <w:sz w:val="24"/>
          <w:highlight w:val="none"/>
        </w:rPr>
        <w:t xml:space="preserve">    </w:t>
      </w:r>
    </w:p>
    <w:p w14:paraId="46CC3F7B">
      <w:pPr>
        <w:pStyle w:val="21"/>
        <w:shd w:val="clear" w:color="060000" w:fill="FFFFFF"/>
        <w:adjustRightInd w:val="0"/>
        <w:snapToGrid w:val="0"/>
        <w:spacing w:before="0" w:beforeAutospacing="0" w:after="150" w:afterAutospacing="0" w:line="360" w:lineRule="auto"/>
        <w:ind w:firstLine="480"/>
        <w:jc w:val="center"/>
        <w:outlineLvl w:val="0"/>
        <w:rPr>
          <w:rFonts w:hint="eastAsia" w:ascii="宋体" w:hAnsi="宋体" w:eastAsia="宋体" w:cs="宋体"/>
          <w:bCs/>
          <w:color w:val="auto"/>
          <w:kern w:val="2"/>
          <w:sz w:val="36"/>
          <w:szCs w:val="36"/>
          <w:highlight w:val="none"/>
        </w:rPr>
      </w:pPr>
      <w:bookmarkStart w:id="695" w:name="_Toc3388"/>
      <w:bookmarkStart w:id="696" w:name="_Toc19266"/>
      <w:bookmarkStart w:id="697" w:name="_Toc21624"/>
      <w:bookmarkStart w:id="698" w:name="_Toc23751"/>
      <w:bookmarkStart w:id="699" w:name="_Toc4617"/>
      <w:r>
        <w:rPr>
          <w:rFonts w:hint="eastAsia" w:ascii="宋体" w:hAnsi="宋体" w:eastAsia="宋体" w:cs="宋体"/>
          <w:bCs/>
          <w:color w:val="auto"/>
          <w:sz w:val="32"/>
          <w:szCs w:val="32"/>
          <w:highlight w:val="none"/>
        </w:rPr>
        <w:t xml:space="preserve">附件4 </w:t>
      </w:r>
      <w:r>
        <w:rPr>
          <w:rFonts w:hint="eastAsia" w:ascii="宋体" w:hAnsi="宋体" w:eastAsia="宋体" w:cs="宋体"/>
          <w:bCs/>
          <w:color w:val="auto"/>
          <w:kern w:val="2"/>
          <w:sz w:val="36"/>
          <w:szCs w:val="36"/>
          <w:highlight w:val="none"/>
        </w:rPr>
        <w:t>榆林市政府采购</w:t>
      </w:r>
      <w:r>
        <w:rPr>
          <w:rFonts w:hint="eastAsia" w:ascii="宋体" w:hAnsi="宋体" w:eastAsia="宋体" w:cs="宋体"/>
          <w:bCs/>
          <w:color w:val="auto"/>
          <w:kern w:val="2"/>
          <w:sz w:val="36"/>
          <w:szCs w:val="36"/>
          <w:highlight w:val="none"/>
          <w:lang w:val="en-US" w:eastAsia="zh-CN"/>
        </w:rPr>
        <w:t>服务</w:t>
      </w:r>
      <w:r>
        <w:rPr>
          <w:rFonts w:hint="eastAsia" w:ascii="宋体" w:hAnsi="宋体" w:eastAsia="宋体" w:cs="宋体"/>
          <w:bCs/>
          <w:color w:val="auto"/>
          <w:kern w:val="2"/>
          <w:sz w:val="36"/>
          <w:szCs w:val="36"/>
          <w:highlight w:val="none"/>
        </w:rPr>
        <w:t>类项目供应商信用承诺书</w:t>
      </w:r>
      <w:bookmarkEnd w:id="695"/>
      <w:bookmarkEnd w:id="696"/>
      <w:bookmarkEnd w:id="697"/>
      <w:bookmarkEnd w:id="698"/>
      <w:bookmarkEnd w:id="699"/>
    </w:p>
    <w:p w14:paraId="707C6D7B">
      <w:pPr>
        <w:pStyle w:val="21"/>
        <w:shd w:val="clear" w:color="auto" w:fill="FFFFFF"/>
        <w:adjustRightInd w:val="0"/>
        <w:snapToGrid w:val="0"/>
        <w:spacing w:before="0" w:beforeAutospacing="0" w:after="150" w:afterAutospacing="0" w:line="560" w:lineRule="exact"/>
        <w:ind w:firstLine="48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市场主体名称：</w:t>
      </w:r>
    </w:p>
    <w:p w14:paraId="2BFC9FD9">
      <w:pPr>
        <w:pStyle w:val="21"/>
        <w:shd w:val="clear" w:color="auto" w:fill="FFFFFF"/>
        <w:adjustRightInd w:val="0"/>
        <w:snapToGrid w:val="0"/>
        <w:spacing w:before="0" w:beforeAutospacing="0" w:after="150" w:afterAutospacing="0" w:line="560" w:lineRule="exact"/>
        <w:ind w:firstLine="48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证件类型：统一社会信用代码</w:t>
      </w:r>
    </w:p>
    <w:p w14:paraId="12778374">
      <w:pPr>
        <w:pStyle w:val="21"/>
        <w:shd w:val="clear" w:color="auto" w:fill="FFFFFF"/>
        <w:adjustRightInd w:val="0"/>
        <w:snapToGrid w:val="0"/>
        <w:spacing w:before="0" w:beforeAutospacing="0" w:after="150" w:afterAutospacing="0" w:line="560" w:lineRule="exact"/>
        <w:ind w:firstLine="480"/>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证件号码：</w:t>
      </w:r>
    </w:p>
    <w:p w14:paraId="163D25D3">
      <w:pPr>
        <w:pStyle w:val="21"/>
        <w:shd w:val="clear" w:color="auto" w:fill="FFFFFF"/>
        <w:adjustRightInd w:val="0"/>
        <w:snapToGrid w:val="0"/>
        <w:spacing w:before="0" w:beforeAutospacing="0" w:after="150" w:afterAutospacing="0" w:line="560" w:lineRule="exact"/>
        <w:ind w:firstLine="480"/>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法人代表：</w:t>
      </w:r>
    </w:p>
    <w:p w14:paraId="11F90ECC">
      <w:pPr>
        <w:pStyle w:val="21"/>
        <w:shd w:val="clear" w:color="auto" w:fill="FFFFFF"/>
        <w:adjustRightInd w:val="0"/>
        <w:snapToGrid w:val="0"/>
        <w:spacing w:before="0" w:beforeAutospacing="0" w:after="150" w:afterAutospacing="0" w:line="560" w:lineRule="exact"/>
        <w:ind w:firstLine="480"/>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承诺有效期限：   年    月    日—    年    月     日（承诺期限为1年）</w:t>
      </w:r>
    </w:p>
    <w:p w14:paraId="6D79E21F">
      <w:pPr>
        <w:pStyle w:val="21"/>
        <w:shd w:val="clear" w:color="auto" w:fill="FFFFFF"/>
        <w:adjustRightInd w:val="0"/>
        <w:snapToGrid w:val="0"/>
        <w:spacing w:before="0" w:beforeAutospacing="0" w:after="150" w:afterAutospacing="0" w:line="560" w:lineRule="exact"/>
        <w:ind w:firstLine="48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承诺内容：</w:t>
      </w:r>
    </w:p>
    <w:p w14:paraId="251CE5FD">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为维护公开、公平、公正的政府采购市场秩序，树立诚实守信的政府采购供应商形象，本单位自愿做出以下承诺：</w:t>
      </w:r>
    </w:p>
    <w:p w14:paraId="617C794B">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一、承诺本单位严格遵守国家法律、法规和规章，全面履行应尽的责任和义务，全面做到履约守信，具备《政府采购法》第二十二条第一款规定的条件；</w:t>
      </w:r>
    </w:p>
    <w:p w14:paraId="034F7C9F">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二、承诺本单位提供给注册登记部门、行业管理部门、司法部门、行业组织以及在政府采购活动中提交的所有资料均合法、真实、有效，无任何伪造、修改、虚假成份，并对所提供资料的真实性负责；</w:t>
      </w:r>
    </w:p>
    <w:p w14:paraId="00FDAE16">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三、承诺本单位严格依法开展生产经营活动，主动接受行业监管，自愿接受依法开展的日常检查；违法失信经营后将自愿接受约束和惩戒，并依法承担相应责任；</w:t>
      </w:r>
    </w:p>
    <w:p w14:paraId="62EFC0B9">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四、承诺本单位自觉接受行政管理部门、行业组织、社会公众、新闻舆论的监督；</w:t>
      </w:r>
    </w:p>
    <w:p w14:paraId="1131ABAB">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五、承诺本单位自我约束、自我管理，重合同、守信用，不制假售假、商标侵权、虚假宣传、违约毁约、恶意逃债、偷税漏税、价格欺诈、垄断和不正当竞争，维护经营者、消费者的合法权益；</w:t>
      </w:r>
    </w:p>
    <w:p w14:paraId="23AF95CB">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六、承诺本单位提出政府采购质疑和投诉坚持依法依规、诚实信用原则，在全国范围12个月内没有三次以上查无实据的政府采购投诉；</w:t>
      </w:r>
    </w:p>
    <w:p w14:paraId="6482DEDB">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七、根据政府采购相关法律法规的规定需要作出的其他承诺：</w:t>
      </w:r>
      <w:r>
        <w:rPr>
          <w:rFonts w:hint="eastAsia" w:ascii="宋体" w:hAnsi="宋体" w:eastAsia="宋体" w:cs="宋体"/>
          <w:bCs/>
          <w:color w:val="auto"/>
          <w:szCs w:val="24"/>
          <w:highlight w:val="none"/>
          <w:u w:val="single"/>
          <w:shd w:val="clear" w:color="auto" w:fill="FFFFFF"/>
        </w:rPr>
        <w:t>                                                              </w:t>
      </w:r>
    </w:p>
    <w:p w14:paraId="3E3D02E7">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31F33DC3">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         </w:t>
      </w:r>
    </w:p>
    <w:p w14:paraId="28601088">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 xml:space="preserve">              承诺单位（盖章）：</w:t>
      </w:r>
    </w:p>
    <w:p w14:paraId="5AF541DC">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       法定代表人（负责人）：</w:t>
      </w:r>
    </w:p>
    <w:p w14:paraId="70943C9B">
      <w:pPr>
        <w:pStyle w:val="21"/>
        <w:shd w:val="clear" w:color="auto" w:fill="FFFFFF"/>
        <w:adjustRightInd w:val="0"/>
        <w:snapToGrid w:val="0"/>
        <w:spacing w:before="0" w:beforeAutospacing="0" w:after="150" w:afterAutospacing="0" w:line="560" w:lineRule="exact"/>
        <w:ind w:firstLine="2160" w:firstLineChars="900"/>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法定代表人（负责人）身份证号：</w:t>
      </w:r>
    </w:p>
    <w:p w14:paraId="34BCBA98">
      <w:pPr>
        <w:pStyle w:val="21"/>
        <w:shd w:val="clear" w:color="auto" w:fill="FFFFFF"/>
        <w:adjustRightInd w:val="0"/>
        <w:snapToGrid w:val="0"/>
        <w:spacing w:before="0" w:beforeAutospacing="0" w:after="150" w:afterAutospacing="0" w:line="560" w:lineRule="exact"/>
        <w:ind w:firstLine="64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shd w:val="clear" w:color="auto" w:fill="FFFFFF"/>
        </w:rPr>
        <w:t>         承诺日期：</w:t>
      </w:r>
    </w:p>
    <w:p w14:paraId="238D0BAC">
      <w:pPr>
        <w:pStyle w:val="21"/>
        <w:shd w:val="clear" w:color="auto" w:fill="FFFFFF"/>
        <w:adjustRightInd w:val="0"/>
        <w:snapToGrid w:val="0"/>
        <w:spacing w:before="0" w:beforeAutospacing="0" w:after="150" w:afterAutospacing="0" w:line="360" w:lineRule="auto"/>
        <w:ind w:firstLine="480" w:firstLineChars="200"/>
        <w:jc w:val="both"/>
        <w:rPr>
          <w:rFonts w:hint="eastAsia" w:ascii="宋体" w:hAnsi="宋体" w:eastAsia="宋体" w:cs="宋体"/>
          <w:bCs/>
          <w:color w:val="auto"/>
          <w:szCs w:val="24"/>
          <w:highlight w:val="none"/>
          <w:shd w:val="clear" w:color="auto" w:fill="FFFFFF"/>
        </w:rPr>
      </w:pPr>
      <w:r>
        <w:rPr>
          <w:rFonts w:hint="eastAsia" w:ascii="宋体" w:hAnsi="宋体" w:eastAsia="宋体" w:cs="宋体"/>
          <w:bCs/>
          <w:color w:val="auto"/>
          <w:szCs w:val="24"/>
          <w:highlight w:val="none"/>
          <w:shd w:val="clear" w:color="auto" w:fill="FFFFFF"/>
        </w:rPr>
        <w:t>注：法定代表人或负责人、主体名称发生变更的应当重新做出承诺；承诺书标题按照工程类、货物类、服务类确定。</w:t>
      </w:r>
    </w:p>
    <w:p w14:paraId="4EF55575">
      <w:pPr>
        <w:pStyle w:val="8"/>
        <w:adjustRightInd w:val="0"/>
        <w:snapToGrid w:val="0"/>
        <w:spacing w:line="500" w:lineRule="exact"/>
        <w:rPr>
          <w:rFonts w:hint="eastAsia" w:ascii="宋体" w:hAnsi="宋体" w:eastAsia="宋体" w:cs="宋体"/>
          <w:bCs/>
          <w:color w:val="auto"/>
          <w:kern w:val="0"/>
          <w:sz w:val="24"/>
          <w:szCs w:val="24"/>
          <w:highlight w:val="none"/>
          <w:shd w:val="clear" w:color="070000" w:fill="FFFFFF"/>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kern w:val="0"/>
          <w:sz w:val="24"/>
          <w:szCs w:val="24"/>
          <w:highlight w:val="none"/>
          <w:shd w:val="clear" w:color="070000" w:fill="FFFFFF"/>
        </w:rPr>
        <w:t xml:space="preserve"> </w:t>
      </w:r>
    </w:p>
    <w:p w14:paraId="1372555F">
      <w:pPr>
        <w:spacing w:line="560" w:lineRule="exact"/>
        <w:ind w:right="-2"/>
        <w:jc w:val="center"/>
        <w:rPr>
          <w:rFonts w:hint="eastAsia" w:ascii="宋体" w:hAnsi="宋体" w:eastAsia="宋体" w:cs="宋体"/>
          <w:bCs/>
          <w:color w:val="auto"/>
          <w:sz w:val="40"/>
          <w:szCs w:val="40"/>
          <w:highlight w:val="none"/>
        </w:rPr>
        <w:sectPr>
          <w:pgSz w:w="11906" w:h="16838"/>
          <w:pgMar w:top="1440" w:right="1080" w:bottom="1440" w:left="1080" w:header="1134" w:footer="1134" w:gutter="0"/>
          <w:pgNumType w:fmt="decimal"/>
          <w:cols w:space="720" w:num="1"/>
          <w:docGrid w:linePitch="312" w:charSpace="0"/>
        </w:sectPr>
      </w:pPr>
    </w:p>
    <w:bookmarkEnd w:id="704"/>
    <w:p w14:paraId="12F0DA58">
      <w:pPr>
        <w:adjustRightInd w:val="0"/>
        <w:snapToGrid w:val="0"/>
        <w:spacing w:line="500" w:lineRule="exact"/>
        <w:jc w:val="center"/>
        <w:outlineLvl w:val="0"/>
        <w:rPr>
          <w:rFonts w:hint="eastAsia" w:ascii="宋体" w:hAnsi="宋体" w:eastAsia="宋体" w:cs="宋体"/>
          <w:bCs/>
          <w:color w:val="auto"/>
          <w:sz w:val="28"/>
          <w:szCs w:val="24"/>
          <w:highlight w:val="none"/>
        </w:rPr>
      </w:pPr>
      <w:bookmarkStart w:id="700" w:name="_Toc8320"/>
      <w:bookmarkStart w:id="701" w:name="_Toc822"/>
      <w:bookmarkStart w:id="702" w:name="_Toc15652"/>
      <w:bookmarkStart w:id="703" w:name="_Toc13117"/>
      <w:r>
        <w:rPr>
          <w:rFonts w:hint="eastAsia" w:ascii="宋体" w:hAnsi="宋体" w:eastAsia="宋体" w:cs="宋体"/>
          <w:bCs/>
          <w:color w:val="auto"/>
          <w:sz w:val="28"/>
          <w:szCs w:val="24"/>
          <w:highlight w:val="none"/>
        </w:rPr>
        <w:t>附件5 关于信用承诺网上公示的通知及操作指南</w:t>
      </w:r>
      <w:bookmarkEnd w:id="700"/>
      <w:bookmarkEnd w:id="701"/>
      <w:bookmarkEnd w:id="702"/>
      <w:bookmarkEnd w:id="703"/>
    </w:p>
    <w:bookmarkEnd w:id="568"/>
    <w:bookmarkEnd w:id="569"/>
    <w:bookmarkEnd w:id="570"/>
    <w:bookmarkEnd w:id="571"/>
    <w:bookmarkEnd w:id="572"/>
    <w:bookmarkEnd w:id="573"/>
    <w:bookmarkEnd w:id="574"/>
    <w:p w14:paraId="16B04DF7">
      <w:pPr>
        <w:rPr>
          <w:rFonts w:hint="eastAsia" w:ascii="宋体" w:hAnsi="宋体" w:eastAsia="宋体" w:cs="宋体"/>
          <w:bCs/>
          <w:color w:val="auto"/>
          <w:highlight w:val="none"/>
        </w:rPr>
      </w:pPr>
      <w:r>
        <w:rPr>
          <w:rFonts w:hint="eastAsia" w:ascii="宋体" w:hAnsi="宋体" w:eastAsia="宋体" w:cs="宋体"/>
          <w:bCs/>
          <w:color w:val="auto"/>
          <w:highlight w:val="none"/>
        </w:rPr>
        <w:drawing>
          <wp:inline distT="0" distB="0" distL="114300" distR="114300">
            <wp:extent cx="5817870" cy="8105140"/>
            <wp:effectExtent l="0" t="0" r="1905" b="635"/>
            <wp:docPr id="1"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2"/>
                    <pic:cNvPicPr>
                      <a:picLocks noChangeAspect="1"/>
                    </pic:cNvPicPr>
                  </pic:nvPicPr>
                  <pic:blipFill>
                    <a:blip r:embed="rId19"/>
                    <a:stretch>
                      <a:fillRect/>
                    </a:stretch>
                  </pic:blipFill>
                  <pic:spPr>
                    <a:xfrm>
                      <a:off x="0" y="0"/>
                      <a:ext cx="5817870" cy="8105140"/>
                    </a:xfrm>
                    <a:prstGeom prst="rect">
                      <a:avLst/>
                    </a:prstGeom>
                    <a:noFill/>
                    <a:ln>
                      <a:noFill/>
                    </a:ln>
                  </pic:spPr>
                </pic:pic>
              </a:graphicData>
            </a:graphic>
          </wp:inline>
        </w:drawing>
      </w:r>
      <w:r>
        <w:rPr>
          <w:rFonts w:hint="eastAsia" w:ascii="宋体" w:hAnsi="宋体" w:eastAsia="宋体" w:cs="宋体"/>
          <w:bCs/>
          <w:color w:val="auto"/>
          <w:highlight w:val="none"/>
        </w:rPr>
        <w:drawing>
          <wp:inline distT="0" distB="0" distL="114300" distR="114300">
            <wp:extent cx="5790565" cy="7753350"/>
            <wp:effectExtent l="0" t="0" r="635" b="0"/>
            <wp:docPr id="2"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3"/>
                    <pic:cNvPicPr>
                      <a:picLocks noChangeAspect="1"/>
                    </pic:cNvPicPr>
                  </pic:nvPicPr>
                  <pic:blipFill>
                    <a:blip r:embed="rId20"/>
                    <a:stretch>
                      <a:fillRect/>
                    </a:stretch>
                  </pic:blipFill>
                  <pic:spPr>
                    <a:xfrm>
                      <a:off x="0" y="0"/>
                      <a:ext cx="5790565" cy="7753350"/>
                    </a:xfrm>
                    <a:prstGeom prst="rect">
                      <a:avLst/>
                    </a:prstGeom>
                    <a:noFill/>
                    <a:ln>
                      <a:noFill/>
                    </a:ln>
                  </pic:spPr>
                </pic:pic>
              </a:graphicData>
            </a:graphic>
          </wp:inline>
        </w:drawing>
      </w:r>
    </w:p>
    <w:p w14:paraId="7868E548">
      <w:pPr>
        <w:rPr>
          <w:rFonts w:hint="eastAsia" w:ascii="宋体" w:hAnsi="宋体" w:eastAsia="宋体" w:cs="宋体"/>
          <w:bCs/>
          <w:color w:val="auto"/>
          <w:highlight w:val="none"/>
        </w:rPr>
      </w:pPr>
    </w:p>
    <w:p w14:paraId="24F9C589">
      <w:pPr>
        <w:rPr>
          <w:rFonts w:hint="eastAsia" w:ascii="宋体" w:hAnsi="宋体" w:eastAsia="宋体" w:cs="宋体"/>
          <w:bCs/>
          <w:color w:val="auto"/>
          <w:highlight w:val="none"/>
        </w:rPr>
      </w:pPr>
    </w:p>
    <w:p w14:paraId="17D1AF19">
      <w:pPr>
        <w:rPr>
          <w:rFonts w:hint="eastAsia" w:ascii="宋体" w:hAnsi="宋体" w:eastAsia="宋体" w:cs="宋体"/>
          <w:bCs/>
          <w:color w:val="auto"/>
          <w:highlight w:val="none"/>
        </w:rPr>
      </w:pPr>
    </w:p>
    <w:p w14:paraId="1392983A">
      <w:pPr>
        <w:spacing w:line="4638" w:lineRule="exact"/>
        <w:ind w:firstLine="110"/>
        <w:rPr>
          <w:rFonts w:hint="eastAsia" w:ascii="宋体" w:hAnsi="宋体" w:eastAsia="宋体" w:cs="宋体"/>
          <w:color w:val="auto"/>
        </w:rPr>
      </w:pPr>
      <w:r>
        <w:rPr>
          <w:rFonts w:hint="eastAsia" w:ascii="宋体" w:hAnsi="宋体" w:eastAsia="宋体" w:cs="宋体"/>
          <w:color w:val="auto"/>
          <w:position w:val="-92"/>
        </w:rPr>
        <w:drawing>
          <wp:inline distT="0" distB="0" distL="0" distR="0">
            <wp:extent cx="6013450" cy="2944495"/>
            <wp:effectExtent l="0" t="0" r="6350" b="8255"/>
            <wp:docPr id="7" name="IM 12"/>
            <wp:cNvGraphicFramePr/>
            <a:graphic xmlns:a="http://schemas.openxmlformats.org/drawingml/2006/main">
              <a:graphicData uri="http://schemas.openxmlformats.org/drawingml/2006/picture">
                <pic:pic xmlns:pic="http://schemas.openxmlformats.org/drawingml/2006/picture">
                  <pic:nvPicPr>
                    <pic:cNvPr id="7" name="IM 12"/>
                    <pic:cNvPicPr/>
                  </pic:nvPicPr>
                  <pic:blipFill>
                    <a:blip r:embed="rId21"/>
                    <a:stretch>
                      <a:fillRect/>
                    </a:stretch>
                  </pic:blipFill>
                  <pic:spPr>
                    <a:xfrm>
                      <a:off x="0" y="0"/>
                      <a:ext cx="6013704" cy="2944876"/>
                    </a:xfrm>
                    <a:prstGeom prst="rect">
                      <a:avLst/>
                    </a:prstGeom>
                  </pic:spPr>
                </pic:pic>
              </a:graphicData>
            </a:graphic>
          </wp:inline>
        </w:drawing>
      </w:r>
    </w:p>
    <w:p w14:paraId="51678E46">
      <w:pPr>
        <w:pStyle w:val="8"/>
        <w:spacing w:line="319" w:lineRule="auto"/>
        <w:rPr>
          <w:rFonts w:hint="eastAsia" w:ascii="宋体" w:hAnsi="宋体" w:eastAsia="宋体" w:cs="宋体"/>
          <w:color w:val="auto"/>
        </w:rPr>
      </w:pPr>
    </w:p>
    <w:p w14:paraId="50CFE918">
      <w:pPr>
        <w:pStyle w:val="8"/>
        <w:spacing w:line="319" w:lineRule="auto"/>
        <w:rPr>
          <w:rFonts w:hint="eastAsia" w:ascii="宋体" w:hAnsi="宋体" w:eastAsia="宋体" w:cs="宋体"/>
          <w:color w:val="auto"/>
        </w:rPr>
      </w:pPr>
    </w:p>
    <w:p w14:paraId="6A052B3D">
      <w:pPr>
        <w:pStyle w:val="8"/>
        <w:spacing w:line="320" w:lineRule="auto"/>
        <w:rPr>
          <w:rFonts w:hint="eastAsia" w:ascii="宋体" w:hAnsi="宋体" w:eastAsia="宋体" w:cs="宋体"/>
          <w:color w:val="auto"/>
        </w:rPr>
      </w:pPr>
    </w:p>
    <w:p w14:paraId="22B957BB">
      <w:pPr>
        <w:spacing w:line="6300" w:lineRule="exact"/>
        <w:ind w:firstLine="110"/>
        <w:rPr>
          <w:rFonts w:hint="eastAsia" w:ascii="宋体" w:hAnsi="宋体" w:eastAsia="宋体" w:cs="宋体"/>
          <w:color w:val="auto"/>
        </w:rPr>
      </w:pPr>
      <w:r>
        <w:rPr>
          <w:rFonts w:hint="eastAsia" w:ascii="宋体" w:hAnsi="宋体" w:eastAsia="宋体" w:cs="宋体"/>
          <w:color w:val="auto"/>
          <w:position w:val="-126"/>
        </w:rPr>
        <w:drawing>
          <wp:inline distT="0" distB="0" distL="0" distR="0">
            <wp:extent cx="6001385" cy="4000500"/>
            <wp:effectExtent l="0" t="0" r="18415" b="0"/>
            <wp:docPr id="26" name="IM 14"/>
            <wp:cNvGraphicFramePr/>
            <a:graphic xmlns:a="http://schemas.openxmlformats.org/drawingml/2006/main">
              <a:graphicData uri="http://schemas.openxmlformats.org/drawingml/2006/picture">
                <pic:pic xmlns:pic="http://schemas.openxmlformats.org/drawingml/2006/picture">
                  <pic:nvPicPr>
                    <pic:cNvPr id="26" name="IM 14"/>
                    <pic:cNvPicPr/>
                  </pic:nvPicPr>
                  <pic:blipFill>
                    <a:blip r:embed="rId22"/>
                    <a:stretch>
                      <a:fillRect/>
                    </a:stretch>
                  </pic:blipFill>
                  <pic:spPr>
                    <a:xfrm>
                      <a:off x="0" y="0"/>
                      <a:ext cx="6001511" cy="4000754"/>
                    </a:xfrm>
                    <a:prstGeom prst="rect">
                      <a:avLst/>
                    </a:prstGeom>
                  </pic:spPr>
                </pic:pic>
              </a:graphicData>
            </a:graphic>
          </wp:inline>
        </w:drawing>
      </w:r>
    </w:p>
    <w:p w14:paraId="2BD88BE2">
      <w:pPr>
        <w:spacing w:line="6300" w:lineRule="exact"/>
        <w:rPr>
          <w:rFonts w:hint="eastAsia" w:ascii="宋体" w:hAnsi="宋体" w:eastAsia="宋体" w:cs="宋体"/>
          <w:color w:val="auto"/>
        </w:rPr>
        <w:sectPr>
          <w:footerReference r:id="rId16" w:type="default"/>
          <w:type w:val="continuous"/>
          <w:pgSz w:w="11906" w:h="16840"/>
          <w:pgMar w:top="1431" w:right="539" w:bottom="953" w:left="1785" w:header="0" w:footer="624" w:gutter="0"/>
          <w:pgNumType w:fmt="decimal"/>
          <w:cols w:space="720" w:num="1"/>
        </w:sectPr>
      </w:pPr>
    </w:p>
    <w:p w14:paraId="6BC7EF43">
      <w:pPr>
        <w:spacing w:before="4" w:line="12590" w:lineRule="exact"/>
        <w:ind w:firstLine="38"/>
        <w:rPr>
          <w:rFonts w:hint="eastAsia" w:ascii="宋体" w:hAnsi="宋体" w:eastAsia="宋体" w:cs="宋体"/>
          <w:color w:val="auto"/>
          <w:position w:val="-251"/>
        </w:rPr>
      </w:pPr>
      <w:r>
        <w:rPr>
          <w:rFonts w:hint="eastAsia" w:ascii="宋体" w:hAnsi="宋体" w:eastAsia="宋体" w:cs="宋体"/>
          <w:color w:val="auto"/>
          <w:position w:val="-251"/>
        </w:rPr>
        <w:drawing>
          <wp:inline distT="0" distB="0" distL="0" distR="0">
            <wp:extent cx="6069965" cy="7994015"/>
            <wp:effectExtent l="0" t="0" r="6985" b="6985"/>
            <wp:docPr id="27" name="IM 16"/>
            <wp:cNvGraphicFramePr/>
            <a:graphic xmlns:a="http://schemas.openxmlformats.org/drawingml/2006/main">
              <a:graphicData uri="http://schemas.openxmlformats.org/drawingml/2006/picture">
                <pic:pic xmlns:pic="http://schemas.openxmlformats.org/drawingml/2006/picture">
                  <pic:nvPicPr>
                    <pic:cNvPr id="27" name="IM 16"/>
                    <pic:cNvPicPr/>
                  </pic:nvPicPr>
                  <pic:blipFill>
                    <a:blip r:embed="rId23"/>
                    <a:stretch>
                      <a:fillRect/>
                    </a:stretch>
                  </pic:blipFill>
                  <pic:spPr>
                    <a:xfrm>
                      <a:off x="0" y="0"/>
                      <a:ext cx="6070091" cy="7994396"/>
                    </a:xfrm>
                    <a:prstGeom prst="rect">
                      <a:avLst/>
                    </a:prstGeom>
                  </pic:spPr>
                </pic:pic>
              </a:graphicData>
            </a:graphic>
          </wp:inline>
        </w:drawing>
      </w:r>
    </w:p>
    <w:p w14:paraId="4CC4F3E1">
      <w:pPr>
        <w:pStyle w:val="2"/>
        <w:jc w:val="center"/>
        <w:rPr>
          <w:rFonts w:hint="eastAsia" w:ascii="宋体" w:hAnsi="宋体" w:eastAsia="宋体" w:cs="宋体"/>
          <w:b w:val="0"/>
          <w:bCs/>
          <w:color w:val="auto"/>
          <w:highlight w:val="none"/>
        </w:rPr>
      </w:pPr>
    </w:p>
    <w:sectPr>
      <w:footerReference r:id="rId17" w:type="default"/>
      <w:type w:val="continuous"/>
      <w:pgSz w:w="11906" w:h="16838"/>
      <w:pgMar w:top="1440" w:right="1080" w:bottom="1440" w:left="1080" w:header="720" w:footer="1134" w:gutter="0"/>
      <w:pgNumType w:fmt="decimal"/>
      <w:cols w:space="720" w:num="1"/>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F"/>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Arial Narrow">
    <w:altName w:val="Arial"/>
    <w:panose1 w:val="020B0606020202030204"/>
    <w:charset w:val="00"/>
    <w:family w:val="swiss"/>
    <w:pitch w:val="default"/>
    <w:sig w:usb0="00000000" w:usb1="00000000" w:usb2="00000000" w:usb3="00000000" w:csb0="2000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C490B">
    <w:pPr>
      <w:pStyle w:val="14"/>
      <w:tabs>
        <w:tab w:val="left" w:pos="5022"/>
        <w:tab w:val="clear" w:pos="4153"/>
        <w:tab w:val="clear" w:pos="8306"/>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476CF2">
    <w:pPr>
      <w:pStyle w:val="14"/>
      <w:tabs>
        <w:tab w:val="left" w:pos="5022"/>
        <w:tab w:val="clear" w:pos="4153"/>
        <w:tab w:val="clear" w:pos="8306"/>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4E241">
    <w:pPr>
      <w:pStyle w:val="14"/>
      <w:tabs>
        <w:tab w:val="left" w:pos="5022"/>
        <w:tab w:val="clear" w:pos="4153"/>
        <w:tab w:val="clear" w:pos="8306"/>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C308ECC">
                          <w:pPr>
                            <w:pStyle w:val="14"/>
                          </w:pPr>
                          <w:r>
                            <w:t xml:space="preserve">第 </w:t>
                          </w:r>
                          <w:r>
                            <w:fldChar w:fldCharType="begin"/>
                          </w:r>
                          <w:r>
                            <w:instrText xml:space="preserve"> PAGE  \* MERGEFORMAT </w:instrText>
                          </w:r>
                          <w:r>
                            <w:fldChar w:fldCharType="separate"/>
                          </w:r>
                          <w:r>
                            <w:t>5</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5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KguZuN8BAADAAwAADgAAAAAA&#10;AAABACAAAAAeAQAAZHJzL2Uyb0RvYy54bWxQSwUGAAAAAAYABgBZAQAAbwUAAAAA&#10;">
              <v:fill on="f" focussize="0,0"/>
              <v:stroke on="f"/>
              <v:imagedata o:title=""/>
              <o:lock v:ext="edit" aspectratio="f"/>
              <v:textbox inset="0mm,0mm,0mm,0mm" style="mso-fit-shape-to-text:t;">
                <w:txbxContent>
                  <w:p w14:paraId="3C308ECC">
                    <w:pPr>
                      <w:pStyle w:val="14"/>
                    </w:pPr>
                    <w:r>
                      <w:t xml:space="preserve">第 </w:t>
                    </w:r>
                    <w:r>
                      <w:fldChar w:fldCharType="begin"/>
                    </w:r>
                    <w:r>
                      <w:instrText xml:space="preserve"> PAGE  \* MERGEFORMAT </w:instrText>
                    </w:r>
                    <w:r>
                      <w:fldChar w:fldCharType="separate"/>
                    </w:r>
                    <w:r>
                      <w:t>5</w:t>
                    </w:r>
                    <w:r>
                      <w:fldChar w:fldCharType="end"/>
                    </w:r>
                    <w:r>
                      <w:t xml:space="preserve"> 页</w:t>
                    </w:r>
                  </w:p>
                </w:txbxContent>
              </v:textbox>
            </v:shape>
          </w:pict>
        </mc:Fallback>
      </mc:AlternateContent>
    </w: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06690">
    <w:pPr>
      <w:pStyle w:val="14"/>
      <w:jc w:val="center"/>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C841FD8">
                          <w:pPr>
                            <w:pStyle w:val="14"/>
                          </w:pPr>
                          <w:r>
                            <w:t xml:space="preserve">第 </w:t>
                          </w:r>
                          <w:r>
                            <w:fldChar w:fldCharType="begin"/>
                          </w:r>
                          <w:r>
                            <w:instrText xml:space="preserve"> PAGE  \* MERGEFORMAT </w:instrText>
                          </w:r>
                          <w:r>
                            <w:fldChar w:fldCharType="separate"/>
                          </w:r>
                          <w:r>
                            <w:t>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5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bVRDmd8BAADAAwAADgAAAAAA&#10;AAABACAAAAAeAQAAZHJzL2Uyb0RvYy54bWxQSwUGAAAAAAYABgBZAQAAbwUAAAAA&#10;">
              <v:fill on="f" focussize="0,0"/>
              <v:stroke on="f"/>
              <v:imagedata o:title=""/>
              <o:lock v:ext="edit" aspectratio="f"/>
              <v:textbox inset="0mm,0mm,0mm,0mm" style="mso-fit-shape-to-text:t;">
                <w:txbxContent>
                  <w:p w14:paraId="1C841FD8">
                    <w:pPr>
                      <w:pStyle w:val="14"/>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05F0B">
    <w:pPr>
      <w:pStyle w:val="14"/>
      <w:tabs>
        <w:tab w:val="left" w:pos="5022"/>
        <w:tab w:val="clear" w:pos="4153"/>
        <w:tab w:val="clear" w:pos="8306"/>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BF060F3">
                          <w:pPr>
                            <w:pStyle w:val="14"/>
                          </w:pPr>
                          <w:r>
                            <w:t xml:space="preserve">第 </w:t>
                          </w:r>
                          <w:r>
                            <w:fldChar w:fldCharType="begin"/>
                          </w:r>
                          <w:r>
                            <w:instrText xml:space="preserve"> PAGE  \* MERGEFORMAT </w:instrText>
                          </w:r>
                          <w:r>
                            <w:fldChar w:fldCharType="separate"/>
                          </w:r>
                          <w:r>
                            <w:t>39</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5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kxq523gEAAMADAAAOAAAAAAAA&#10;AAEAIAAAAB4BAABkcnMvZTJvRG9jLnhtbFBLBQYAAAAABgAGAFkBAABuBQAAAAA=&#10;">
              <v:fill on="f" focussize="0,0"/>
              <v:stroke on="f"/>
              <v:imagedata o:title=""/>
              <o:lock v:ext="edit" aspectratio="f"/>
              <v:textbox inset="0mm,0mm,0mm,0mm" style="mso-fit-shape-to-text:t;">
                <w:txbxContent>
                  <w:p w14:paraId="7BF060F3">
                    <w:pPr>
                      <w:pStyle w:val="14"/>
                    </w:pPr>
                    <w:r>
                      <w:t xml:space="preserve">第 </w:t>
                    </w:r>
                    <w:r>
                      <w:fldChar w:fldCharType="begin"/>
                    </w:r>
                    <w:r>
                      <w:instrText xml:space="preserve"> PAGE  \* MERGEFORMAT </w:instrText>
                    </w:r>
                    <w:r>
                      <w:fldChar w:fldCharType="separate"/>
                    </w:r>
                    <w:r>
                      <w:t>39</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BECA8">
    <w:pPr>
      <w:pStyle w:val="14"/>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2E96B0">
                          <w:pPr>
                            <w:pStyle w:val="14"/>
                          </w:pPr>
                          <w:r>
                            <w:t xml:space="preserve">第 </w:t>
                          </w:r>
                          <w:r>
                            <w:fldChar w:fldCharType="begin"/>
                          </w:r>
                          <w:r>
                            <w:instrText xml:space="preserve"> PAGE  \* MERGEFORMAT </w:instrText>
                          </w:r>
                          <w:r>
                            <w:fldChar w:fldCharType="separate"/>
                          </w:r>
                          <w:r>
                            <w:t>38</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5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Y5l0V98BAADAAwAADgAAAAAA&#10;AAABACAAAAAeAQAAZHJzL2Uyb0RvYy54bWxQSwUGAAAAAAYABgBZAQAAbwUAAAAA&#10;">
              <v:fill on="f" focussize="0,0"/>
              <v:stroke on="f"/>
              <v:imagedata o:title=""/>
              <o:lock v:ext="edit" aspectratio="f"/>
              <v:textbox inset="0mm,0mm,0mm,0mm" style="mso-fit-shape-to-text:t;">
                <w:txbxContent>
                  <w:p w14:paraId="6F2E96B0">
                    <w:pPr>
                      <w:pStyle w:val="14"/>
                    </w:pPr>
                    <w:r>
                      <w:t xml:space="preserve">第 </w:t>
                    </w:r>
                    <w:r>
                      <w:fldChar w:fldCharType="begin"/>
                    </w:r>
                    <w:r>
                      <w:instrText xml:space="preserve"> PAGE  \* MERGEFORMAT </w:instrText>
                    </w:r>
                    <w:r>
                      <w:fldChar w:fldCharType="separate"/>
                    </w:r>
                    <w:r>
                      <w:t>38</w:t>
                    </w:r>
                    <w:r>
                      <w:fldChar w:fldCharType="end"/>
                    </w:r>
                    <w:r>
                      <w:t xml:space="preserve"> 页</w:t>
                    </w:r>
                  </w:p>
                </w:txbxContent>
              </v:textbox>
            </v:shape>
          </w:pict>
        </mc:Fallback>
      </mc:AlternateContent>
    </w:r>
    <w:r>
      <w:rPr>
        <w:rFonts w:hint="eastAsia"/>
      </w:rPr>
      <w:t xml:space="preserve">                                             </w:t>
    </w:r>
    <w:r>
      <w:rPr>
        <w:rFonts w:hint="eastAsia"/>
        <w:sz w:val="16"/>
        <w:szCs w:val="18"/>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83DC0">
    <w:pPr>
      <w:pStyle w:val="14"/>
      <w:rPr>
        <w:rFonts w:hint="eastAsi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45F5E4B">
                          <w:pPr>
                            <w:pStyle w:val="14"/>
                          </w:pPr>
                          <w:r>
                            <w:t xml:space="preserve">第 </w:t>
                          </w:r>
                          <w:r>
                            <w:fldChar w:fldCharType="begin"/>
                          </w:r>
                          <w:r>
                            <w:instrText xml:space="preserve"> PAGE  \* MERGEFORMAT </w:instrText>
                          </w:r>
                          <w:r>
                            <w:fldChar w:fldCharType="separate"/>
                          </w:r>
                          <w:r>
                            <w:t>62</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54"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7WG2FN8BAADAAwAADgAAAAAA&#10;AAABACAAAAAeAQAAZHJzL2Uyb0RvYy54bWxQSwUGAAAAAAYABgBZAQAAbwUAAAAA&#10;">
              <v:fill on="f" focussize="0,0"/>
              <v:stroke on="f"/>
              <v:imagedata o:title=""/>
              <o:lock v:ext="edit" aspectratio="f"/>
              <v:textbox inset="0mm,0mm,0mm,0mm" style="mso-fit-shape-to-text:t;">
                <w:txbxContent>
                  <w:p w14:paraId="245F5E4B">
                    <w:pPr>
                      <w:pStyle w:val="14"/>
                    </w:pPr>
                    <w:r>
                      <w:t xml:space="preserve">第 </w:t>
                    </w:r>
                    <w:r>
                      <w:fldChar w:fldCharType="begin"/>
                    </w:r>
                    <w:r>
                      <w:instrText xml:space="preserve"> PAGE  \* MERGEFORMAT </w:instrText>
                    </w:r>
                    <w:r>
                      <w:fldChar w:fldCharType="separate"/>
                    </w:r>
                    <w:r>
                      <w:t>62</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A0102">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4" name="文本框 9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764386">
                          <w:pPr>
                            <w:pStyle w:val="14"/>
                          </w:pPr>
                          <w:r>
                            <w:t xml:space="preserve">第 </w:t>
                          </w:r>
                          <w:r>
                            <w:fldChar w:fldCharType="begin"/>
                          </w:r>
                          <w:r>
                            <w:instrText xml:space="preserve"> PAGE  \* MERGEFORMAT </w:instrText>
                          </w:r>
                          <w:r>
                            <w:fldChar w:fldCharType="separate"/>
                          </w:r>
                          <w:r>
                            <w:t>88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o2Ic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o2IczAgAAYwQAAA4AAAAAAAAAAQAgAAAAHwEAAGRycy9lMm9Eb2MueG1sUEsF&#10;BgAAAAAGAAYAWQEAAMQFAAAAAA==&#10;">
              <v:fill on="f" focussize="0,0"/>
              <v:stroke on="f" weight="0.5pt"/>
              <v:imagedata o:title=""/>
              <o:lock v:ext="edit" aspectratio="f"/>
              <v:textbox inset="0mm,0mm,0mm,0mm" style="mso-fit-shape-to-text:t;">
                <w:txbxContent>
                  <w:p w14:paraId="36764386">
                    <w:pPr>
                      <w:pStyle w:val="14"/>
                    </w:pPr>
                    <w:r>
                      <w:t xml:space="preserve">第 </w:t>
                    </w:r>
                    <w:r>
                      <w:fldChar w:fldCharType="begin"/>
                    </w:r>
                    <w:r>
                      <w:instrText xml:space="preserve"> PAGE  \* MERGEFORMAT </w:instrText>
                    </w:r>
                    <w:r>
                      <w:fldChar w:fldCharType="separate"/>
                    </w:r>
                    <w:r>
                      <w:t>88</w:t>
                    </w:r>
                    <w:r>
                      <w:fldChar w:fldCharType="end"/>
                    </w:r>
                    <w:r>
                      <w:t xml:space="preserve"> 页</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A13AA2">
                          <w:pPr>
                            <w:pStyle w:val="14"/>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MQeM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NJYZpVPz04/vp&#10;58Pp1zeCMwjUuDBD3L1DZGzf2RZtM5wHHCbebeV1+oIRgR/yHi/yijYSni5NJ9NpDheHb9gAP3u8&#10;7nyI74XVJBkF9ahfJys7bELsQ4eQlM3YtVSqq6EypAGJ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0MQeMzAgAAYwQAAA4AAAAAAAAAAQAgAAAAHwEAAGRycy9lMm9Eb2MueG1sUEsF&#10;BgAAAAAGAAYAWQEAAMQFAAAAAA==&#10;">
              <v:fill on="f" focussize="0,0"/>
              <v:stroke on="f" weight="0.5pt"/>
              <v:imagedata o:title=""/>
              <o:lock v:ext="edit" aspectratio="f"/>
              <v:textbox inset="0mm,0mm,0mm,0mm" style="mso-fit-shape-to-text:t;">
                <w:txbxContent>
                  <w:p w14:paraId="36A13AA2">
                    <w:pPr>
                      <w:pStyle w:val="14"/>
                    </w:pP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120E8">
    <w:pPr>
      <w:pStyle w:val="14"/>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74459EE">
                          <w:pPr>
                            <w:pStyle w:val="14"/>
                          </w:pPr>
                          <w:r>
                            <w:t xml:space="preserve">第 </w:t>
                          </w:r>
                          <w:r>
                            <w:fldChar w:fldCharType="begin"/>
                          </w:r>
                          <w:r>
                            <w:instrText xml:space="preserve"> PAGE  \* MERGEFORMAT </w:instrText>
                          </w:r>
                          <w:r>
                            <w:fldChar w:fldCharType="separate"/>
                          </w:r>
                          <w:r>
                            <w:t>72</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55"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Ko+bDXgAQAAwAMAAA4AAAAA&#10;AAAAAQAgAAAAHgEAAGRycy9lMm9Eb2MueG1sUEsFBgAAAAAGAAYAWQEAAHAFAAAAAA==&#10;">
              <v:fill on="f" focussize="0,0"/>
              <v:stroke on="f"/>
              <v:imagedata o:title=""/>
              <o:lock v:ext="edit" aspectratio="f"/>
              <v:textbox inset="0mm,0mm,0mm,0mm" style="mso-fit-shape-to-text:t;">
                <w:txbxContent>
                  <w:p w14:paraId="174459EE">
                    <w:pPr>
                      <w:pStyle w:val="14"/>
                    </w:pPr>
                    <w:r>
                      <w:t xml:space="preserve">第 </w:t>
                    </w:r>
                    <w:r>
                      <w:fldChar w:fldCharType="begin"/>
                    </w:r>
                    <w:r>
                      <w:instrText xml:space="preserve"> PAGE  \* MERGEFORMAT </w:instrText>
                    </w:r>
                    <w:r>
                      <w:fldChar w:fldCharType="separate"/>
                    </w:r>
                    <w:r>
                      <w:t>72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B5DA4">
    <w:pPr>
      <w:pStyle w:val="16"/>
      <w:pBdr>
        <w:bottom w:val="none" w:color="auto" w:sz="0" w:space="1"/>
      </w:pBdr>
      <w:tabs>
        <w:tab w:val="left" w:pos="7864"/>
        <w:tab w:val="clear" w:pos="4153"/>
      </w:tabs>
      <w:rPr>
        <w:sz w:val="10"/>
        <w:szCs w:val="1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F17AE">
    <w:pPr>
      <w:pStyle w:val="16"/>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6E87B">
    <w:pPr>
      <w:pStyle w:val="16"/>
      <w:pBdr>
        <w:bottom w:val="none" w:color="auto" w:sz="0" w:space="1"/>
      </w:pBdr>
      <w:tabs>
        <w:tab w:val="clear" w:pos="4153"/>
      </w:tabs>
      <w:ind w:firstLine="355"/>
      <w:jc w:val="left"/>
      <w:rPr>
        <w:sz w:val="10"/>
        <w:szCs w:val="10"/>
        <w:u w:val="single"/>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9DE15">
    <w:pPr>
      <w:pStyle w:val="16"/>
      <w:pBdr>
        <w:bottom w:val="none" w:color="auto" w:sz="0" w:space="1"/>
      </w:pBdr>
      <w:tabs>
        <w:tab w:val="left" w:pos="7864"/>
        <w:tab w:val="clear" w:pos="4153"/>
      </w:tabs>
      <w:rPr>
        <w:sz w:val="10"/>
        <w:szCs w:val="1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B2EE9">
    <w:pPr>
      <w:pStyle w:val="16"/>
      <w:pBdr>
        <w:bottom w:val="none" w:color="auto" w:sz="0" w:space="1"/>
      </w:pBdr>
      <w:tabs>
        <w:tab w:val="clear" w:pos="4153"/>
      </w:tabs>
      <w:ind w:firstLine="469"/>
      <w:jc w:val="both"/>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9BB599">
    <w:pPr>
      <w:pStyle w:val="1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6CF4C9"/>
    <w:multiLevelType w:val="singleLevel"/>
    <w:tmpl w:val="9A6CF4C9"/>
    <w:lvl w:ilvl="0" w:tentative="0">
      <w:start w:val="5"/>
      <w:numFmt w:val="chineseCounting"/>
      <w:suff w:val="space"/>
      <w:lvlText w:val="第%1部分"/>
      <w:lvlJc w:val="left"/>
      <w:rPr>
        <w:rFonts w:hint="eastAsia"/>
      </w:rPr>
    </w:lvl>
  </w:abstractNum>
  <w:abstractNum w:abstractNumId="1">
    <w:nsid w:val="AB20EBB6"/>
    <w:multiLevelType w:val="singleLevel"/>
    <w:tmpl w:val="AB20EBB6"/>
    <w:lvl w:ilvl="0" w:tentative="0">
      <w:start w:val="1"/>
      <w:numFmt w:val="decimal"/>
      <w:lvlText w:val="%1."/>
      <w:lvlJc w:val="left"/>
      <w:pPr>
        <w:tabs>
          <w:tab w:val="left" w:pos="312"/>
        </w:tabs>
      </w:pPr>
    </w:lvl>
  </w:abstractNum>
  <w:abstractNum w:abstractNumId="2">
    <w:nsid w:val="AE6F79D6"/>
    <w:multiLevelType w:val="singleLevel"/>
    <w:tmpl w:val="AE6F79D6"/>
    <w:lvl w:ilvl="0" w:tentative="0">
      <w:start w:val="1"/>
      <w:numFmt w:val="decimal"/>
      <w:suff w:val="nothing"/>
      <w:lvlText w:val="%1）"/>
      <w:lvlJc w:val="left"/>
    </w:lvl>
  </w:abstractNum>
  <w:abstractNum w:abstractNumId="3">
    <w:nsid w:val="E9CE3150"/>
    <w:multiLevelType w:val="singleLevel"/>
    <w:tmpl w:val="E9CE3150"/>
    <w:lvl w:ilvl="0" w:tentative="0">
      <w:start w:val="4"/>
      <w:numFmt w:val="chineseCounting"/>
      <w:suff w:val="nothing"/>
      <w:lvlText w:val="%1、"/>
      <w:lvlJc w:val="left"/>
      <w:rPr>
        <w:rFonts w:hint="eastAsia"/>
      </w:rPr>
    </w:lvl>
  </w:abstractNum>
  <w:abstractNum w:abstractNumId="4">
    <w:nsid w:val="00000032"/>
    <w:multiLevelType w:val="multilevel"/>
    <w:tmpl w:val="00000032"/>
    <w:lvl w:ilvl="0" w:tentative="0">
      <w:start w:val="1"/>
      <w:numFmt w:val="decimal"/>
      <w:lvlText w:val="%1"/>
      <w:lvlJc w:val="left"/>
      <w:pPr>
        <w:tabs>
          <w:tab w:val="left" w:pos="420"/>
        </w:tabs>
        <w:ind w:left="460" w:hanging="25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43B80D14"/>
    <w:multiLevelType w:val="singleLevel"/>
    <w:tmpl w:val="43B80D14"/>
    <w:lvl w:ilvl="0" w:tentative="0">
      <w:start w:val="1"/>
      <w:numFmt w:val="decimal"/>
      <w:suff w:val="nothing"/>
      <w:lvlText w:val="%1．"/>
      <w:lvlJc w:val="left"/>
      <w:pPr>
        <w:ind w:left="0" w:firstLine="400"/>
      </w:pPr>
      <w:rPr>
        <w:rFonts w:hint="default"/>
      </w:rPr>
    </w:lvl>
  </w:abstractNum>
  <w:abstractNum w:abstractNumId="6">
    <w:nsid w:val="5006901E"/>
    <w:multiLevelType w:val="singleLevel"/>
    <w:tmpl w:val="5006901E"/>
    <w:lvl w:ilvl="0" w:tentative="0">
      <w:start w:val="6"/>
      <w:numFmt w:val="chineseCounting"/>
      <w:suff w:val="space"/>
      <w:lvlText w:val="第%1部分"/>
      <w:lvlJc w:val="left"/>
      <w:rPr>
        <w:rFonts w:hint="eastAsia"/>
      </w:rPr>
    </w:lvl>
  </w:abstractNum>
  <w:abstractNum w:abstractNumId="7">
    <w:nsid w:val="6EE01ACF"/>
    <w:multiLevelType w:val="singleLevel"/>
    <w:tmpl w:val="6EE01ACF"/>
    <w:lvl w:ilvl="0" w:tentative="0">
      <w:start w:val="1"/>
      <w:numFmt w:val="decimal"/>
      <w:suff w:val="space"/>
      <w:lvlText w:val="%1."/>
      <w:lvlJc w:val="left"/>
    </w:lvl>
  </w:abstractNum>
  <w:num w:numId="1">
    <w:abstractNumId w:val="4"/>
  </w:num>
  <w:num w:numId="2">
    <w:abstractNumId w:val="2"/>
  </w:num>
  <w:num w:numId="3">
    <w:abstractNumId w:val="3"/>
  </w:num>
  <w:num w:numId="4">
    <w:abstractNumId w:val="0"/>
  </w:num>
  <w:num w:numId="5">
    <w:abstractNumId w:val="1"/>
  </w:num>
  <w:num w:numId="6">
    <w:abstractNumId w:val="6"/>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footnotePr>
    <w:pos w:val="beneathText"/>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FkYjQ1Y2E0MjIxYTQwN2ViZjkxODNiMTBmYzA1MWYifQ=="/>
  </w:docVars>
  <w:rsids>
    <w:rsidRoot w:val="0079742D"/>
    <w:rsid w:val="00000623"/>
    <w:rsid w:val="00060C6A"/>
    <w:rsid w:val="001846B1"/>
    <w:rsid w:val="001A65AF"/>
    <w:rsid w:val="002011D5"/>
    <w:rsid w:val="0026608C"/>
    <w:rsid w:val="0027109E"/>
    <w:rsid w:val="002B247F"/>
    <w:rsid w:val="00307A95"/>
    <w:rsid w:val="00360C74"/>
    <w:rsid w:val="00382DFA"/>
    <w:rsid w:val="003A4DB8"/>
    <w:rsid w:val="004D1775"/>
    <w:rsid w:val="0050638A"/>
    <w:rsid w:val="00724552"/>
    <w:rsid w:val="0074787F"/>
    <w:rsid w:val="0079742D"/>
    <w:rsid w:val="007C3F1A"/>
    <w:rsid w:val="00814795"/>
    <w:rsid w:val="00844285"/>
    <w:rsid w:val="00885B23"/>
    <w:rsid w:val="008C150C"/>
    <w:rsid w:val="008C24C3"/>
    <w:rsid w:val="00994EB0"/>
    <w:rsid w:val="00A07FD7"/>
    <w:rsid w:val="00A16BE5"/>
    <w:rsid w:val="00A508D1"/>
    <w:rsid w:val="00A87F74"/>
    <w:rsid w:val="00B71F65"/>
    <w:rsid w:val="00C84172"/>
    <w:rsid w:val="00D03026"/>
    <w:rsid w:val="00D074CA"/>
    <w:rsid w:val="00D64AE1"/>
    <w:rsid w:val="00D9057F"/>
    <w:rsid w:val="00DC5E6F"/>
    <w:rsid w:val="00DF3269"/>
    <w:rsid w:val="00EA233A"/>
    <w:rsid w:val="011253ED"/>
    <w:rsid w:val="01227D26"/>
    <w:rsid w:val="01344155"/>
    <w:rsid w:val="01400398"/>
    <w:rsid w:val="014F4893"/>
    <w:rsid w:val="01566C2F"/>
    <w:rsid w:val="01583748"/>
    <w:rsid w:val="015974C0"/>
    <w:rsid w:val="015B080F"/>
    <w:rsid w:val="015E4AD6"/>
    <w:rsid w:val="016814B1"/>
    <w:rsid w:val="016C0FA1"/>
    <w:rsid w:val="016F45ED"/>
    <w:rsid w:val="018E7169"/>
    <w:rsid w:val="019978BC"/>
    <w:rsid w:val="01B110AA"/>
    <w:rsid w:val="01B14C06"/>
    <w:rsid w:val="01BA61B0"/>
    <w:rsid w:val="01E90844"/>
    <w:rsid w:val="01F63C79"/>
    <w:rsid w:val="02084A3C"/>
    <w:rsid w:val="0224187C"/>
    <w:rsid w:val="023B4716"/>
    <w:rsid w:val="023F0464"/>
    <w:rsid w:val="0245619D"/>
    <w:rsid w:val="02517DD4"/>
    <w:rsid w:val="0259781F"/>
    <w:rsid w:val="02641C78"/>
    <w:rsid w:val="027C5214"/>
    <w:rsid w:val="027F6AB2"/>
    <w:rsid w:val="02D3482C"/>
    <w:rsid w:val="02D52B76"/>
    <w:rsid w:val="02E62FD5"/>
    <w:rsid w:val="02F73FA3"/>
    <w:rsid w:val="02F92F0D"/>
    <w:rsid w:val="0305345B"/>
    <w:rsid w:val="031059A9"/>
    <w:rsid w:val="03123DCA"/>
    <w:rsid w:val="0317318F"/>
    <w:rsid w:val="031A4A2D"/>
    <w:rsid w:val="031F2043"/>
    <w:rsid w:val="033B6E7D"/>
    <w:rsid w:val="034029EA"/>
    <w:rsid w:val="035000AB"/>
    <w:rsid w:val="03595555"/>
    <w:rsid w:val="03604B36"/>
    <w:rsid w:val="036B5288"/>
    <w:rsid w:val="036B6956"/>
    <w:rsid w:val="03885E3A"/>
    <w:rsid w:val="038F541B"/>
    <w:rsid w:val="03992B05"/>
    <w:rsid w:val="03A30908"/>
    <w:rsid w:val="03AE57BF"/>
    <w:rsid w:val="03D472D2"/>
    <w:rsid w:val="03DB240E"/>
    <w:rsid w:val="03DC52E9"/>
    <w:rsid w:val="03E5328D"/>
    <w:rsid w:val="03E602DA"/>
    <w:rsid w:val="03E716A2"/>
    <w:rsid w:val="040C6A6B"/>
    <w:rsid w:val="04110AF5"/>
    <w:rsid w:val="043F299D"/>
    <w:rsid w:val="045F4DED"/>
    <w:rsid w:val="04610B65"/>
    <w:rsid w:val="04722D72"/>
    <w:rsid w:val="0473621C"/>
    <w:rsid w:val="049727D9"/>
    <w:rsid w:val="04A171B4"/>
    <w:rsid w:val="04C44C50"/>
    <w:rsid w:val="04C45A07"/>
    <w:rsid w:val="04D672B4"/>
    <w:rsid w:val="04E83035"/>
    <w:rsid w:val="05045994"/>
    <w:rsid w:val="054A3B1B"/>
    <w:rsid w:val="05526700"/>
    <w:rsid w:val="056D178C"/>
    <w:rsid w:val="0580326D"/>
    <w:rsid w:val="05883ED0"/>
    <w:rsid w:val="05A14F91"/>
    <w:rsid w:val="05C80770"/>
    <w:rsid w:val="05D82ABB"/>
    <w:rsid w:val="05F45A09"/>
    <w:rsid w:val="05F67C50"/>
    <w:rsid w:val="060C4B01"/>
    <w:rsid w:val="0624009C"/>
    <w:rsid w:val="06263AAC"/>
    <w:rsid w:val="062A4F87"/>
    <w:rsid w:val="063B3638"/>
    <w:rsid w:val="064222D0"/>
    <w:rsid w:val="064E5DB1"/>
    <w:rsid w:val="064E6EC7"/>
    <w:rsid w:val="065169B7"/>
    <w:rsid w:val="066A1827"/>
    <w:rsid w:val="0679606A"/>
    <w:rsid w:val="068678D2"/>
    <w:rsid w:val="06983D72"/>
    <w:rsid w:val="069D1BFD"/>
    <w:rsid w:val="06A05249"/>
    <w:rsid w:val="06BA27AF"/>
    <w:rsid w:val="06C07699"/>
    <w:rsid w:val="06CD1F43"/>
    <w:rsid w:val="06FE4956"/>
    <w:rsid w:val="07177C01"/>
    <w:rsid w:val="072D4D2F"/>
    <w:rsid w:val="076F5347"/>
    <w:rsid w:val="078723F4"/>
    <w:rsid w:val="07A64AE1"/>
    <w:rsid w:val="07A664F3"/>
    <w:rsid w:val="07B35D39"/>
    <w:rsid w:val="07C05BA3"/>
    <w:rsid w:val="07C33380"/>
    <w:rsid w:val="07CD02C0"/>
    <w:rsid w:val="07D900C6"/>
    <w:rsid w:val="07EA70C4"/>
    <w:rsid w:val="07F615C4"/>
    <w:rsid w:val="07F67948"/>
    <w:rsid w:val="07FB307F"/>
    <w:rsid w:val="080A5070"/>
    <w:rsid w:val="08236132"/>
    <w:rsid w:val="082F2D28"/>
    <w:rsid w:val="08386081"/>
    <w:rsid w:val="084F6F27"/>
    <w:rsid w:val="08562D76"/>
    <w:rsid w:val="0865674A"/>
    <w:rsid w:val="08716E9D"/>
    <w:rsid w:val="08745B19"/>
    <w:rsid w:val="088A0DC2"/>
    <w:rsid w:val="089F1C5C"/>
    <w:rsid w:val="08A63D15"/>
    <w:rsid w:val="08AC25CB"/>
    <w:rsid w:val="08B62BFD"/>
    <w:rsid w:val="08B80F70"/>
    <w:rsid w:val="08BF40AC"/>
    <w:rsid w:val="08CB0A91"/>
    <w:rsid w:val="08CE2541"/>
    <w:rsid w:val="08D04020"/>
    <w:rsid w:val="08DF474E"/>
    <w:rsid w:val="08EC0C19"/>
    <w:rsid w:val="08F1718F"/>
    <w:rsid w:val="08FA3336"/>
    <w:rsid w:val="08FB4F21"/>
    <w:rsid w:val="09000221"/>
    <w:rsid w:val="0933642F"/>
    <w:rsid w:val="09385677"/>
    <w:rsid w:val="094255AE"/>
    <w:rsid w:val="09485C1D"/>
    <w:rsid w:val="095742E5"/>
    <w:rsid w:val="0960145E"/>
    <w:rsid w:val="09684744"/>
    <w:rsid w:val="096E162E"/>
    <w:rsid w:val="09815735"/>
    <w:rsid w:val="09C527D8"/>
    <w:rsid w:val="09C53944"/>
    <w:rsid w:val="09C645FB"/>
    <w:rsid w:val="09D122E9"/>
    <w:rsid w:val="09DC47EA"/>
    <w:rsid w:val="09DE4A06"/>
    <w:rsid w:val="09E27460"/>
    <w:rsid w:val="09E57B43"/>
    <w:rsid w:val="09E714B5"/>
    <w:rsid w:val="09E810D6"/>
    <w:rsid w:val="0A002BCE"/>
    <w:rsid w:val="0A353611"/>
    <w:rsid w:val="0A622F41"/>
    <w:rsid w:val="0A9F4B3E"/>
    <w:rsid w:val="0AC736EC"/>
    <w:rsid w:val="0ACE6829"/>
    <w:rsid w:val="0ADD5499"/>
    <w:rsid w:val="0AEE6ECB"/>
    <w:rsid w:val="0AF71E29"/>
    <w:rsid w:val="0B00275A"/>
    <w:rsid w:val="0B097861"/>
    <w:rsid w:val="0B0C7351"/>
    <w:rsid w:val="0B0E131B"/>
    <w:rsid w:val="0B1306DF"/>
    <w:rsid w:val="0B266665"/>
    <w:rsid w:val="0B291CB1"/>
    <w:rsid w:val="0B2B77D7"/>
    <w:rsid w:val="0B332B30"/>
    <w:rsid w:val="0B380146"/>
    <w:rsid w:val="0B3A5C6C"/>
    <w:rsid w:val="0B3D39AE"/>
    <w:rsid w:val="0B3F03EC"/>
    <w:rsid w:val="0B5374D4"/>
    <w:rsid w:val="0B585FA3"/>
    <w:rsid w:val="0B61769D"/>
    <w:rsid w:val="0B6A3CF7"/>
    <w:rsid w:val="0B81389B"/>
    <w:rsid w:val="0B8909A2"/>
    <w:rsid w:val="0B974E6D"/>
    <w:rsid w:val="0BA61553"/>
    <w:rsid w:val="0BBC48D3"/>
    <w:rsid w:val="0BC65752"/>
    <w:rsid w:val="0BE34556"/>
    <w:rsid w:val="0BE36304"/>
    <w:rsid w:val="0BED0F30"/>
    <w:rsid w:val="0BEF2EFA"/>
    <w:rsid w:val="0BF03A87"/>
    <w:rsid w:val="0BF95B27"/>
    <w:rsid w:val="0C0E0F76"/>
    <w:rsid w:val="0C142961"/>
    <w:rsid w:val="0C152235"/>
    <w:rsid w:val="0C1E0947"/>
    <w:rsid w:val="0C29264A"/>
    <w:rsid w:val="0C4F3999"/>
    <w:rsid w:val="0C612B29"/>
    <w:rsid w:val="0C645D0A"/>
    <w:rsid w:val="0C646D4A"/>
    <w:rsid w:val="0C71390F"/>
    <w:rsid w:val="0C727688"/>
    <w:rsid w:val="0C8A3494"/>
    <w:rsid w:val="0C8C0749"/>
    <w:rsid w:val="0CA57A5D"/>
    <w:rsid w:val="0CA912FB"/>
    <w:rsid w:val="0CAB1014"/>
    <w:rsid w:val="0CD12600"/>
    <w:rsid w:val="0CD143AE"/>
    <w:rsid w:val="0CDD0FA5"/>
    <w:rsid w:val="0CE00A95"/>
    <w:rsid w:val="0CE02278"/>
    <w:rsid w:val="0CF60E20"/>
    <w:rsid w:val="0CFA470C"/>
    <w:rsid w:val="0CFF53BF"/>
    <w:rsid w:val="0D075586"/>
    <w:rsid w:val="0D1129FD"/>
    <w:rsid w:val="0D2564A8"/>
    <w:rsid w:val="0D2C5A88"/>
    <w:rsid w:val="0D486352"/>
    <w:rsid w:val="0D49488C"/>
    <w:rsid w:val="0D4B23B2"/>
    <w:rsid w:val="0D58687D"/>
    <w:rsid w:val="0D5A0848"/>
    <w:rsid w:val="0D5D20E6"/>
    <w:rsid w:val="0D611BD6"/>
    <w:rsid w:val="0D690A8B"/>
    <w:rsid w:val="0D7F02AE"/>
    <w:rsid w:val="0D887163"/>
    <w:rsid w:val="0D924542"/>
    <w:rsid w:val="0D935B07"/>
    <w:rsid w:val="0D993CD9"/>
    <w:rsid w:val="0DBC0D40"/>
    <w:rsid w:val="0DCD1019"/>
    <w:rsid w:val="0DD04666"/>
    <w:rsid w:val="0DD135A6"/>
    <w:rsid w:val="0DDA54E4"/>
    <w:rsid w:val="0DDF4B63"/>
    <w:rsid w:val="0DE3083D"/>
    <w:rsid w:val="0DFB1385"/>
    <w:rsid w:val="0DFC65E6"/>
    <w:rsid w:val="0E0E518E"/>
    <w:rsid w:val="0E1C78AB"/>
    <w:rsid w:val="0E204A31"/>
    <w:rsid w:val="0E2A021A"/>
    <w:rsid w:val="0E4532A6"/>
    <w:rsid w:val="0E456E02"/>
    <w:rsid w:val="0E5B4877"/>
    <w:rsid w:val="0E8536A2"/>
    <w:rsid w:val="0E9F5CF7"/>
    <w:rsid w:val="0EB61AAE"/>
    <w:rsid w:val="0EB9334C"/>
    <w:rsid w:val="0EC248F6"/>
    <w:rsid w:val="0EC62A9B"/>
    <w:rsid w:val="0EE53811"/>
    <w:rsid w:val="0EEA0F15"/>
    <w:rsid w:val="0EF5524E"/>
    <w:rsid w:val="0EF652C3"/>
    <w:rsid w:val="0F0C3DC3"/>
    <w:rsid w:val="0F114F36"/>
    <w:rsid w:val="0F16254C"/>
    <w:rsid w:val="0F264E85"/>
    <w:rsid w:val="0F5431D2"/>
    <w:rsid w:val="0F5D461F"/>
    <w:rsid w:val="0F7722A1"/>
    <w:rsid w:val="0F8A641D"/>
    <w:rsid w:val="0FA1450C"/>
    <w:rsid w:val="0FA3772F"/>
    <w:rsid w:val="0FA730B2"/>
    <w:rsid w:val="0FA97864"/>
    <w:rsid w:val="0FDC3796"/>
    <w:rsid w:val="0FFF7484"/>
    <w:rsid w:val="10034331"/>
    <w:rsid w:val="103E61FE"/>
    <w:rsid w:val="104065DD"/>
    <w:rsid w:val="10430842"/>
    <w:rsid w:val="104D4694"/>
    <w:rsid w:val="105A290D"/>
    <w:rsid w:val="106A0DA2"/>
    <w:rsid w:val="106D2640"/>
    <w:rsid w:val="107C6D27"/>
    <w:rsid w:val="10802373"/>
    <w:rsid w:val="108A0CDB"/>
    <w:rsid w:val="108C3F07"/>
    <w:rsid w:val="108C6F6A"/>
    <w:rsid w:val="10991687"/>
    <w:rsid w:val="10993435"/>
    <w:rsid w:val="109E4EEF"/>
    <w:rsid w:val="10AA73F0"/>
    <w:rsid w:val="10B010FE"/>
    <w:rsid w:val="10B169D0"/>
    <w:rsid w:val="10C36704"/>
    <w:rsid w:val="10CF7616"/>
    <w:rsid w:val="10D10E21"/>
    <w:rsid w:val="10D12BCF"/>
    <w:rsid w:val="10D40911"/>
    <w:rsid w:val="10D5430D"/>
    <w:rsid w:val="10DB57FB"/>
    <w:rsid w:val="10DC1574"/>
    <w:rsid w:val="10E16B8A"/>
    <w:rsid w:val="10FB7C4C"/>
    <w:rsid w:val="10FC72F8"/>
    <w:rsid w:val="11070F08"/>
    <w:rsid w:val="110C00AB"/>
    <w:rsid w:val="111932C0"/>
    <w:rsid w:val="1122342A"/>
    <w:rsid w:val="112D1D65"/>
    <w:rsid w:val="113A4C18"/>
    <w:rsid w:val="113E5D8A"/>
    <w:rsid w:val="11627CCB"/>
    <w:rsid w:val="116972AB"/>
    <w:rsid w:val="117B2B3A"/>
    <w:rsid w:val="117F087D"/>
    <w:rsid w:val="11836655"/>
    <w:rsid w:val="11867E5D"/>
    <w:rsid w:val="119500A0"/>
    <w:rsid w:val="11A55E09"/>
    <w:rsid w:val="11C32562"/>
    <w:rsid w:val="11D64215"/>
    <w:rsid w:val="11EC57E6"/>
    <w:rsid w:val="121548EA"/>
    <w:rsid w:val="121C60CC"/>
    <w:rsid w:val="122F22A3"/>
    <w:rsid w:val="123478B9"/>
    <w:rsid w:val="123F4757"/>
    <w:rsid w:val="124C0149"/>
    <w:rsid w:val="129C002D"/>
    <w:rsid w:val="129E1FB9"/>
    <w:rsid w:val="12C96D07"/>
    <w:rsid w:val="12D20E80"/>
    <w:rsid w:val="12D26D34"/>
    <w:rsid w:val="12D62275"/>
    <w:rsid w:val="12D90460"/>
    <w:rsid w:val="12F157AA"/>
    <w:rsid w:val="12F4238B"/>
    <w:rsid w:val="12FA48B2"/>
    <w:rsid w:val="130C0735"/>
    <w:rsid w:val="131B2827"/>
    <w:rsid w:val="131B6383"/>
    <w:rsid w:val="13206BDA"/>
    <w:rsid w:val="13272F7A"/>
    <w:rsid w:val="13286CF2"/>
    <w:rsid w:val="134055F9"/>
    <w:rsid w:val="134A4EBA"/>
    <w:rsid w:val="134E49AB"/>
    <w:rsid w:val="137D694F"/>
    <w:rsid w:val="138A3509"/>
    <w:rsid w:val="139B3968"/>
    <w:rsid w:val="139C7259"/>
    <w:rsid w:val="13A63646"/>
    <w:rsid w:val="13B776A1"/>
    <w:rsid w:val="13BD3271"/>
    <w:rsid w:val="13BF31B2"/>
    <w:rsid w:val="13E470BD"/>
    <w:rsid w:val="13FA243C"/>
    <w:rsid w:val="13FA68E0"/>
    <w:rsid w:val="140432BB"/>
    <w:rsid w:val="14065285"/>
    <w:rsid w:val="140C6A36"/>
    <w:rsid w:val="140E413A"/>
    <w:rsid w:val="14151024"/>
    <w:rsid w:val="142A526B"/>
    <w:rsid w:val="144B2C98"/>
    <w:rsid w:val="14665D24"/>
    <w:rsid w:val="146855F8"/>
    <w:rsid w:val="147131C9"/>
    <w:rsid w:val="14736A30"/>
    <w:rsid w:val="147E4E1C"/>
    <w:rsid w:val="14816145"/>
    <w:rsid w:val="14830684"/>
    <w:rsid w:val="14860174"/>
    <w:rsid w:val="14BE0306"/>
    <w:rsid w:val="14C667C2"/>
    <w:rsid w:val="14CD7B51"/>
    <w:rsid w:val="14D26837"/>
    <w:rsid w:val="14E32449"/>
    <w:rsid w:val="14E37374"/>
    <w:rsid w:val="14EB0D24"/>
    <w:rsid w:val="14F122F5"/>
    <w:rsid w:val="14FE41AE"/>
    <w:rsid w:val="150572EB"/>
    <w:rsid w:val="150E6CF3"/>
    <w:rsid w:val="152D05F0"/>
    <w:rsid w:val="152F25BA"/>
    <w:rsid w:val="154F4A0A"/>
    <w:rsid w:val="156A53A0"/>
    <w:rsid w:val="156C1118"/>
    <w:rsid w:val="1578429D"/>
    <w:rsid w:val="158F79C6"/>
    <w:rsid w:val="15961C83"/>
    <w:rsid w:val="159A3ED7"/>
    <w:rsid w:val="15A72150"/>
    <w:rsid w:val="15B66837"/>
    <w:rsid w:val="15BF393E"/>
    <w:rsid w:val="15C800B5"/>
    <w:rsid w:val="15D078F9"/>
    <w:rsid w:val="15D849FF"/>
    <w:rsid w:val="15DD0DD4"/>
    <w:rsid w:val="160752E5"/>
    <w:rsid w:val="16096967"/>
    <w:rsid w:val="16184DFC"/>
    <w:rsid w:val="161C2B3E"/>
    <w:rsid w:val="162E2871"/>
    <w:rsid w:val="162F753B"/>
    <w:rsid w:val="164107F7"/>
    <w:rsid w:val="166444E5"/>
    <w:rsid w:val="16646293"/>
    <w:rsid w:val="166938A9"/>
    <w:rsid w:val="16775FC6"/>
    <w:rsid w:val="16783AEC"/>
    <w:rsid w:val="168862BB"/>
    <w:rsid w:val="16970417"/>
    <w:rsid w:val="16A14DF1"/>
    <w:rsid w:val="16AF1C41"/>
    <w:rsid w:val="16DB47A7"/>
    <w:rsid w:val="16E24FBD"/>
    <w:rsid w:val="16E42F30"/>
    <w:rsid w:val="16E662B6"/>
    <w:rsid w:val="170456B1"/>
    <w:rsid w:val="17153623"/>
    <w:rsid w:val="172F4AF3"/>
    <w:rsid w:val="17342109"/>
    <w:rsid w:val="17355617"/>
    <w:rsid w:val="17546308"/>
    <w:rsid w:val="175B58E8"/>
    <w:rsid w:val="175D340E"/>
    <w:rsid w:val="1776627E"/>
    <w:rsid w:val="177B279C"/>
    <w:rsid w:val="17875105"/>
    <w:rsid w:val="178C5B14"/>
    <w:rsid w:val="179B3F36"/>
    <w:rsid w:val="179E7583"/>
    <w:rsid w:val="17A70B2D"/>
    <w:rsid w:val="17D15BAA"/>
    <w:rsid w:val="17D44EB7"/>
    <w:rsid w:val="17DD00AB"/>
    <w:rsid w:val="17F33307"/>
    <w:rsid w:val="17F6462B"/>
    <w:rsid w:val="17FA26E6"/>
    <w:rsid w:val="181D0DEF"/>
    <w:rsid w:val="18374C5F"/>
    <w:rsid w:val="184C5231"/>
    <w:rsid w:val="18567E5D"/>
    <w:rsid w:val="185C36C6"/>
    <w:rsid w:val="187B20EB"/>
    <w:rsid w:val="187C5B16"/>
    <w:rsid w:val="18816EBE"/>
    <w:rsid w:val="189B0F47"/>
    <w:rsid w:val="189C1D14"/>
    <w:rsid w:val="18D314AE"/>
    <w:rsid w:val="18E32286"/>
    <w:rsid w:val="18FA6A3B"/>
    <w:rsid w:val="18FE2223"/>
    <w:rsid w:val="19193365"/>
    <w:rsid w:val="192214AB"/>
    <w:rsid w:val="19520625"/>
    <w:rsid w:val="196A1E12"/>
    <w:rsid w:val="19B66E06"/>
    <w:rsid w:val="19BE5CBA"/>
    <w:rsid w:val="19CC487B"/>
    <w:rsid w:val="19DD0836"/>
    <w:rsid w:val="19DE010A"/>
    <w:rsid w:val="19E35721"/>
    <w:rsid w:val="1A134258"/>
    <w:rsid w:val="1A18674C"/>
    <w:rsid w:val="1A361CF4"/>
    <w:rsid w:val="1A3F504D"/>
    <w:rsid w:val="1A400DC5"/>
    <w:rsid w:val="1A584361"/>
    <w:rsid w:val="1A6C3968"/>
    <w:rsid w:val="1A6E7911"/>
    <w:rsid w:val="1A895941"/>
    <w:rsid w:val="1A937147"/>
    <w:rsid w:val="1AA154CF"/>
    <w:rsid w:val="1AC35E60"/>
    <w:rsid w:val="1AF776D6"/>
    <w:rsid w:val="1AFA0F74"/>
    <w:rsid w:val="1B1B527C"/>
    <w:rsid w:val="1B4A5639"/>
    <w:rsid w:val="1B4B5C73"/>
    <w:rsid w:val="1B666609"/>
    <w:rsid w:val="1B6C00C4"/>
    <w:rsid w:val="1B723200"/>
    <w:rsid w:val="1B875F77"/>
    <w:rsid w:val="1B8D1DE8"/>
    <w:rsid w:val="1B900D63"/>
    <w:rsid w:val="1B970EB9"/>
    <w:rsid w:val="1BBE4697"/>
    <w:rsid w:val="1BD9502D"/>
    <w:rsid w:val="1BDA551F"/>
    <w:rsid w:val="1C275D99"/>
    <w:rsid w:val="1C3F09CF"/>
    <w:rsid w:val="1C422BD3"/>
    <w:rsid w:val="1C5446B4"/>
    <w:rsid w:val="1C646FED"/>
    <w:rsid w:val="1C7134B8"/>
    <w:rsid w:val="1C8036FB"/>
    <w:rsid w:val="1C980A44"/>
    <w:rsid w:val="1CAC44F0"/>
    <w:rsid w:val="1CAF0084"/>
    <w:rsid w:val="1CB02232"/>
    <w:rsid w:val="1CB810E7"/>
    <w:rsid w:val="1CC31975"/>
    <w:rsid w:val="1CCB706C"/>
    <w:rsid w:val="1CD23133"/>
    <w:rsid w:val="1CD54EEA"/>
    <w:rsid w:val="1CDD6D9F"/>
    <w:rsid w:val="1CE70A7B"/>
    <w:rsid w:val="1CEF74C6"/>
    <w:rsid w:val="1CF57C45"/>
    <w:rsid w:val="1CFF2872"/>
    <w:rsid w:val="1D0D1432"/>
    <w:rsid w:val="1D2A0873"/>
    <w:rsid w:val="1D2F75FB"/>
    <w:rsid w:val="1D3E783E"/>
    <w:rsid w:val="1D4604A0"/>
    <w:rsid w:val="1D804E1C"/>
    <w:rsid w:val="1D822468"/>
    <w:rsid w:val="1D903E12"/>
    <w:rsid w:val="1DA11B98"/>
    <w:rsid w:val="1DA43419"/>
    <w:rsid w:val="1DAD0520"/>
    <w:rsid w:val="1DAE2E4B"/>
    <w:rsid w:val="1DC51D0D"/>
    <w:rsid w:val="1DE55F0B"/>
    <w:rsid w:val="1DF0665E"/>
    <w:rsid w:val="1E2C7696"/>
    <w:rsid w:val="1E484B4A"/>
    <w:rsid w:val="1E49403F"/>
    <w:rsid w:val="1E58492F"/>
    <w:rsid w:val="1E6E5F01"/>
    <w:rsid w:val="1EA50BD9"/>
    <w:rsid w:val="1ECE2E43"/>
    <w:rsid w:val="1EEB7551"/>
    <w:rsid w:val="1EF74148"/>
    <w:rsid w:val="1EFA7794"/>
    <w:rsid w:val="1EFF2FFD"/>
    <w:rsid w:val="1F10520A"/>
    <w:rsid w:val="1F15637C"/>
    <w:rsid w:val="1F1840BF"/>
    <w:rsid w:val="1F185E6D"/>
    <w:rsid w:val="1F301408"/>
    <w:rsid w:val="1F3044ED"/>
    <w:rsid w:val="1F3412F1"/>
    <w:rsid w:val="1F444EB4"/>
    <w:rsid w:val="1F6D61B8"/>
    <w:rsid w:val="1F707A57"/>
    <w:rsid w:val="1F8E612F"/>
    <w:rsid w:val="1FA92F69"/>
    <w:rsid w:val="1FAE1AA5"/>
    <w:rsid w:val="1FBB3882"/>
    <w:rsid w:val="1FC06E59"/>
    <w:rsid w:val="1FCA1DA7"/>
    <w:rsid w:val="1FCB6E3E"/>
    <w:rsid w:val="1FD7246A"/>
    <w:rsid w:val="1FDF0AB1"/>
    <w:rsid w:val="200902A2"/>
    <w:rsid w:val="202B07D6"/>
    <w:rsid w:val="20511636"/>
    <w:rsid w:val="20745325"/>
    <w:rsid w:val="20765541"/>
    <w:rsid w:val="20857532"/>
    <w:rsid w:val="208A4B48"/>
    <w:rsid w:val="20914128"/>
    <w:rsid w:val="2092148C"/>
    <w:rsid w:val="209B6D55"/>
    <w:rsid w:val="20C53DD2"/>
    <w:rsid w:val="20D109C9"/>
    <w:rsid w:val="20D64231"/>
    <w:rsid w:val="20F12AC3"/>
    <w:rsid w:val="20F12E19"/>
    <w:rsid w:val="20F16975"/>
    <w:rsid w:val="20F841A8"/>
    <w:rsid w:val="21093CBF"/>
    <w:rsid w:val="211803A6"/>
    <w:rsid w:val="211A2370"/>
    <w:rsid w:val="211B39F2"/>
    <w:rsid w:val="212136FE"/>
    <w:rsid w:val="21246D4B"/>
    <w:rsid w:val="213D0C17"/>
    <w:rsid w:val="213F7FC0"/>
    <w:rsid w:val="21625AFD"/>
    <w:rsid w:val="21706DE3"/>
    <w:rsid w:val="2177331E"/>
    <w:rsid w:val="21837F15"/>
    <w:rsid w:val="218617B3"/>
    <w:rsid w:val="21867A05"/>
    <w:rsid w:val="218F4CD2"/>
    <w:rsid w:val="21983295"/>
    <w:rsid w:val="21A8797C"/>
    <w:rsid w:val="21B856E5"/>
    <w:rsid w:val="21BF0821"/>
    <w:rsid w:val="21BF6A73"/>
    <w:rsid w:val="21C228B7"/>
    <w:rsid w:val="21CB18BC"/>
    <w:rsid w:val="21D00C81"/>
    <w:rsid w:val="21FC1A76"/>
    <w:rsid w:val="21FC7CC7"/>
    <w:rsid w:val="22274D44"/>
    <w:rsid w:val="22460F43"/>
    <w:rsid w:val="226F0499"/>
    <w:rsid w:val="2274785E"/>
    <w:rsid w:val="227939BB"/>
    <w:rsid w:val="22833F45"/>
    <w:rsid w:val="22877591"/>
    <w:rsid w:val="228D26CE"/>
    <w:rsid w:val="22A92AD4"/>
    <w:rsid w:val="22AC263C"/>
    <w:rsid w:val="22AF0896"/>
    <w:rsid w:val="22BB723B"/>
    <w:rsid w:val="22BD7457"/>
    <w:rsid w:val="22C73E32"/>
    <w:rsid w:val="22DB3D01"/>
    <w:rsid w:val="22E177D9"/>
    <w:rsid w:val="22FF35CB"/>
    <w:rsid w:val="230E1A60"/>
    <w:rsid w:val="230F5F30"/>
    <w:rsid w:val="233C481F"/>
    <w:rsid w:val="23445482"/>
    <w:rsid w:val="23580F2E"/>
    <w:rsid w:val="236553F8"/>
    <w:rsid w:val="2369138D"/>
    <w:rsid w:val="236B7037"/>
    <w:rsid w:val="237815D0"/>
    <w:rsid w:val="238166D6"/>
    <w:rsid w:val="23902475"/>
    <w:rsid w:val="239062B2"/>
    <w:rsid w:val="23A3664D"/>
    <w:rsid w:val="23CE2F9E"/>
    <w:rsid w:val="23D36806"/>
    <w:rsid w:val="23DD3B82"/>
    <w:rsid w:val="23F24EDE"/>
    <w:rsid w:val="23FA12B9"/>
    <w:rsid w:val="2409047A"/>
    <w:rsid w:val="240971E3"/>
    <w:rsid w:val="241E7520"/>
    <w:rsid w:val="241F1A4B"/>
    <w:rsid w:val="241F37F9"/>
    <w:rsid w:val="24286B52"/>
    <w:rsid w:val="24410DB7"/>
    <w:rsid w:val="24765B0F"/>
    <w:rsid w:val="247E367B"/>
    <w:rsid w:val="248329ED"/>
    <w:rsid w:val="248A4491"/>
    <w:rsid w:val="24967F5F"/>
    <w:rsid w:val="24B46637"/>
    <w:rsid w:val="24C74DF4"/>
    <w:rsid w:val="24D12D46"/>
    <w:rsid w:val="24DF1B22"/>
    <w:rsid w:val="24F1163A"/>
    <w:rsid w:val="24F46A34"/>
    <w:rsid w:val="25056D80"/>
    <w:rsid w:val="250C1FD0"/>
    <w:rsid w:val="25115838"/>
    <w:rsid w:val="25237319"/>
    <w:rsid w:val="2524556B"/>
    <w:rsid w:val="254479BB"/>
    <w:rsid w:val="25461985"/>
    <w:rsid w:val="25806FEC"/>
    <w:rsid w:val="259A75DB"/>
    <w:rsid w:val="25A44E0F"/>
    <w:rsid w:val="25CD5C03"/>
    <w:rsid w:val="25D074A1"/>
    <w:rsid w:val="25DD396C"/>
    <w:rsid w:val="25E92311"/>
    <w:rsid w:val="25FF1B34"/>
    <w:rsid w:val="26086C3B"/>
    <w:rsid w:val="261C4494"/>
    <w:rsid w:val="261E645E"/>
    <w:rsid w:val="26306192"/>
    <w:rsid w:val="265579A6"/>
    <w:rsid w:val="265A320F"/>
    <w:rsid w:val="265B126E"/>
    <w:rsid w:val="265E2CFF"/>
    <w:rsid w:val="26751DF6"/>
    <w:rsid w:val="267D26D4"/>
    <w:rsid w:val="2685028B"/>
    <w:rsid w:val="268A58A2"/>
    <w:rsid w:val="268F110A"/>
    <w:rsid w:val="269146F2"/>
    <w:rsid w:val="269B7AAF"/>
    <w:rsid w:val="269F0C21"/>
    <w:rsid w:val="26A30712"/>
    <w:rsid w:val="26B40B71"/>
    <w:rsid w:val="26B76A93"/>
    <w:rsid w:val="26BC7A25"/>
    <w:rsid w:val="26C32B62"/>
    <w:rsid w:val="26CA3A81"/>
    <w:rsid w:val="26F251F5"/>
    <w:rsid w:val="26F70A5D"/>
    <w:rsid w:val="270245A5"/>
    <w:rsid w:val="27082C6B"/>
    <w:rsid w:val="270E64D3"/>
    <w:rsid w:val="270F4C49"/>
    <w:rsid w:val="271B246D"/>
    <w:rsid w:val="27421CD9"/>
    <w:rsid w:val="27CE17BE"/>
    <w:rsid w:val="27E05829"/>
    <w:rsid w:val="27F46B71"/>
    <w:rsid w:val="281302A3"/>
    <w:rsid w:val="2826333B"/>
    <w:rsid w:val="282E0988"/>
    <w:rsid w:val="28416434"/>
    <w:rsid w:val="286E6AFD"/>
    <w:rsid w:val="28B9246E"/>
    <w:rsid w:val="28BA1D43"/>
    <w:rsid w:val="28D01566"/>
    <w:rsid w:val="28ED2118"/>
    <w:rsid w:val="28F2772E"/>
    <w:rsid w:val="29023E15"/>
    <w:rsid w:val="290C4C94"/>
    <w:rsid w:val="2937635E"/>
    <w:rsid w:val="2939710B"/>
    <w:rsid w:val="293B10D5"/>
    <w:rsid w:val="2973261D"/>
    <w:rsid w:val="29842A7C"/>
    <w:rsid w:val="29883BEF"/>
    <w:rsid w:val="29A0362E"/>
    <w:rsid w:val="29AE7AF9"/>
    <w:rsid w:val="29AF561F"/>
    <w:rsid w:val="29B17638"/>
    <w:rsid w:val="29B33362"/>
    <w:rsid w:val="29C72C3A"/>
    <w:rsid w:val="29DE3ED0"/>
    <w:rsid w:val="29F00112"/>
    <w:rsid w:val="2A0C2A72"/>
    <w:rsid w:val="2A0E2181"/>
    <w:rsid w:val="2A0E6CBE"/>
    <w:rsid w:val="2A181417"/>
    <w:rsid w:val="2A1C2CB5"/>
    <w:rsid w:val="2A2B2EF8"/>
    <w:rsid w:val="2A351FC9"/>
    <w:rsid w:val="2A41271B"/>
    <w:rsid w:val="2A6E7289"/>
    <w:rsid w:val="2A905451"/>
    <w:rsid w:val="2A930A9D"/>
    <w:rsid w:val="2A97173C"/>
    <w:rsid w:val="2AA170D3"/>
    <w:rsid w:val="2AEB08D9"/>
    <w:rsid w:val="2AF92FF6"/>
    <w:rsid w:val="2B050CFF"/>
    <w:rsid w:val="2B05199B"/>
    <w:rsid w:val="2B0D6AA1"/>
    <w:rsid w:val="2B1240B8"/>
    <w:rsid w:val="2B211492"/>
    <w:rsid w:val="2B285689"/>
    <w:rsid w:val="2B3B360F"/>
    <w:rsid w:val="2B6A5CA2"/>
    <w:rsid w:val="2B6F23ED"/>
    <w:rsid w:val="2B7408CF"/>
    <w:rsid w:val="2B77216D"/>
    <w:rsid w:val="2B797443"/>
    <w:rsid w:val="2B8D373E"/>
    <w:rsid w:val="2B91322F"/>
    <w:rsid w:val="2B966A97"/>
    <w:rsid w:val="2BA54F2C"/>
    <w:rsid w:val="2BB138D1"/>
    <w:rsid w:val="2BBD70D2"/>
    <w:rsid w:val="2BC453B2"/>
    <w:rsid w:val="2BD1187D"/>
    <w:rsid w:val="2BD55811"/>
    <w:rsid w:val="2BE47802"/>
    <w:rsid w:val="2BE9306B"/>
    <w:rsid w:val="2BED00B7"/>
    <w:rsid w:val="2BEE3121"/>
    <w:rsid w:val="2BF37A45"/>
    <w:rsid w:val="2BFD6B16"/>
    <w:rsid w:val="2BFF63EA"/>
    <w:rsid w:val="2C023E73"/>
    <w:rsid w:val="2C077995"/>
    <w:rsid w:val="2C174547"/>
    <w:rsid w:val="2C491D5B"/>
    <w:rsid w:val="2C496917"/>
    <w:rsid w:val="2C640943"/>
    <w:rsid w:val="2C970D19"/>
    <w:rsid w:val="2C9C2162"/>
    <w:rsid w:val="2C9D2348"/>
    <w:rsid w:val="2CBC077F"/>
    <w:rsid w:val="2CC17B44"/>
    <w:rsid w:val="2D297E19"/>
    <w:rsid w:val="2D2D6F87"/>
    <w:rsid w:val="2D391DD0"/>
    <w:rsid w:val="2D3D4257"/>
    <w:rsid w:val="2D485B6F"/>
    <w:rsid w:val="2D4A18E7"/>
    <w:rsid w:val="2D546C0A"/>
    <w:rsid w:val="2D585F21"/>
    <w:rsid w:val="2D6055AE"/>
    <w:rsid w:val="2D685FC7"/>
    <w:rsid w:val="2D7C3A6A"/>
    <w:rsid w:val="2D8A43D9"/>
    <w:rsid w:val="2D8F7C42"/>
    <w:rsid w:val="2D95462C"/>
    <w:rsid w:val="2D962D7E"/>
    <w:rsid w:val="2D9862F2"/>
    <w:rsid w:val="2DB17BB8"/>
    <w:rsid w:val="2DB94CBF"/>
    <w:rsid w:val="2DBB4593"/>
    <w:rsid w:val="2DD85145"/>
    <w:rsid w:val="2DDB4F34"/>
    <w:rsid w:val="2DF45CF7"/>
    <w:rsid w:val="2DFE6398"/>
    <w:rsid w:val="2E1A39AF"/>
    <w:rsid w:val="2E1F0FC6"/>
    <w:rsid w:val="2E2C0F7E"/>
    <w:rsid w:val="2E3305CD"/>
    <w:rsid w:val="2E3F76F9"/>
    <w:rsid w:val="2E4C78E1"/>
    <w:rsid w:val="2E586286"/>
    <w:rsid w:val="2E674FE3"/>
    <w:rsid w:val="2E6C3ADF"/>
    <w:rsid w:val="2E7E481A"/>
    <w:rsid w:val="2E895F88"/>
    <w:rsid w:val="2E8B21B7"/>
    <w:rsid w:val="2E9B161E"/>
    <w:rsid w:val="2E9C43C4"/>
    <w:rsid w:val="2ECB6A58"/>
    <w:rsid w:val="2ED022C0"/>
    <w:rsid w:val="2EF22236"/>
    <w:rsid w:val="2EF91817"/>
    <w:rsid w:val="2F012479"/>
    <w:rsid w:val="2F0D014A"/>
    <w:rsid w:val="2F2443BA"/>
    <w:rsid w:val="2F2C2B98"/>
    <w:rsid w:val="2F3E547B"/>
    <w:rsid w:val="2F48454C"/>
    <w:rsid w:val="2F603644"/>
    <w:rsid w:val="2F68699C"/>
    <w:rsid w:val="2F752568"/>
    <w:rsid w:val="2F9432ED"/>
    <w:rsid w:val="2F971030"/>
    <w:rsid w:val="2FB71881"/>
    <w:rsid w:val="2FB93E30"/>
    <w:rsid w:val="2FC021F3"/>
    <w:rsid w:val="2FD23E16"/>
    <w:rsid w:val="2FE853E7"/>
    <w:rsid w:val="2FF4615F"/>
    <w:rsid w:val="2FF63413"/>
    <w:rsid w:val="30061DB6"/>
    <w:rsid w:val="30161389"/>
    <w:rsid w:val="30227315"/>
    <w:rsid w:val="30240B15"/>
    <w:rsid w:val="3034552F"/>
    <w:rsid w:val="303926DC"/>
    <w:rsid w:val="30556326"/>
    <w:rsid w:val="305D4040"/>
    <w:rsid w:val="30656A38"/>
    <w:rsid w:val="306A10C1"/>
    <w:rsid w:val="30901D07"/>
    <w:rsid w:val="30963095"/>
    <w:rsid w:val="309A4933"/>
    <w:rsid w:val="309D1159"/>
    <w:rsid w:val="309D4424"/>
    <w:rsid w:val="30C36EC5"/>
    <w:rsid w:val="30D047F9"/>
    <w:rsid w:val="30D434F9"/>
    <w:rsid w:val="30DA75E4"/>
    <w:rsid w:val="30F878AC"/>
    <w:rsid w:val="30FE4C1A"/>
    <w:rsid w:val="310F3573"/>
    <w:rsid w:val="31132938"/>
    <w:rsid w:val="31172428"/>
    <w:rsid w:val="311A5A74"/>
    <w:rsid w:val="3126266B"/>
    <w:rsid w:val="31305298"/>
    <w:rsid w:val="31377B0B"/>
    <w:rsid w:val="313844C5"/>
    <w:rsid w:val="313F54DB"/>
    <w:rsid w:val="315115A8"/>
    <w:rsid w:val="31532D34"/>
    <w:rsid w:val="31566C4A"/>
    <w:rsid w:val="316B2774"/>
    <w:rsid w:val="31720ADD"/>
    <w:rsid w:val="31774C75"/>
    <w:rsid w:val="317B29B7"/>
    <w:rsid w:val="318850D4"/>
    <w:rsid w:val="318F0210"/>
    <w:rsid w:val="31906DAB"/>
    <w:rsid w:val="31A024CE"/>
    <w:rsid w:val="31AA3A6B"/>
    <w:rsid w:val="31CE331C"/>
    <w:rsid w:val="31D9592F"/>
    <w:rsid w:val="31DB724B"/>
    <w:rsid w:val="31E87C92"/>
    <w:rsid w:val="31F53655"/>
    <w:rsid w:val="31FD39C8"/>
    <w:rsid w:val="320F3E6F"/>
    <w:rsid w:val="32186458"/>
    <w:rsid w:val="321C6E50"/>
    <w:rsid w:val="323E5792"/>
    <w:rsid w:val="32430FFB"/>
    <w:rsid w:val="3244724D"/>
    <w:rsid w:val="32496611"/>
    <w:rsid w:val="32715B68"/>
    <w:rsid w:val="327F2033"/>
    <w:rsid w:val="32821B23"/>
    <w:rsid w:val="328533C1"/>
    <w:rsid w:val="32902492"/>
    <w:rsid w:val="32935ADE"/>
    <w:rsid w:val="32A93554"/>
    <w:rsid w:val="32B72DD0"/>
    <w:rsid w:val="32C739DA"/>
    <w:rsid w:val="32FA3DAF"/>
    <w:rsid w:val="33000F4D"/>
    <w:rsid w:val="33024A12"/>
    <w:rsid w:val="33030EB6"/>
    <w:rsid w:val="330B7D6A"/>
    <w:rsid w:val="33122EA7"/>
    <w:rsid w:val="332B21BB"/>
    <w:rsid w:val="33423060"/>
    <w:rsid w:val="334C7BCC"/>
    <w:rsid w:val="335F1E64"/>
    <w:rsid w:val="33613E2E"/>
    <w:rsid w:val="337C6572"/>
    <w:rsid w:val="338B2C59"/>
    <w:rsid w:val="339715FE"/>
    <w:rsid w:val="33995376"/>
    <w:rsid w:val="33B34BC8"/>
    <w:rsid w:val="33BE302F"/>
    <w:rsid w:val="33CF0D98"/>
    <w:rsid w:val="33D60378"/>
    <w:rsid w:val="33FD21E4"/>
    <w:rsid w:val="34036C94"/>
    <w:rsid w:val="340A0022"/>
    <w:rsid w:val="342F27C8"/>
    <w:rsid w:val="345E036E"/>
    <w:rsid w:val="34632FD8"/>
    <w:rsid w:val="346D7C8B"/>
    <w:rsid w:val="34806536"/>
    <w:rsid w:val="34822A88"/>
    <w:rsid w:val="34897199"/>
    <w:rsid w:val="349A75F8"/>
    <w:rsid w:val="34A00474"/>
    <w:rsid w:val="34A73AC3"/>
    <w:rsid w:val="34AE30A3"/>
    <w:rsid w:val="34CC177B"/>
    <w:rsid w:val="34DA1676"/>
    <w:rsid w:val="34E24AFB"/>
    <w:rsid w:val="34E56399"/>
    <w:rsid w:val="34EC7728"/>
    <w:rsid w:val="34F211E2"/>
    <w:rsid w:val="34F52A80"/>
    <w:rsid w:val="35026356"/>
    <w:rsid w:val="351004EC"/>
    <w:rsid w:val="35262C3A"/>
    <w:rsid w:val="353006BF"/>
    <w:rsid w:val="35341416"/>
    <w:rsid w:val="353466F6"/>
    <w:rsid w:val="353C245D"/>
    <w:rsid w:val="354D466A"/>
    <w:rsid w:val="35773495"/>
    <w:rsid w:val="357F234A"/>
    <w:rsid w:val="35831E3A"/>
    <w:rsid w:val="35A26038"/>
    <w:rsid w:val="35AC4A89"/>
    <w:rsid w:val="35B867A6"/>
    <w:rsid w:val="35CB37E1"/>
    <w:rsid w:val="35DC59EE"/>
    <w:rsid w:val="35E53C5E"/>
    <w:rsid w:val="35EE24BB"/>
    <w:rsid w:val="360F7B72"/>
    <w:rsid w:val="3623361D"/>
    <w:rsid w:val="36370E76"/>
    <w:rsid w:val="3639699D"/>
    <w:rsid w:val="36454AF6"/>
    <w:rsid w:val="366A6525"/>
    <w:rsid w:val="366E2AEA"/>
    <w:rsid w:val="36727B5E"/>
    <w:rsid w:val="368A2C42"/>
    <w:rsid w:val="368D0A96"/>
    <w:rsid w:val="36B973A6"/>
    <w:rsid w:val="36C12761"/>
    <w:rsid w:val="36C941C4"/>
    <w:rsid w:val="36CA1CEB"/>
    <w:rsid w:val="36CE17DB"/>
    <w:rsid w:val="36D30B9F"/>
    <w:rsid w:val="36EC7EB3"/>
    <w:rsid w:val="36FD79CA"/>
    <w:rsid w:val="37046FAB"/>
    <w:rsid w:val="37321D6A"/>
    <w:rsid w:val="374675C3"/>
    <w:rsid w:val="3756532C"/>
    <w:rsid w:val="375872F6"/>
    <w:rsid w:val="376B702A"/>
    <w:rsid w:val="376E6B1A"/>
    <w:rsid w:val="376F1E40"/>
    <w:rsid w:val="37751C56"/>
    <w:rsid w:val="377C1237"/>
    <w:rsid w:val="37920A5A"/>
    <w:rsid w:val="37A3615F"/>
    <w:rsid w:val="37A57DC9"/>
    <w:rsid w:val="37B4237D"/>
    <w:rsid w:val="37B85F09"/>
    <w:rsid w:val="37BC7885"/>
    <w:rsid w:val="37C579BF"/>
    <w:rsid w:val="37D03A6B"/>
    <w:rsid w:val="37E1109A"/>
    <w:rsid w:val="37FE7E9E"/>
    <w:rsid w:val="380368FB"/>
    <w:rsid w:val="380B24F4"/>
    <w:rsid w:val="381A45AC"/>
    <w:rsid w:val="38422BA3"/>
    <w:rsid w:val="385E6B8E"/>
    <w:rsid w:val="387E4B3B"/>
    <w:rsid w:val="388252B3"/>
    <w:rsid w:val="388A7983"/>
    <w:rsid w:val="38995E18"/>
    <w:rsid w:val="38B501DA"/>
    <w:rsid w:val="38C17494"/>
    <w:rsid w:val="38CC58A6"/>
    <w:rsid w:val="38CD161E"/>
    <w:rsid w:val="38EB3928"/>
    <w:rsid w:val="38EE029C"/>
    <w:rsid w:val="38F117B0"/>
    <w:rsid w:val="39131727"/>
    <w:rsid w:val="391D25A6"/>
    <w:rsid w:val="3922772E"/>
    <w:rsid w:val="39360CDF"/>
    <w:rsid w:val="393D0552"/>
    <w:rsid w:val="394538AA"/>
    <w:rsid w:val="3958119C"/>
    <w:rsid w:val="397A17A6"/>
    <w:rsid w:val="3986014B"/>
    <w:rsid w:val="39914B4E"/>
    <w:rsid w:val="39B36A66"/>
    <w:rsid w:val="39B50A30"/>
    <w:rsid w:val="39B60304"/>
    <w:rsid w:val="39CD7B28"/>
    <w:rsid w:val="39D2513E"/>
    <w:rsid w:val="39DC5FBD"/>
    <w:rsid w:val="39DC7D6B"/>
    <w:rsid w:val="39E135D3"/>
    <w:rsid w:val="39E76710"/>
    <w:rsid w:val="39E906DA"/>
    <w:rsid w:val="39F41558"/>
    <w:rsid w:val="3A0B68A2"/>
    <w:rsid w:val="3A1C460B"/>
    <w:rsid w:val="3A347BA7"/>
    <w:rsid w:val="3A383CB2"/>
    <w:rsid w:val="3A461688"/>
    <w:rsid w:val="3A9F434E"/>
    <w:rsid w:val="3AB40CE8"/>
    <w:rsid w:val="3AC6638E"/>
    <w:rsid w:val="3ADB44C6"/>
    <w:rsid w:val="3AED5FA8"/>
    <w:rsid w:val="3AFF6407"/>
    <w:rsid w:val="3B1B0D67"/>
    <w:rsid w:val="3B1C66FB"/>
    <w:rsid w:val="3B2E0A9A"/>
    <w:rsid w:val="3B352408"/>
    <w:rsid w:val="3B381919"/>
    <w:rsid w:val="3B385475"/>
    <w:rsid w:val="3B4574A4"/>
    <w:rsid w:val="3B5F6EA5"/>
    <w:rsid w:val="3B707EB1"/>
    <w:rsid w:val="3B7B1805"/>
    <w:rsid w:val="3B7C7A57"/>
    <w:rsid w:val="3B7F56B8"/>
    <w:rsid w:val="3BD61A9A"/>
    <w:rsid w:val="3BDF1913"/>
    <w:rsid w:val="3BEE1FD7"/>
    <w:rsid w:val="3BF33A92"/>
    <w:rsid w:val="3BF84C04"/>
    <w:rsid w:val="3BFA35D5"/>
    <w:rsid w:val="3BFA79EA"/>
    <w:rsid w:val="3C0B0DDB"/>
    <w:rsid w:val="3C0B4937"/>
    <w:rsid w:val="3C0E2679"/>
    <w:rsid w:val="3C153A08"/>
    <w:rsid w:val="3C181106"/>
    <w:rsid w:val="3C1E28BD"/>
    <w:rsid w:val="3C202EE7"/>
    <w:rsid w:val="3C261771"/>
    <w:rsid w:val="3C2E6878"/>
    <w:rsid w:val="3C320447"/>
    <w:rsid w:val="3C553E04"/>
    <w:rsid w:val="3C85293C"/>
    <w:rsid w:val="3C9E06C0"/>
    <w:rsid w:val="3CAC57BB"/>
    <w:rsid w:val="3CAC611A"/>
    <w:rsid w:val="3CB52AF5"/>
    <w:rsid w:val="3CCF1E09"/>
    <w:rsid w:val="3CD15B81"/>
    <w:rsid w:val="3CED6733"/>
    <w:rsid w:val="3D015D3A"/>
    <w:rsid w:val="3D136199"/>
    <w:rsid w:val="3D1912D6"/>
    <w:rsid w:val="3D191A4D"/>
    <w:rsid w:val="3D202664"/>
    <w:rsid w:val="3D347271"/>
    <w:rsid w:val="3D453E79"/>
    <w:rsid w:val="3D5D5666"/>
    <w:rsid w:val="3D5F689F"/>
    <w:rsid w:val="3D687B67"/>
    <w:rsid w:val="3D840E45"/>
    <w:rsid w:val="3DA91EB2"/>
    <w:rsid w:val="3DA9265A"/>
    <w:rsid w:val="3DBE3AF9"/>
    <w:rsid w:val="3DC079A3"/>
    <w:rsid w:val="3DC47494"/>
    <w:rsid w:val="3DC64DDF"/>
    <w:rsid w:val="3DD05E38"/>
    <w:rsid w:val="3DD11BB1"/>
    <w:rsid w:val="3DDD2303"/>
    <w:rsid w:val="3DDF370F"/>
    <w:rsid w:val="3DFB432B"/>
    <w:rsid w:val="3E0B30B8"/>
    <w:rsid w:val="3E230732"/>
    <w:rsid w:val="3E2B12C1"/>
    <w:rsid w:val="3E3F4D6C"/>
    <w:rsid w:val="3E4C5AAA"/>
    <w:rsid w:val="3E8E17C7"/>
    <w:rsid w:val="3E8F7AA2"/>
    <w:rsid w:val="3E9F1779"/>
    <w:rsid w:val="3EAF3CA0"/>
    <w:rsid w:val="3EB72B54"/>
    <w:rsid w:val="3EC31CC5"/>
    <w:rsid w:val="3ED737ED"/>
    <w:rsid w:val="3EDB2CE7"/>
    <w:rsid w:val="3EE55913"/>
    <w:rsid w:val="3EF06066"/>
    <w:rsid w:val="3EFB0C93"/>
    <w:rsid w:val="3F055FB6"/>
    <w:rsid w:val="3F132C69"/>
    <w:rsid w:val="3F147FA7"/>
    <w:rsid w:val="3F2521B4"/>
    <w:rsid w:val="3F577E93"/>
    <w:rsid w:val="3F5C7DD5"/>
    <w:rsid w:val="3F66303C"/>
    <w:rsid w:val="3F823162"/>
    <w:rsid w:val="3F836EDA"/>
    <w:rsid w:val="3FA70E1B"/>
    <w:rsid w:val="3FC45529"/>
    <w:rsid w:val="3FF848D3"/>
    <w:rsid w:val="40060AEF"/>
    <w:rsid w:val="4010076E"/>
    <w:rsid w:val="40210BCD"/>
    <w:rsid w:val="40267F92"/>
    <w:rsid w:val="40334C02"/>
    <w:rsid w:val="403A3A3D"/>
    <w:rsid w:val="405368AD"/>
    <w:rsid w:val="406225EF"/>
    <w:rsid w:val="40645361"/>
    <w:rsid w:val="407451A1"/>
    <w:rsid w:val="40754A75"/>
    <w:rsid w:val="407927B7"/>
    <w:rsid w:val="407E6EA9"/>
    <w:rsid w:val="40805350"/>
    <w:rsid w:val="40870327"/>
    <w:rsid w:val="408F77C2"/>
    <w:rsid w:val="4090365D"/>
    <w:rsid w:val="40970E8F"/>
    <w:rsid w:val="40A37834"/>
    <w:rsid w:val="40A52E1C"/>
    <w:rsid w:val="40C477AB"/>
    <w:rsid w:val="40C672BD"/>
    <w:rsid w:val="40C81049"/>
    <w:rsid w:val="40D45C40"/>
    <w:rsid w:val="40D53766"/>
    <w:rsid w:val="40F956A6"/>
    <w:rsid w:val="41024986"/>
    <w:rsid w:val="41175B2C"/>
    <w:rsid w:val="411B386E"/>
    <w:rsid w:val="41324C34"/>
    <w:rsid w:val="4134048C"/>
    <w:rsid w:val="414032D5"/>
    <w:rsid w:val="41432DC5"/>
    <w:rsid w:val="41436921"/>
    <w:rsid w:val="414D154E"/>
    <w:rsid w:val="414F3518"/>
    <w:rsid w:val="415B010F"/>
    <w:rsid w:val="41601281"/>
    <w:rsid w:val="41611946"/>
    <w:rsid w:val="417A7D46"/>
    <w:rsid w:val="41847666"/>
    <w:rsid w:val="41B23984"/>
    <w:rsid w:val="41B31CF9"/>
    <w:rsid w:val="41B4781F"/>
    <w:rsid w:val="41CC2DBB"/>
    <w:rsid w:val="41D1217F"/>
    <w:rsid w:val="41D476EB"/>
    <w:rsid w:val="41DE4E43"/>
    <w:rsid w:val="41E33C60"/>
    <w:rsid w:val="41F145CF"/>
    <w:rsid w:val="41F1637D"/>
    <w:rsid w:val="420C1409"/>
    <w:rsid w:val="42116A20"/>
    <w:rsid w:val="42277FF1"/>
    <w:rsid w:val="422C1AAB"/>
    <w:rsid w:val="423170C2"/>
    <w:rsid w:val="424E1A22"/>
    <w:rsid w:val="42507548"/>
    <w:rsid w:val="42514A42"/>
    <w:rsid w:val="4262727B"/>
    <w:rsid w:val="427F7E2D"/>
    <w:rsid w:val="42835EF4"/>
    <w:rsid w:val="429F227D"/>
    <w:rsid w:val="42AF436E"/>
    <w:rsid w:val="42B23D5F"/>
    <w:rsid w:val="42B5717F"/>
    <w:rsid w:val="42C136D2"/>
    <w:rsid w:val="42D207EE"/>
    <w:rsid w:val="42E67EAC"/>
    <w:rsid w:val="42F30A76"/>
    <w:rsid w:val="42FA74B4"/>
    <w:rsid w:val="430215D1"/>
    <w:rsid w:val="430A3F67"/>
    <w:rsid w:val="4320516C"/>
    <w:rsid w:val="432B58BF"/>
    <w:rsid w:val="433B1FA6"/>
    <w:rsid w:val="434D1CD9"/>
    <w:rsid w:val="4359242C"/>
    <w:rsid w:val="436314FD"/>
    <w:rsid w:val="436A63E7"/>
    <w:rsid w:val="437B23A2"/>
    <w:rsid w:val="43803E5D"/>
    <w:rsid w:val="43911BC6"/>
    <w:rsid w:val="43972F54"/>
    <w:rsid w:val="43BC2E35"/>
    <w:rsid w:val="43D07143"/>
    <w:rsid w:val="43D23F8D"/>
    <w:rsid w:val="440A3726"/>
    <w:rsid w:val="441E71D2"/>
    <w:rsid w:val="44213356"/>
    <w:rsid w:val="442962A2"/>
    <w:rsid w:val="444A6219"/>
    <w:rsid w:val="44625310"/>
    <w:rsid w:val="4469092A"/>
    <w:rsid w:val="446C43E1"/>
    <w:rsid w:val="447137A5"/>
    <w:rsid w:val="4477138A"/>
    <w:rsid w:val="4492209A"/>
    <w:rsid w:val="44B00772"/>
    <w:rsid w:val="44C935E1"/>
    <w:rsid w:val="44CD30D2"/>
    <w:rsid w:val="44F7014F"/>
    <w:rsid w:val="44FC39B7"/>
    <w:rsid w:val="45034D45"/>
    <w:rsid w:val="450A60D4"/>
    <w:rsid w:val="4530540F"/>
    <w:rsid w:val="453F3D5D"/>
    <w:rsid w:val="45533430"/>
    <w:rsid w:val="456A6B72"/>
    <w:rsid w:val="45913DE9"/>
    <w:rsid w:val="45A33E32"/>
    <w:rsid w:val="45B61FE8"/>
    <w:rsid w:val="45B93656"/>
    <w:rsid w:val="45C81AEB"/>
    <w:rsid w:val="45C920D3"/>
    <w:rsid w:val="45D64208"/>
    <w:rsid w:val="45D71D2E"/>
    <w:rsid w:val="46031CB0"/>
    <w:rsid w:val="460C19D8"/>
    <w:rsid w:val="46344937"/>
    <w:rsid w:val="46454EEA"/>
    <w:rsid w:val="46483133"/>
    <w:rsid w:val="464A0752"/>
    <w:rsid w:val="464A1BFE"/>
    <w:rsid w:val="464E0242"/>
    <w:rsid w:val="46527201"/>
    <w:rsid w:val="466510E8"/>
    <w:rsid w:val="466A4950"/>
    <w:rsid w:val="46712183"/>
    <w:rsid w:val="467632F5"/>
    <w:rsid w:val="468123C6"/>
    <w:rsid w:val="46845A12"/>
    <w:rsid w:val="46A240EA"/>
    <w:rsid w:val="46AE4ED9"/>
    <w:rsid w:val="46B30DE6"/>
    <w:rsid w:val="46D22C21"/>
    <w:rsid w:val="46DB328A"/>
    <w:rsid w:val="4703102D"/>
    <w:rsid w:val="47082F4F"/>
    <w:rsid w:val="470D1EAB"/>
    <w:rsid w:val="4718679D"/>
    <w:rsid w:val="47264D1B"/>
    <w:rsid w:val="473311E6"/>
    <w:rsid w:val="47473012"/>
    <w:rsid w:val="474F17A4"/>
    <w:rsid w:val="47525B10"/>
    <w:rsid w:val="47867568"/>
    <w:rsid w:val="478B1022"/>
    <w:rsid w:val="47950089"/>
    <w:rsid w:val="479B7F61"/>
    <w:rsid w:val="47B47B3D"/>
    <w:rsid w:val="47B73BC5"/>
    <w:rsid w:val="47D6229D"/>
    <w:rsid w:val="47D91D8D"/>
    <w:rsid w:val="47E86299"/>
    <w:rsid w:val="47F6293F"/>
    <w:rsid w:val="47FB1307"/>
    <w:rsid w:val="480F155C"/>
    <w:rsid w:val="48153C8D"/>
    <w:rsid w:val="48194F9E"/>
    <w:rsid w:val="481E0235"/>
    <w:rsid w:val="48272AF9"/>
    <w:rsid w:val="48390B53"/>
    <w:rsid w:val="484D0E76"/>
    <w:rsid w:val="486F44A0"/>
    <w:rsid w:val="4871646A"/>
    <w:rsid w:val="48746518"/>
    <w:rsid w:val="488E2B78"/>
    <w:rsid w:val="48BA396D"/>
    <w:rsid w:val="48CB5B7A"/>
    <w:rsid w:val="48D842C5"/>
    <w:rsid w:val="48E36524"/>
    <w:rsid w:val="48ED1CCD"/>
    <w:rsid w:val="48F055E1"/>
    <w:rsid w:val="48F13107"/>
    <w:rsid w:val="48F549A5"/>
    <w:rsid w:val="48F6071D"/>
    <w:rsid w:val="48F7696F"/>
    <w:rsid w:val="49060960"/>
    <w:rsid w:val="491D5915"/>
    <w:rsid w:val="492E7EB7"/>
    <w:rsid w:val="49331971"/>
    <w:rsid w:val="49373210"/>
    <w:rsid w:val="493C2BF3"/>
    <w:rsid w:val="49543DC1"/>
    <w:rsid w:val="495A5150"/>
    <w:rsid w:val="495A6EFE"/>
    <w:rsid w:val="498B21B5"/>
    <w:rsid w:val="499A554C"/>
    <w:rsid w:val="499F0DB5"/>
    <w:rsid w:val="49A841AD"/>
    <w:rsid w:val="49BC1967"/>
    <w:rsid w:val="49BF4FB3"/>
    <w:rsid w:val="49C46DF2"/>
    <w:rsid w:val="49CB3958"/>
    <w:rsid w:val="49ED1B20"/>
    <w:rsid w:val="49FD6980"/>
    <w:rsid w:val="4A0155CC"/>
    <w:rsid w:val="4A062BE2"/>
    <w:rsid w:val="4A2512BA"/>
    <w:rsid w:val="4A2C7A38"/>
    <w:rsid w:val="4A4756D4"/>
    <w:rsid w:val="4A484FA8"/>
    <w:rsid w:val="4A5F709C"/>
    <w:rsid w:val="4A8C758B"/>
    <w:rsid w:val="4A92680E"/>
    <w:rsid w:val="4AAE12AF"/>
    <w:rsid w:val="4AC5484B"/>
    <w:rsid w:val="4ACB00B3"/>
    <w:rsid w:val="4AD60806"/>
    <w:rsid w:val="4AD8457E"/>
    <w:rsid w:val="4AD92437"/>
    <w:rsid w:val="4B0610EB"/>
    <w:rsid w:val="4B074E64"/>
    <w:rsid w:val="4B0D4E47"/>
    <w:rsid w:val="4B105AC6"/>
    <w:rsid w:val="4B1F3F5B"/>
    <w:rsid w:val="4B547D59"/>
    <w:rsid w:val="4B6C4CC7"/>
    <w:rsid w:val="4B7122DD"/>
    <w:rsid w:val="4B756A4E"/>
    <w:rsid w:val="4B780257"/>
    <w:rsid w:val="4B7E5126"/>
    <w:rsid w:val="4B9977DF"/>
    <w:rsid w:val="4B9B755F"/>
    <w:rsid w:val="4BAB57EF"/>
    <w:rsid w:val="4BB943B0"/>
    <w:rsid w:val="4BC74304"/>
    <w:rsid w:val="4BD06BAB"/>
    <w:rsid w:val="4BE31185"/>
    <w:rsid w:val="4BE567F2"/>
    <w:rsid w:val="4BFE6267"/>
    <w:rsid w:val="4C07336D"/>
    <w:rsid w:val="4C0B7195"/>
    <w:rsid w:val="4C115F9A"/>
    <w:rsid w:val="4C192C29"/>
    <w:rsid w:val="4C196BFC"/>
    <w:rsid w:val="4C43011D"/>
    <w:rsid w:val="4C46376A"/>
    <w:rsid w:val="4C4A792C"/>
    <w:rsid w:val="4C4C5224"/>
    <w:rsid w:val="4C5F2180"/>
    <w:rsid w:val="4C8C12EC"/>
    <w:rsid w:val="4C910E89"/>
    <w:rsid w:val="4CB81373"/>
    <w:rsid w:val="4CBB7CB4"/>
    <w:rsid w:val="4CCA6149"/>
    <w:rsid w:val="4D0C050F"/>
    <w:rsid w:val="4D0E4287"/>
    <w:rsid w:val="4D0E6A50"/>
    <w:rsid w:val="4D153868"/>
    <w:rsid w:val="4D1D44CA"/>
    <w:rsid w:val="4D21045F"/>
    <w:rsid w:val="4D295652"/>
    <w:rsid w:val="4D312395"/>
    <w:rsid w:val="4D3A507C"/>
    <w:rsid w:val="4D445EFB"/>
    <w:rsid w:val="4D5123C6"/>
    <w:rsid w:val="4D550108"/>
    <w:rsid w:val="4D573E80"/>
    <w:rsid w:val="4D614AB8"/>
    <w:rsid w:val="4D64659D"/>
    <w:rsid w:val="4D6B16DA"/>
    <w:rsid w:val="4D970721"/>
    <w:rsid w:val="4DA349A4"/>
    <w:rsid w:val="4DB017E2"/>
    <w:rsid w:val="4DB210B7"/>
    <w:rsid w:val="4DB42272"/>
    <w:rsid w:val="4DBF250C"/>
    <w:rsid w:val="4DD46B6E"/>
    <w:rsid w:val="4DD97637"/>
    <w:rsid w:val="4DF07E31"/>
    <w:rsid w:val="4E037B64"/>
    <w:rsid w:val="4E0F0A25"/>
    <w:rsid w:val="4E1206DA"/>
    <w:rsid w:val="4E1C29D4"/>
    <w:rsid w:val="4E2A3343"/>
    <w:rsid w:val="4E3715BC"/>
    <w:rsid w:val="4E437B54"/>
    <w:rsid w:val="4E606D65"/>
    <w:rsid w:val="4E704ACE"/>
    <w:rsid w:val="4E7E71EB"/>
    <w:rsid w:val="4E90472A"/>
    <w:rsid w:val="4EDA416D"/>
    <w:rsid w:val="4EEA4880"/>
    <w:rsid w:val="4EF676C9"/>
    <w:rsid w:val="4EFD0A57"/>
    <w:rsid w:val="4F035942"/>
    <w:rsid w:val="4F045E2D"/>
    <w:rsid w:val="4F082DD2"/>
    <w:rsid w:val="4F3E697A"/>
    <w:rsid w:val="4F466F82"/>
    <w:rsid w:val="4F50502B"/>
    <w:rsid w:val="4F5148FF"/>
    <w:rsid w:val="4F5A1A06"/>
    <w:rsid w:val="4F6B5077"/>
    <w:rsid w:val="4F7A3E56"/>
    <w:rsid w:val="4F820F5D"/>
    <w:rsid w:val="4F860A4D"/>
    <w:rsid w:val="4F9111A0"/>
    <w:rsid w:val="4F97276D"/>
    <w:rsid w:val="4FA113E3"/>
    <w:rsid w:val="4FBA6377"/>
    <w:rsid w:val="4FBC0F17"/>
    <w:rsid w:val="4FC74BC1"/>
    <w:rsid w:val="4FD07F1A"/>
    <w:rsid w:val="4FE925AF"/>
    <w:rsid w:val="4FF46228"/>
    <w:rsid w:val="500C6F2D"/>
    <w:rsid w:val="500D0826"/>
    <w:rsid w:val="50146059"/>
    <w:rsid w:val="504306EC"/>
    <w:rsid w:val="505428F9"/>
    <w:rsid w:val="50597F0F"/>
    <w:rsid w:val="50616347"/>
    <w:rsid w:val="50830AE8"/>
    <w:rsid w:val="50FE0AB7"/>
    <w:rsid w:val="510446CC"/>
    <w:rsid w:val="5104627E"/>
    <w:rsid w:val="510F6820"/>
    <w:rsid w:val="512D3B2B"/>
    <w:rsid w:val="513B5867"/>
    <w:rsid w:val="51501312"/>
    <w:rsid w:val="51542485"/>
    <w:rsid w:val="51663853"/>
    <w:rsid w:val="517D5E7F"/>
    <w:rsid w:val="517D76C1"/>
    <w:rsid w:val="519136D9"/>
    <w:rsid w:val="519539EE"/>
    <w:rsid w:val="519A433C"/>
    <w:rsid w:val="51A4340C"/>
    <w:rsid w:val="51BA2C30"/>
    <w:rsid w:val="51CF7C15"/>
    <w:rsid w:val="51DA0BDC"/>
    <w:rsid w:val="51DB0935"/>
    <w:rsid w:val="51E952C3"/>
    <w:rsid w:val="51E97071"/>
    <w:rsid w:val="51EE42CD"/>
    <w:rsid w:val="51EE4F7D"/>
    <w:rsid w:val="51F53C68"/>
    <w:rsid w:val="520B6FE7"/>
    <w:rsid w:val="521A547C"/>
    <w:rsid w:val="52214A5D"/>
    <w:rsid w:val="5239455B"/>
    <w:rsid w:val="524424F9"/>
    <w:rsid w:val="52462715"/>
    <w:rsid w:val="52466271"/>
    <w:rsid w:val="524D40A7"/>
    <w:rsid w:val="52682249"/>
    <w:rsid w:val="527E5A0B"/>
    <w:rsid w:val="52846D9A"/>
    <w:rsid w:val="52B163BE"/>
    <w:rsid w:val="52D425F5"/>
    <w:rsid w:val="52D6121B"/>
    <w:rsid w:val="52E141EC"/>
    <w:rsid w:val="52E77A54"/>
    <w:rsid w:val="52FB705C"/>
    <w:rsid w:val="5319253D"/>
    <w:rsid w:val="531B76FE"/>
    <w:rsid w:val="533A401B"/>
    <w:rsid w:val="533F3BBA"/>
    <w:rsid w:val="534F73A8"/>
    <w:rsid w:val="53507E24"/>
    <w:rsid w:val="5360033A"/>
    <w:rsid w:val="53656BCB"/>
    <w:rsid w:val="536A2433"/>
    <w:rsid w:val="536C018C"/>
    <w:rsid w:val="538928BA"/>
    <w:rsid w:val="53894668"/>
    <w:rsid w:val="538E5CD5"/>
    <w:rsid w:val="538E6122"/>
    <w:rsid w:val="53990623"/>
    <w:rsid w:val="53A5346C"/>
    <w:rsid w:val="53B8319F"/>
    <w:rsid w:val="53C36641"/>
    <w:rsid w:val="53D8739D"/>
    <w:rsid w:val="54061346"/>
    <w:rsid w:val="54161C73"/>
    <w:rsid w:val="54280B64"/>
    <w:rsid w:val="5444374C"/>
    <w:rsid w:val="5455279C"/>
    <w:rsid w:val="546A3D97"/>
    <w:rsid w:val="548656FA"/>
    <w:rsid w:val="549459BA"/>
    <w:rsid w:val="54AF0513"/>
    <w:rsid w:val="54BC0A6D"/>
    <w:rsid w:val="54C067AF"/>
    <w:rsid w:val="54F16968"/>
    <w:rsid w:val="54F2623D"/>
    <w:rsid w:val="54FE2E33"/>
    <w:rsid w:val="550B28E5"/>
    <w:rsid w:val="555111B5"/>
    <w:rsid w:val="555336E2"/>
    <w:rsid w:val="55540CA5"/>
    <w:rsid w:val="555917B4"/>
    <w:rsid w:val="55665450"/>
    <w:rsid w:val="557430F6"/>
    <w:rsid w:val="557650C0"/>
    <w:rsid w:val="5579695E"/>
    <w:rsid w:val="557F071D"/>
    <w:rsid w:val="558C6691"/>
    <w:rsid w:val="559F4338"/>
    <w:rsid w:val="55B1434A"/>
    <w:rsid w:val="55C23E61"/>
    <w:rsid w:val="55C67DF5"/>
    <w:rsid w:val="55E55DA1"/>
    <w:rsid w:val="55E77D6B"/>
    <w:rsid w:val="55EE4C56"/>
    <w:rsid w:val="56210509"/>
    <w:rsid w:val="562543F0"/>
    <w:rsid w:val="56286B38"/>
    <w:rsid w:val="56725887"/>
    <w:rsid w:val="567C04B4"/>
    <w:rsid w:val="568E6439"/>
    <w:rsid w:val="56A0550C"/>
    <w:rsid w:val="56A95021"/>
    <w:rsid w:val="56BD3745"/>
    <w:rsid w:val="56D3758C"/>
    <w:rsid w:val="56DE5B14"/>
    <w:rsid w:val="56F64D11"/>
    <w:rsid w:val="57030BD5"/>
    <w:rsid w:val="57034731"/>
    <w:rsid w:val="571B5F1F"/>
    <w:rsid w:val="571D7D97"/>
    <w:rsid w:val="5737087F"/>
    <w:rsid w:val="573E39BB"/>
    <w:rsid w:val="57623B4D"/>
    <w:rsid w:val="577218B7"/>
    <w:rsid w:val="57827D4C"/>
    <w:rsid w:val="578735B4"/>
    <w:rsid w:val="57902DBE"/>
    <w:rsid w:val="57996E43"/>
    <w:rsid w:val="579B0E0D"/>
    <w:rsid w:val="57B15210"/>
    <w:rsid w:val="57B32A0E"/>
    <w:rsid w:val="57C00874"/>
    <w:rsid w:val="57EF2F07"/>
    <w:rsid w:val="58164938"/>
    <w:rsid w:val="581D5CC6"/>
    <w:rsid w:val="582D6EF7"/>
    <w:rsid w:val="58496ABB"/>
    <w:rsid w:val="58497B64"/>
    <w:rsid w:val="584B45E2"/>
    <w:rsid w:val="585B234B"/>
    <w:rsid w:val="58753A6F"/>
    <w:rsid w:val="588E7DA0"/>
    <w:rsid w:val="5898534D"/>
    <w:rsid w:val="58A75590"/>
    <w:rsid w:val="58B33F35"/>
    <w:rsid w:val="58DF4D2A"/>
    <w:rsid w:val="59034EBC"/>
    <w:rsid w:val="590D5D3B"/>
    <w:rsid w:val="590F1AB3"/>
    <w:rsid w:val="5917373F"/>
    <w:rsid w:val="591A3FB4"/>
    <w:rsid w:val="591C41D0"/>
    <w:rsid w:val="592D17B4"/>
    <w:rsid w:val="593C03CE"/>
    <w:rsid w:val="59422965"/>
    <w:rsid w:val="596F4300"/>
    <w:rsid w:val="5996188C"/>
    <w:rsid w:val="599D70BF"/>
    <w:rsid w:val="599D7A79"/>
    <w:rsid w:val="59BB7545"/>
    <w:rsid w:val="59C31E69"/>
    <w:rsid w:val="59CB4D9E"/>
    <w:rsid w:val="59DD2F98"/>
    <w:rsid w:val="59E33AE8"/>
    <w:rsid w:val="59FB2037"/>
    <w:rsid w:val="59FC6C67"/>
    <w:rsid w:val="5A0709DC"/>
    <w:rsid w:val="5A0A5DD6"/>
    <w:rsid w:val="5A3572F7"/>
    <w:rsid w:val="5A44578C"/>
    <w:rsid w:val="5A623E64"/>
    <w:rsid w:val="5A64198B"/>
    <w:rsid w:val="5A6804AB"/>
    <w:rsid w:val="5AB3021C"/>
    <w:rsid w:val="5AC70F4B"/>
    <w:rsid w:val="5ACC7530"/>
    <w:rsid w:val="5AEC407C"/>
    <w:rsid w:val="5AF50835"/>
    <w:rsid w:val="5AFC1BC3"/>
    <w:rsid w:val="5B027F7A"/>
    <w:rsid w:val="5B1E5FDD"/>
    <w:rsid w:val="5B311471"/>
    <w:rsid w:val="5B353327"/>
    <w:rsid w:val="5B4E3FF3"/>
    <w:rsid w:val="5B4E6201"/>
    <w:rsid w:val="5B975D90"/>
    <w:rsid w:val="5BAA7871"/>
    <w:rsid w:val="5BB24978"/>
    <w:rsid w:val="5BC36B85"/>
    <w:rsid w:val="5BDB3ECE"/>
    <w:rsid w:val="5BEA5EBF"/>
    <w:rsid w:val="5BEB0E80"/>
    <w:rsid w:val="5C197442"/>
    <w:rsid w:val="5C1D5175"/>
    <w:rsid w:val="5C266515"/>
    <w:rsid w:val="5C313AEE"/>
    <w:rsid w:val="5C341831"/>
    <w:rsid w:val="5C3B496D"/>
    <w:rsid w:val="5C537F09"/>
    <w:rsid w:val="5C677510"/>
    <w:rsid w:val="5C7B2FBB"/>
    <w:rsid w:val="5C7D137A"/>
    <w:rsid w:val="5C8C6F77"/>
    <w:rsid w:val="5C8E2CEF"/>
    <w:rsid w:val="5C910A31"/>
    <w:rsid w:val="5C9B1B86"/>
    <w:rsid w:val="5CAC13C7"/>
    <w:rsid w:val="5CBC5AAE"/>
    <w:rsid w:val="5CBD35D4"/>
    <w:rsid w:val="5CC46711"/>
    <w:rsid w:val="5CDD3C76"/>
    <w:rsid w:val="5CF8460C"/>
    <w:rsid w:val="5D0D455B"/>
    <w:rsid w:val="5D185437"/>
    <w:rsid w:val="5D374438"/>
    <w:rsid w:val="5D4F6E91"/>
    <w:rsid w:val="5D55380D"/>
    <w:rsid w:val="5D5A3BA2"/>
    <w:rsid w:val="5D5C1E17"/>
    <w:rsid w:val="5D6815BE"/>
    <w:rsid w:val="5D6972B8"/>
    <w:rsid w:val="5D6D0B56"/>
    <w:rsid w:val="5D6D4FFA"/>
    <w:rsid w:val="5D726581"/>
    <w:rsid w:val="5D79574D"/>
    <w:rsid w:val="5D7F6ADB"/>
    <w:rsid w:val="5D8B3DE3"/>
    <w:rsid w:val="5D8D11F8"/>
    <w:rsid w:val="5D8F4F70"/>
    <w:rsid w:val="5DB524FD"/>
    <w:rsid w:val="5DC7295C"/>
    <w:rsid w:val="5DD129AB"/>
    <w:rsid w:val="5DDE3802"/>
    <w:rsid w:val="5DE52DE2"/>
    <w:rsid w:val="5DE84681"/>
    <w:rsid w:val="5DF9688E"/>
    <w:rsid w:val="5E1611EE"/>
    <w:rsid w:val="5E257683"/>
    <w:rsid w:val="5E2751A9"/>
    <w:rsid w:val="5E292944"/>
    <w:rsid w:val="5E296C3F"/>
    <w:rsid w:val="5E2E29DB"/>
    <w:rsid w:val="5E322207"/>
    <w:rsid w:val="5E341674"/>
    <w:rsid w:val="5E3873B6"/>
    <w:rsid w:val="5E4A56CF"/>
    <w:rsid w:val="5E581391"/>
    <w:rsid w:val="5E5E2B95"/>
    <w:rsid w:val="5E622685"/>
    <w:rsid w:val="5E663E07"/>
    <w:rsid w:val="5E850121"/>
    <w:rsid w:val="5E900B9B"/>
    <w:rsid w:val="5EC944B2"/>
    <w:rsid w:val="5ED30E33"/>
    <w:rsid w:val="5EE25574"/>
    <w:rsid w:val="5EE27322"/>
    <w:rsid w:val="5EF157B7"/>
    <w:rsid w:val="5EFD42DE"/>
    <w:rsid w:val="5F0C25F1"/>
    <w:rsid w:val="5F0C439F"/>
    <w:rsid w:val="5F1020E1"/>
    <w:rsid w:val="5F2F107A"/>
    <w:rsid w:val="5F49114F"/>
    <w:rsid w:val="5F4D50E3"/>
    <w:rsid w:val="5F5C205E"/>
    <w:rsid w:val="5F5F6BC4"/>
    <w:rsid w:val="5F64242D"/>
    <w:rsid w:val="5F6B7317"/>
    <w:rsid w:val="5F776541"/>
    <w:rsid w:val="5F8A72AC"/>
    <w:rsid w:val="5F8B1768"/>
    <w:rsid w:val="5FA665A1"/>
    <w:rsid w:val="5FAD16DE"/>
    <w:rsid w:val="5FB46F10"/>
    <w:rsid w:val="5FB602EC"/>
    <w:rsid w:val="5FBC4017"/>
    <w:rsid w:val="5FC5111D"/>
    <w:rsid w:val="60237BF2"/>
    <w:rsid w:val="60261490"/>
    <w:rsid w:val="60347715"/>
    <w:rsid w:val="6054424F"/>
    <w:rsid w:val="605C4EB2"/>
    <w:rsid w:val="60771CEC"/>
    <w:rsid w:val="608D114A"/>
    <w:rsid w:val="608F34D9"/>
    <w:rsid w:val="60965AC9"/>
    <w:rsid w:val="60C801DC"/>
    <w:rsid w:val="60F35A30"/>
    <w:rsid w:val="60F65306"/>
    <w:rsid w:val="60FD48E7"/>
    <w:rsid w:val="61064EA9"/>
    <w:rsid w:val="61241E74"/>
    <w:rsid w:val="6131633F"/>
    <w:rsid w:val="613E3090"/>
    <w:rsid w:val="61412A26"/>
    <w:rsid w:val="61426602"/>
    <w:rsid w:val="614E0C9F"/>
    <w:rsid w:val="616C18C6"/>
    <w:rsid w:val="61834DEC"/>
    <w:rsid w:val="619F599E"/>
    <w:rsid w:val="61A33757"/>
    <w:rsid w:val="61B52ACC"/>
    <w:rsid w:val="61BB6DE5"/>
    <w:rsid w:val="61CF613C"/>
    <w:rsid w:val="61DA61FE"/>
    <w:rsid w:val="61DF5D9B"/>
    <w:rsid w:val="61F41846"/>
    <w:rsid w:val="62083543"/>
    <w:rsid w:val="62173786"/>
    <w:rsid w:val="62285994"/>
    <w:rsid w:val="622E7C1C"/>
    <w:rsid w:val="627B5AC3"/>
    <w:rsid w:val="62946B85"/>
    <w:rsid w:val="62CF7BBD"/>
    <w:rsid w:val="62DD0319"/>
    <w:rsid w:val="62DD677E"/>
    <w:rsid w:val="62DE6052"/>
    <w:rsid w:val="62E06D1C"/>
    <w:rsid w:val="62E343B9"/>
    <w:rsid w:val="62EE40D6"/>
    <w:rsid w:val="62F12229"/>
    <w:rsid w:val="631B1054"/>
    <w:rsid w:val="63302D52"/>
    <w:rsid w:val="63470EF7"/>
    <w:rsid w:val="634C56B2"/>
    <w:rsid w:val="63520F1A"/>
    <w:rsid w:val="637B11B5"/>
    <w:rsid w:val="637F322E"/>
    <w:rsid w:val="63807109"/>
    <w:rsid w:val="63851126"/>
    <w:rsid w:val="63A177AC"/>
    <w:rsid w:val="63B374DF"/>
    <w:rsid w:val="63BC2837"/>
    <w:rsid w:val="63BC6393"/>
    <w:rsid w:val="63E570D2"/>
    <w:rsid w:val="63F35B2D"/>
    <w:rsid w:val="64063AB3"/>
    <w:rsid w:val="640E3950"/>
    <w:rsid w:val="640F6E0B"/>
    <w:rsid w:val="641461CF"/>
    <w:rsid w:val="64153CF6"/>
    <w:rsid w:val="642D54E3"/>
    <w:rsid w:val="64306D81"/>
    <w:rsid w:val="64436AB5"/>
    <w:rsid w:val="6454481E"/>
    <w:rsid w:val="646F78AA"/>
    <w:rsid w:val="647749B0"/>
    <w:rsid w:val="647B7FFD"/>
    <w:rsid w:val="64827531"/>
    <w:rsid w:val="649966D5"/>
    <w:rsid w:val="64A5151D"/>
    <w:rsid w:val="64B21544"/>
    <w:rsid w:val="64CD45D0"/>
    <w:rsid w:val="64EE4C72"/>
    <w:rsid w:val="64EE6A20"/>
    <w:rsid w:val="64F32289"/>
    <w:rsid w:val="64F63B27"/>
    <w:rsid w:val="64FE478A"/>
    <w:rsid w:val="651545AD"/>
    <w:rsid w:val="655820EC"/>
    <w:rsid w:val="656B0071"/>
    <w:rsid w:val="656C203B"/>
    <w:rsid w:val="65790209"/>
    <w:rsid w:val="658C6239"/>
    <w:rsid w:val="658F1B6B"/>
    <w:rsid w:val="659D21F5"/>
    <w:rsid w:val="65B35574"/>
    <w:rsid w:val="65BB227A"/>
    <w:rsid w:val="65BD4645"/>
    <w:rsid w:val="65D200F0"/>
    <w:rsid w:val="65F53DDF"/>
    <w:rsid w:val="660521AC"/>
    <w:rsid w:val="661A0861"/>
    <w:rsid w:val="66246E4B"/>
    <w:rsid w:val="6632293D"/>
    <w:rsid w:val="663366B5"/>
    <w:rsid w:val="66410DD2"/>
    <w:rsid w:val="664D3C1B"/>
    <w:rsid w:val="66574C92"/>
    <w:rsid w:val="666D205A"/>
    <w:rsid w:val="66807B4C"/>
    <w:rsid w:val="66911D59"/>
    <w:rsid w:val="66AF4903"/>
    <w:rsid w:val="66D02156"/>
    <w:rsid w:val="66D71736"/>
    <w:rsid w:val="66DC6D4D"/>
    <w:rsid w:val="66E85221"/>
    <w:rsid w:val="66F61BBC"/>
    <w:rsid w:val="671604B0"/>
    <w:rsid w:val="67185FD7"/>
    <w:rsid w:val="67277FC8"/>
    <w:rsid w:val="676034DA"/>
    <w:rsid w:val="676A4358"/>
    <w:rsid w:val="6773320D"/>
    <w:rsid w:val="678C0773"/>
    <w:rsid w:val="67931B01"/>
    <w:rsid w:val="67957627"/>
    <w:rsid w:val="679C70D3"/>
    <w:rsid w:val="679E3223"/>
    <w:rsid w:val="67A45ABC"/>
    <w:rsid w:val="67B75E1C"/>
    <w:rsid w:val="67C223E6"/>
    <w:rsid w:val="67C577E1"/>
    <w:rsid w:val="67D57A24"/>
    <w:rsid w:val="67D85766"/>
    <w:rsid w:val="67EC1211"/>
    <w:rsid w:val="680E73DA"/>
    <w:rsid w:val="681C5653"/>
    <w:rsid w:val="6828049B"/>
    <w:rsid w:val="683706DE"/>
    <w:rsid w:val="684A6664"/>
    <w:rsid w:val="685C1EF3"/>
    <w:rsid w:val="685E3D08"/>
    <w:rsid w:val="6865349E"/>
    <w:rsid w:val="686D2352"/>
    <w:rsid w:val="68701E42"/>
    <w:rsid w:val="687234C5"/>
    <w:rsid w:val="687C4343"/>
    <w:rsid w:val="68831B76"/>
    <w:rsid w:val="68866F70"/>
    <w:rsid w:val="68896A60"/>
    <w:rsid w:val="68906041"/>
    <w:rsid w:val="68AA0EB0"/>
    <w:rsid w:val="68CF4DBB"/>
    <w:rsid w:val="68D0468F"/>
    <w:rsid w:val="68DE6DAC"/>
    <w:rsid w:val="68EA5751"/>
    <w:rsid w:val="69006D22"/>
    <w:rsid w:val="69076303"/>
    <w:rsid w:val="693115D2"/>
    <w:rsid w:val="69392234"/>
    <w:rsid w:val="693D1D24"/>
    <w:rsid w:val="694C1F68"/>
    <w:rsid w:val="69564B94"/>
    <w:rsid w:val="69605A13"/>
    <w:rsid w:val="69713FF2"/>
    <w:rsid w:val="697B45FB"/>
    <w:rsid w:val="69A578CA"/>
    <w:rsid w:val="69B813AB"/>
    <w:rsid w:val="69BF37A7"/>
    <w:rsid w:val="69C42446"/>
    <w:rsid w:val="69CB37D4"/>
    <w:rsid w:val="69DA63C4"/>
    <w:rsid w:val="69DD0FB4"/>
    <w:rsid w:val="6A040A94"/>
    <w:rsid w:val="6A136F29"/>
    <w:rsid w:val="6A154A4F"/>
    <w:rsid w:val="6A184540"/>
    <w:rsid w:val="6A1F2016"/>
    <w:rsid w:val="6A21367E"/>
    <w:rsid w:val="6A5A6906"/>
    <w:rsid w:val="6A6652AB"/>
    <w:rsid w:val="6A7F636D"/>
    <w:rsid w:val="6A855A1F"/>
    <w:rsid w:val="6A9A6D03"/>
    <w:rsid w:val="6A9C1B32"/>
    <w:rsid w:val="6AB73D58"/>
    <w:rsid w:val="6ABE2AE9"/>
    <w:rsid w:val="6AD16513"/>
    <w:rsid w:val="6AD761A9"/>
    <w:rsid w:val="6AF705F9"/>
    <w:rsid w:val="6AFE3735"/>
    <w:rsid w:val="6B185D7C"/>
    <w:rsid w:val="6B5415A7"/>
    <w:rsid w:val="6B6329AD"/>
    <w:rsid w:val="6B7439F8"/>
    <w:rsid w:val="6B881251"/>
    <w:rsid w:val="6BB139C7"/>
    <w:rsid w:val="6BB42046"/>
    <w:rsid w:val="6BC06C3D"/>
    <w:rsid w:val="6BC229B5"/>
    <w:rsid w:val="6BCA7475"/>
    <w:rsid w:val="6C0E1756"/>
    <w:rsid w:val="6C1206A7"/>
    <w:rsid w:val="6C1A0D92"/>
    <w:rsid w:val="6C3C0C16"/>
    <w:rsid w:val="6C44786E"/>
    <w:rsid w:val="6C515AE7"/>
    <w:rsid w:val="6C552807"/>
    <w:rsid w:val="6C5C0714"/>
    <w:rsid w:val="6C627CF4"/>
    <w:rsid w:val="6C98401E"/>
    <w:rsid w:val="6CA65E33"/>
    <w:rsid w:val="6CAF3F01"/>
    <w:rsid w:val="6CB22A29"/>
    <w:rsid w:val="6CCB3AEB"/>
    <w:rsid w:val="6CD52274"/>
    <w:rsid w:val="6CDC7AA6"/>
    <w:rsid w:val="6D090170"/>
    <w:rsid w:val="6D0F3371"/>
    <w:rsid w:val="6D1159A2"/>
    <w:rsid w:val="6D17288C"/>
    <w:rsid w:val="6D232646"/>
    <w:rsid w:val="6D365409"/>
    <w:rsid w:val="6D3C0545"/>
    <w:rsid w:val="6D4A4A10"/>
    <w:rsid w:val="6D6261FE"/>
    <w:rsid w:val="6D6830E8"/>
    <w:rsid w:val="6D793547"/>
    <w:rsid w:val="6D7D4DE5"/>
    <w:rsid w:val="6D85529C"/>
    <w:rsid w:val="6DA17723"/>
    <w:rsid w:val="6DAA3701"/>
    <w:rsid w:val="6DAD31F1"/>
    <w:rsid w:val="6DFB3C9C"/>
    <w:rsid w:val="6DFD1A82"/>
    <w:rsid w:val="6DFD5F26"/>
    <w:rsid w:val="6E0948CB"/>
    <w:rsid w:val="6E1312A6"/>
    <w:rsid w:val="6E276AFF"/>
    <w:rsid w:val="6E296D1B"/>
    <w:rsid w:val="6E2C3F57"/>
    <w:rsid w:val="6E3336F6"/>
    <w:rsid w:val="6E4C2A0A"/>
    <w:rsid w:val="6E4E01BB"/>
    <w:rsid w:val="6E4F0B95"/>
    <w:rsid w:val="6E5024FA"/>
    <w:rsid w:val="6E656E42"/>
    <w:rsid w:val="6E657628"/>
    <w:rsid w:val="6E6715F2"/>
    <w:rsid w:val="6E7D7067"/>
    <w:rsid w:val="6E804461"/>
    <w:rsid w:val="6E843F52"/>
    <w:rsid w:val="6E865F1C"/>
    <w:rsid w:val="6E8877AA"/>
    <w:rsid w:val="6E91666F"/>
    <w:rsid w:val="6E961A11"/>
    <w:rsid w:val="6EA2262A"/>
    <w:rsid w:val="6EAA3EBB"/>
    <w:rsid w:val="6EB74327"/>
    <w:rsid w:val="6EB8009F"/>
    <w:rsid w:val="6ECE5420"/>
    <w:rsid w:val="6EE72B87"/>
    <w:rsid w:val="6EF015E7"/>
    <w:rsid w:val="6F0230C8"/>
    <w:rsid w:val="6F0C162D"/>
    <w:rsid w:val="6F1057E5"/>
    <w:rsid w:val="6F176B74"/>
    <w:rsid w:val="6F4F4560"/>
    <w:rsid w:val="6F6A1399"/>
    <w:rsid w:val="6F6F4C02"/>
    <w:rsid w:val="6F753C7B"/>
    <w:rsid w:val="6F9500AA"/>
    <w:rsid w:val="6FA10B33"/>
    <w:rsid w:val="6FB40867"/>
    <w:rsid w:val="6FB50225"/>
    <w:rsid w:val="6FC7059A"/>
    <w:rsid w:val="6FD1766A"/>
    <w:rsid w:val="6FE23626"/>
    <w:rsid w:val="700D2A50"/>
    <w:rsid w:val="701029A4"/>
    <w:rsid w:val="70134ABB"/>
    <w:rsid w:val="70135A3B"/>
    <w:rsid w:val="703421FE"/>
    <w:rsid w:val="70381498"/>
    <w:rsid w:val="7045307C"/>
    <w:rsid w:val="7047792D"/>
    <w:rsid w:val="704F233D"/>
    <w:rsid w:val="70561FBA"/>
    <w:rsid w:val="705838E8"/>
    <w:rsid w:val="70587444"/>
    <w:rsid w:val="705E3726"/>
    <w:rsid w:val="7060279C"/>
    <w:rsid w:val="70651B61"/>
    <w:rsid w:val="706A53C9"/>
    <w:rsid w:val="70730722"/>
    <w:rsid w:val="707712FD"/>
    <w:rsid w:val="707D6EAA"/>
    <w:rsid w:val="70860455"/>
    <w:rsid w:val="7095202C"/>
    <w:rsid w:val="70953EC6"/>
    <w:rsid w:val="70AE52B6"/>
    <w:rsid w:val="70E4517B"/>
    <w:rsid w:val="70E94540"/>
    <w:rsid w:val="71020AA7"/>
    <w:rsid w:val="71135FCA"/>
    <w:rsid w:val="711803BE"/>
    <w:rsid w:val="71193077"/>
    <w:rsid w:val="71205BDF"/>
    <w:rsid w:val="71265794"/>
    <w:rsid w:val="71325EE7"/>
    <w:rsid w:val="71327C95"/>
    <w:rsid w:val="71381023"/>
    <w:rsid w:val="714107D9"/>
    <w:rsid w:val="7141612A"/>
    <w:rsid w:val="71632544"/>
    <w:rsid w:val="716B1BD6"/>
    <w:rsid w:val="7183791B"/>
    <w:rsid w:val="71902C0D"/>
    <w:rsid w:val="71A212BE"/>
    <w:rsid w:val="71B0505E"/>
    <w:rsid w:val="71B42DA0"/>
    <w:rsid w:val="71C21B46"/>
    <w:rsid w:val="71D21478"/>
    <w:rsid w:val="71E76CD1"/>
    <w:rsid w:val="71ED5260"/>
    <w:rsid w:val="71F4003B"/>
    <w:rsid w:val="72023B0B"/>
    <w:rsid w:val="720A0C12"/>
    <w:rsid w:val="72121874"/>
    <w:rsid w:val="72161365"/>
    <w:rsid w:val="722241AD"/>
    <w:rsid w:val="72233A82"/>
    <w:rsid w:val="72450626"/>
    <w:rsid w:val="724759C2"/>
    <w:rsid w:val="724834E8"/>
    <w:rsid w:val="724A3704"/>
    <w:rsid w:val="728269FA"/>
    <w:rsid w:val="72852B34"/>
    <w:rsid w:val="72A62E8B"/>
    <w:rsid w:val="72AB713A"/>
    <w:rsid w:val="72D60A97"/>
    <w:rsid w:val="72D66C3C"/>
    <w:rsid w:val="72E96A79"/>
    <w:rsid w:val="72EB0A43"/>
    <w:rsid w:val="72ED672C"/>
    <w:rsid w:val="730613D9"/>
    <w:rsid w:val="73125FD0"/>
    <w:rsid w:val="731C0BFD"/>
    <w:rsid w:val="731F565C"/>
    <w:rsid w:val="73353A6C"/>
    <w:rsid w:val="73547510"/>
    <w:rsid w:val="73571C35"/>
    <w:rsid w:val="735B6F21"/>
    <w:rsid w:val="735C36EF"/>
    <w:rsid w:val="735C549D"/>
    <w:rsid w:val="736B748E"/>
    <w:rsid w:val="73724CC1"/>
    <w:rsid w:val="738F74C0"/>
    <w:rsid w:val="73A17354"/>
    <w:rsid w:val="73A330CC"/>
    <w:rsid w:val="73A759E2"/>
    <w:rsid w:val="73AB01D2"/>
    <w:rsid w:val="73B452D9"/>
    <w:rsid w:val="73C51294"/>
    <w:rsid w:val="73CB43D1"/>
    <w:rsid w:val="73D74B24"/>
    <w:rsid w:val="73F05BE5"/>
    <w:rsid w:val="73F12089"/>
    <w:rsid w:val="73F25E01"/>
    <w:rsid w:val="73F90F3E"/>
    <w:rsid w:val="74017DF2"/>
    <w:rsid w:val="7407365B"/>
    <w:rsid w:val="740A4EF9"/>
    <w:rsid w:val="742C1313"/>
    <w:rsid w:val="74373814"/>
    <w:rsid w:val="744A1799"/>
    <w:rsid w:val="745A5E80"/>
    <w:rsid w:val="74716D26"/>
    <w:rsid w:val="74827185"/>
    <w:rsid w:val="748922C2"/>
    <w:rsid w:val="749D5D6D"/>
    <w:rsid w:val="749F7D37"/>
    <w:rsid w:val="74A95E46"/>
    <w:rsid w:val="74AB66DC"/>
    <w:rsid w:val="74C432FA"/>
    <w:rsid w:val="74C7103C"/>
    <w:rsid w:val="74CC0400"/>
    <w:rsid w:val="74D379E1"/>
    <w:rsid w:val="74D95DBD"/>
    <w:rsid w:val="74DC4AE7"/>
    <w:rsid w:val="74F11C15"/>
    <w:rsid w:val="75232716"/>
    <w:rsid w:val="75355FA6"/>
    <w:rsid w:val="75483F2B"/>
    <w:rsid w:val="75535318"/>
    <w:rsid w:val="75542306"/>
    <w:rsid w:val="75952EE8"/>
    <w:rsid w:val="75C64E50"/>
    <w:rsid w:val="75D51537"/>
    <w:rsid w:val="75F33A38"/>
    <w:rsid w:val="75F47C0F"/>
    <w:rsid w:val="7634625D"/>
    <w:rsid w:val="763A5AC3"/>
    <w:rsid w:val="763B583E"/>
    <w:rsid w:val="765B5EE0"/>
    <w:rsid w:val="766052A4"/>
    <w:rsid w:val="766514D6"/>
    <w:rsid w:val="76726D86"/>
    <w:rsid w:val="767E572A"/>
    <w:rsid w:val="768371E5"/>
    <w:rsid w:val="76897D5D"/>
    <w:rsid w:val="768E0063"/>
    <w:rsid w:val="768F16E6"/>
    <w:rsid w:val="7693567A"/>
    <w:rsid w:val="76A01B45"/>
    <w:rsid w:val="76A95A38"/>
    <w:rsid w:val="76B63116"/>
    <w:rsid w:val="76CC0B8C"/>
    <w:rsid w:val="76DB492B"/>
    <w:rsid w:val="76ED1567"/>
    <w:rsid w:val="76FA1255"/>
    <w:rsid w:val="77091498"/>
    <w:rsid w:val="771A18F7"/>
    <w:rsid w:val="77244524"/>
    <w:rsid w:val="772E0EFE"/>
    <w:rsid w:val="773F310C"/>
    <w:rsid w:val="77530965"/>
    <w:rsid w:val="776C7C79"/>
    <w:rsid w:val="77957284"/>
    <w:rsid w:val="779F004E"/>
    <w:rsid w:val="77CD4BBB"/>
    <w:rsid w:val="77D53A70"/>
    <w:rsid w:val="77D9530E"/>
    <w:rsid w:val="77E912C9"/>
    <w:rsid w:val="77E93077"/>
    <w:rsid w:val="77F02658"/>
    <w:rsid w:val="78063C29"/>
    <w:rsid w:val="780712D8"/>
    <w:rsid w:val="78322C70"/>
    <w:rsid w:val="78342545"/>
    <w:rsid w:val="784B135F"/>
    <w:rsid w:val="78511348"/>
    <w:rsid w:val="78580A05"/>
    <w:rsid w:val="78591FAB"/>
    <w:rsid w:val="786A41B8"/>
    <w:rsid w:val="78902F65"/>
    <w:rsid w:val="78916DC1"/>
    <w:rsid w:val="789F2BB6"/>
    <w:rsid w:val="78CA2EA9"/>
    <w:rsid w:val="78D67AA0"/>
    <w:rsid w:val="790C526F"/>
    <w:rsid w:val="79116D2A"/>
    <w:rsid w:val="792273F9"/>
    <w:rsid w:val="7929017A"/>
    <w:rsid w:val="793A168C"/>
    <w:rsid w:val="79442C5B"/>
    <w:rsid w:val="794762A8"/>
    <w:rsid w:val="79534C4C"/>
    <w:rsid w:val="7956473D"/>
    <w:rsid w:val="79752E15"/>
    <w:rsid w:val="79823784"/>
    <w:rsid w:val="7984574E"/>
    <w:rsid w:val="79935991"/>
    <w:rsid w:val="79951709"/>
    <w:rsid w:val="79A47B9E"/>
    <w:rsid w:val="79AB6836"/>
    <w:rsid w:val="79CE4C1B"/>
    <w:rsid w:val="79E24222"/>
    <w:rsid w:val="79E306C6"/>
    <w:rsid w:val="79E61F64"/>
    <w:rsid w:val="79F63C5C"/>
    <w:rsid w:val="7A0B3779"/>
    <w:rsid w:val="7A1E34AC"/>
    <w:rsid w:val="7A266805"/>
    <w:rsid w:val="7A3126BD"/>
    <w:rsid w:val="7A440A39"/>
    <w:rsid w:val="7A480529"/>
    <w:rsid w:val="7A807CC3"/>
    <w:rsid w:val="7A8F7F06"/>
    <w:rsid w:val="7A9674E6"/>
    <w:rsid w:val="7AA83541"/>
    <w:rsid w:val="7AC72763"/>
    <w:rsid w:val="7ADD5115"/>
    <w:rsid w:val="7AE55D78"/>
    <w:rsid w:val="7AE85F45"/>
    <w:rsid w:val="7AF4245F"/>
    <w:rsid w:val="7AFD7566"/>
    <w:rsid w:val="7B113011"/>
    <w:rsid w:val="7B2A7C2F"/>
    <w:rsid w:val="7B446F42"/>
    <w:rsid w:val="7B4E7DC1"/>
    <w:rsid w:val="7B533629"/>
    <w:rsid w:val="7B5652D8"/>
    <w:rsid w:val="7B590514"/>
    <w:rsid w:val="7B5D6256"/>
    <w:rsid w:val="7B607AF4"/>
    <w:rsid w:val="7B6A44CF"/>
    <w:rsid w:val="7B7B492E"/>
    <w:rsid w:val="7B86755B"/>
    <w:rsid w:val="7B9D2AF7"/>
    <w:rsid w:val="7BA63759"/>
    <w:rsid w:val="7BAB127C"/>
    <w:rsid w:val="7BAE6AB2"/>
    <w:rsid w:val="7BB3231A"/>
    <w:rsid w:val="7BB73BB8"/>
    <w:rsid w:val="7BB8348D"/>
    <w:rsid w:val="7BD81D81"/>
    <w:rsid w:val="7BF87D2D"/>
    <w:rsid w:val="7BFB54A5"/>
    <w:rsid w:val="7C13614C"/>
    <w:rsid w:val="7C1F175E"/>
    <w:rsid w:val="7C2154D6"/>
    <w:rsid w:val="7C2823C0"/>
    <w:rsid w:val="7C4C35C3"/>
    <w:rsid w:val="7C5F0F7A"/>
    <w:rsid w:val="7C633AE7"/>
    <w:rsid w:val="7C6F0797"/>
    <w:rsid w:val="7C72188D"/>
    <w:rsid w:val="7C7C4E69"/>
    <w:rsid w:val="7C7D364A"/>
    <w:rsid w:val="7C947A56"/>
    <w:rsid w:val="7C9712F4"/>
    <w:rsid w:val="7C98391B"/>
    <w:rsid w:val="7CA0395B"/>
    <w:rsid w:val="7CA3413D"/>
    <w:rsid w:val="7CA462C8"/>
    <w:rsid w:val="7CAC1243"/>
    <w:rsid w:val="7CBD259D"/>
    <w:rsid w:val="7CD97B5E"/>
    <w:rsid w:val="7D20753B"/>
    <w:rsid w:val="7D221505"/>
    <w:rsid w:val="7D2232B3"/>
    <w:rsid w:val="7D23702C"/>
    <w:rsid w:val="7D2A660C"/>
    <w:rsid w:val="7D341239"/>
    <w:rsid w:val="7D3C766F"/>
    <w:rsid w:val="7D515947"/>
    <w:rsid w:val="7D6E6E35"/>
    <w:rsid w:val="7D7B252F"/>
    <w:rsid w:val="7D821FA4"/>
    <w:rsid w:val="7D87580C"/>
    <w:rsid w:val="7D8775BA"/>
    <w:rsid w:val="7D9B4E14"/>
    <w:rsid w:val="7DB87774"/>
    <w:rsid w:val="7DCC321F"/>
    <w:rsid w:val="7DCF6ACD"/>
    <w:rsid w:val="7DD345AE"/>
    <w:rsid w:val="7DF06F0E"/>
    <w:rsid w:val="7DF6029C"/>
    <w:rsid w:val="7E036C66"/>
    <w:rsid w:val="7E096221"/>
    <w:rsid w:val="7E0B3D48"/>
    <w:rsid w:val="7E130E4E"/>
    <w:rsid w:val="7E1B3C67"/>
    <w:rsid w:val="7E1C5F55"/>
    <w:rsid w:val="7E3C0D42"/>
    <w:rsid w:val="7E3D5ECB"/>
    <w:rsid w:val="7E4D4360"/>
    <w:rsid w:val="7E6054A8"/>
    <w:rsid w:val="7E71385C"/>
    <w:rsid w:val="7E835FD4"/>
    <w:rsid w:val="7E8D29AE"/>
    <w:rsid w:val="7E9712AE"/>
    <w:rsid w:val="7EBA751C"/>
    <w:rsid w:val="7EC94FAA"/>
    <w:rsid w:val="7EDC7492"/>
    <w:rsid w:val="7EEB3B79"/>
    <w:rsid w:val="7F08297D"/>
    <w:rsid w:val="7F250E39"/>
    <w:rsid w:val="7F272BF3"/>
    <w:rsid w:val="7F480FCB"/>
    <w:rsid w:val="7F637BB3"/>
    <w:rsid w:val="7F6556D9"/>
    <w:rsid w:val="7F6E1521"/>
    <w:rsid w:val="7F791185"/>
    <w:rsid w:val="7F961D37"/>
    <w:rsid w:val="7FB34CE5"/>
    <w:rsid w:val="7FB87EFF"/>
    <w:rsid w:val="7FC22B2C"/>
    <w:rsid w:val="7FD64829"/>
    <w:rsid w:val="7FD83478"/>
    <w:rsid w:val="7FDC1E3F"/>
    <w:rsid w:val="7FE9455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39"/>
    <w:qFormat/>
    <w:uiPriority w:val="9"/>
    <w:pPr>
      <w:keepNext/>
      <w:keepLines/>
      <w:spacing w:before="340" w:after="330" w:line="576" w:lineRule="auto"/>
      <w:outlineLvl w:val="0"/>
    </w:pPr>
    <w:rPr>
      <w:b/>
      <w:kern w:val="44"/>
      <w:sz w:val="44"/>
    </w:rPr>
  </w:style>
  <w:style w:type="paragraph" w:styleId="3">
    <w:name w:val="heading 2"/>
    <w:basedOn w:val="1"/>
    <w:next w:val="1"/>
    <w:link w:val="40"/>
    <w:qFormat/>
    <w:uiPriority w:val="0"/>
    <w:pPr>
      <w:keepNext/>
      <w:keepLines/>
      <w:spacing w:before="260" w:after="260" w:line="415" w:lineRule="auto"/>
      <w:outlineLvl w:val="1"/>
    </w:pPr>
    <w:rPr>
      <w:rFonts w:ascii="Arial" w:hAnsi="Arial" w:eastAsia="黑体"/>
      <w:b/>
      <w:kern w:val="0"/>
      <w:sz w:val="32"/>
    </w:rPr>
  </w:style>
  <w:style w:type="paragraph" w:styleId="4">
    <w:name w:val="heading 3"/>
    <w:basedOn w:val="1"/>
    <w:next w:val="5"/>
    <w:qFormat/>
    <w:uiPriority w:val="9"/>
    <w:pPr>
      <w:keepNext/>
      <w:keepLines/>
      <w:spacing w:before="260" w:after="260" w:line="415" w:lineRule="auto"/>
      <w:outlineLvl w:val="2"/>
    </w:pPr>
    <w:rPr>
      <w:b/>
      <w:sz w:val="32"/>
    </w:rPr>
  </w:style>
  <w:style w:type="paragraph" w:styleId="6">
    <w:name w:val="heading 4"/>
    <w:basedOn w:val="1"/>
    <w:next w:val="1"/>
    <w:qFormat/>
    <w:uiPriority w:val="0"/>
    <w:pPr>
      <w:keepNext/>
      <w:keepLines/>
      <w:adjustRightInd w:val="0"/>
      <w:spacing w:before="280" w:beforeLines="0" w:beforeAutospacing="0" w:after="290" w:afterLines="0" w:afterAutospacing="0" w:line="376" w:lineRule="atLeast"/>
      <w:outlineLvl w:val="3"/>
    </w:pPr>
    <w:rPr>
      <w:rFonts w:ascii="Arial" w:hAnsi="Arial" w:eastAsia="黑体"/>
      <w:b/>
      <w:kern w:val="0"/>
      <w:sz w:val="28"/>
    </w:rPr>
  </w:style>
  <w:style w:type="paragraph" w:styleId="7">
    <w:name w:val="heading 6"/>
    <w:basedOn w:val="1"/>
    <w:next w:val="1"/>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26">
    <w:name w:val="Default Paragraph Font"/>
    <w:semiHidden/>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styleId="5">
    <w:name w:val="Normal Indent"/>
    <w:basedOn w:val="1"/>
    <w:next w:val="1"/>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8">
    <w:name w:val="Body Text"/>
    <w:basedOn w:val="1"/>
    <w:qFormat/>
    <w:uiPriority w:val="0"/>
    <w:pPr>
      <w:spacing w:after="120"/>
    </w:pPr>
  </w:style>
  <w:style w:type="paragraph" w:styleId="9">
    <w:name w:val="Body Text Indent"/>
    <w:basedOn w:val="1"/>
    <w:next w:val="8"/>
    <w:qFormat/>
    <w:uiPriority w:val="0"/>
    <w:pPr>
      <w:ind w:left="1083" w:leftChars="30" w:hanging="1020" w:hangingChars="425"/>
    </w:pPr>
    <w:rPr>
      <w:rFonts w:ascii="宋体" w:hAnsi="宋体"/>
      <w:sz w:val="24"/>
    </w:rPr>
  </w:style>
  <w:style w:type="paragraph" w:styleId="10">
    <w:name w:val="Block Text"/>
    <w:basedOn w:val="1"/>
    <w:next w:val="11"/>
    <w:qFormat/>
    <w:uiPriority w:val="0"/>
    <w:pPr>
      <w:autoSpaceDE w:val="0"/>
      <w:autoSpaceDN w:val="0"/>
      <w:adjustRightInd w:val="0"/>
      <w:spacing w:line="360" w:lineRule="auto"/>
      <w:ind w:left="237" w:right="216" w:firstLine="420"/>
    </w:pPr>
    <w:rPr>
      <w:rFonts w:ascii="宋体" w:hAnsi="宋体"/>
      <w:kern w:val="0"/>
      <w:sz w:val="24"/>
      <w:szCs w:val="21"/>
    </w:rPr>
  </w:style>
  <w:style w:type="paragraph" w:styleId="11">
    <w:name w:val="Plain Text"/>
    <w:basedOn w:val="8"/>
    <w:next w:val="1"/>
    <w:unhideWhenUsed/>
    <w:qFormat/>
    <w:uiPriority w:val="99"/>
    <w:rPr>
      <w:rFonts w:hint="eastAsia" w:ascii="宋体" w:hAnsi="Courier New"/>
      <w:sz w:val="24"/>
    </w:rPr>
  </w:style>
  <w:style w:type="paragraph" w:styleId="12">
    <w:name w:val="toc 3"/>
    <w:basedOn w:val="1"/>
    <w:next w:val="1"/>
    <w:qFormat/>
    <w:uiPriority w:val="0"/>
    <w:pPr>
      <w:ind w:left="840" w:leftChars="400"/>
    </w:pPr>
  </w:style>
  <w:style w:type="paragraph" w:styleId="13">
    <w:name w:val="Body Text Indent 2"/>
    <w:basedOn w:val="1"/>
    <w:qFormat/>
    <w:uiPriority w:val="99"/>
    <w:pPr>
      <w:tabs>
        <w:tab w:val="left" w:pos="5625"/>
      </w:tabs>
      <w:ind w:left="1138" w:leftChars="542"/>
    </w:pPr>
    <w:rPr>
      <w:rFonts w:ascii="Times New Roman"/>
      <w:kern w:val="2"/>
    </w:rPr>
  </w:style>
  <w:style w:type="paragraph" w:styleId="14">
    <w:name w:val="footer"/>
    <w:basedOn w:val="1"/>
    <w:next w:val="8"/>
    <w:unhideWhenUsed/>
    <w:qFormat/>
    <w:uiPriority w:val="0"/>
    <w:pPr>
      <w:tabs>
        <w:tab w:val="center" w:pos="4153"/>
        <w:tab w:val="right" w:pos="8306"/>
      </w:tabs>
      <w:snapToGrid w:val="0"/>
      <w:jc w:val="left"/>
    </w:pPr>
    <w:rPr>
      <w:sz w:val="18"/>
    </w:rPr>
  </w:style>
  <w:style w:type="paragraph" w:styleId="15">
    <w:name w:val="envelope return"/>
    <w:basedOn w:val="1"/>
    <w:qFormat/>
    <w:uiPriority w:val="0"/>
    <w:pPr>
      <w:snapToGrid w:val="0"/>
    </w:pPr>
    <w:rPr>
      <w:rFonts w:ascii="Arial" w:hAnsi="Arial"/>
    </w:rPr>
  </w:style>
  <w:style w:type="paragraph" w:styleId="16">
    <w:name w:val="header"/>
    <w:basedOn w:val="1"/>
    <w:unhideWhenUsed/>
    <w:qFormat/>
    <w:uiPriority w:val="0"/>
    <w:pPr>
      <w:pBdr>
        <w:bottom w:val="single" w:color="auto" w:sz="6" w:space="1"/>
      </w:pBdr>
      <w:tabs>
        <w:tab w:val="center" w:pos="4153"/>
        <w:tab w:val="right" w:pos="8306"/>
      </w:tabs>
      <w:adjustRightInd w:val="0"/>
      <w:spacing w:line="240" w:lineRule="atLeast"/>
      <w:jc w:val="center"/>
    </w:pPr>
    <w:rPr>
      <w:kern w:val="0"/>
      <w:sz w:val="18"/>
    </w:rPr>
  </w:style>
  <w:style w:type="paragraph" w:styleId="17">
    <w:name w:val="toc 1"/>
    <w:basedOn w:val="1"/>
    <w:next w:val="1"/>
    <w:unhideWhenUsed/>
    <w:qFormat/>
    <w:uiPriority w:val="39"/>
  </w:style>
  <w:style w:type="paragraph" w:styleId="18">
    <w:name w:val="Body Text Indent 3"/>
    <w:basedOn w:val="1"/>
    <w:qFormat/>
    <w:uiPriority w:val="0"/>
    <w:pPr>
      <w:adjustRightInd w:val="0"/>
      <w:spacing w:before="120" w:line="420" w:lineRule="auto"/>
      <w:ind w:right="-550" w:firstLine="425"/>
      <w:textAlignment w:val="baseline"/>
    </w:pPr>
    <w:rPr>
      <w:rFonts w:ascii="宋体" w:eastAsia="宋体" w:cs="Times New Roman"/>
      <w:spacing w:val="14"/>
      <w:kern w:val="0"/>
      <w:sz w:val="24"/>
      <w:szCs w:val="20"/>
    </w:rPr>
  </w:style>
  <w:style w:type="paragraph" w:styleId="19">
    <w:name w:val="toc 2"/>
    <w:basedOn w:val="1"/>
    <w:next w:val="1"/>
    <w:qFormat/>
    <w:uiPriority w:val="0"/>
    <w:pPr>
      <w:ind w:left="420" w:leftChars="200"/>
    </w:pPr>
  </w:style>
  <w:style w:type="paragraph" w:styleId="2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黑体" w:hAnsi="Courier New" w:eastAsia="黑体" w:cs="Courier New"/>
      <w:kern w:val="0"/>
      <w:sz w:val="20"/>
    </w:rPr>
  </w:style>
  <w:style w:type="paragraph" w:styleId="21">
    <w:name w:val="Normal (Web)"/>
    <w:basedOn w:val="1"/>
    <w:unhideWhenUsed/>
    <w:qFormat/>
    <w:uiPriority w:val="99"/>
    <w:pPr>
      <w:spacing w:before="100" w:beforeAutospacing="1" w:after="100" w:afterAutospacing="1"/>
      <w:jc w:val="left"/>
    </w:pPr>
    <w:rPr>
      <w:kern w:val="0"/>
      <w:sz w:val="24"/>
    </w:rPr>
  </w:style>
  <w:style w:type="paragraph" w:styleId="22">
    <w:name w:val="Body Text First Indent"/>
    <w:basedOn w:val="8"/>
    <w:next w:val="23"/>
    <w:qFormat/>
    <w:uiPriority w:val="0"/>
    <w:pPr>
      <w:adjustRightInd w:val="0"/>
      <w:ind w:firstLine="420"/>
      <w:jc w:val="left"/>
      <w:textAlignment w:val="baseline"/>
    </w:pPr>
    <w:rPr>
      <w:kern w:val="0"/>
      <w:sz w:val="21"/>
    </w:rPr>
  </w:style>
  <w:style w:type="paragraph" w:styleId="23">
    <w:name w:val="Body Text First Indent 2"/>
    <w:basedOn w:val="9"/>
    <w:next w:val="1"/>
    <w:qFormat/>
    <w:uiPriority w:val="0"/>
    <w:pPr>
      <w:ind w:firstLine="420"/>
    </w:pPr>
    <w:rPr>
      <w:rFonts w:hint="eastAsia"/>
      <w:sz w:val="21"/>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0"/>
    <w:rPr>
      <w:b/>
      <w:bCs/>
    </w:rPr>
  </w:style>
  <w:style w:type="character" w:styleId="28">
    <w:name w:val="FollowedHyperlink"/>
    <w:qFormat/>
    <w:uiPriority w:val="0"/>
    <w:rPr>
      <w:color w:val="800080"/>
      <w:u w:val="none"/>
    </w:rPr>
  </w:style>
  <w:style w:type="character" w:styleId="29">
    <w:name w:val="Emphasis"/>
    <w:qFormat/>
    <w:uiPriority w:val="0"/>
    <w:rPr>
      <w:b/>
      <w:bCs/>
    </w:rPr>
  </w:style>
  <w:style w:type="character" w:styleId="30">
    <w:name w:val="HTML Definition"/>
    <w:qFormat/>
    <w:uiPriority w:val="0"/>
  </w:style>
  <w:style w:type="character" w:styleId="31">
    <w:name w:val="HTML Typewriter"/>
    <w:qFormat/>
    <w:uiPriority w:val="0"/>
    <w:rPr>
      <w:rFonts w:hint="default" w:ascii="monospace" w:hAnsi="monospace" w:eastAsia="monospace" w:cs="monospace"/>
      <w:sz w:val="20"/>
    </w:rPr>
  </w:style>
  <w:style w:type="character" w:styleId="32">
    <w:name w:val="HTML Acronym"/>
    <w:qFormat/>
    <w:uiPriority w:val="0"/>
  </w:style>
  <w:style w:type="character" w:styleId="33">
    <w:name w:val="HTML Variable"/>
    <w:qFormat/>
    <w:uiPriority w:val="0"/>
  </w:style>
  <w:style w:type="character" w:styleId="34">
    <w:name w:val="Hyperlink"/>
    <w:unhideWhenUsed/>
    <w:qFormat/>
    <w:uiPriority w:val="99"/>
    <w:rPr>
      <w:rFonts w:hint="eastAsia" w:ascii="宋体" w:hAnsi="宋体" w:eastAsia="宋体" w:cs="宋体"/>
      <w:color w:val="000000"/>
      <w:sz w:val="18"/>
      <w:szCs w:val="18"/>
      <w:u w:val="none"/>
    </w:rPr>
  </w:style>
  <w:style w:type="character" w:styleId="35">
    <w:name w:val="HTML Code"/>
    <w:qFormat/>
    <w:uiPriority w:val="0"/>
    <w:rPr>
      <w:rFonts w:ascii="monospace" w:hAnsi="monospace" w:eastAsia="monospace" w:cs="monospace"/>
      <w:sz w:val="20"/>
    </w:rPr>
  </w:style>
  <w:style w:type="character" w:styleId="36">
    <w:name w:val="HTML Cite"/>
    <w:qFormat/>
    <w:uiPriority w:val="0"/>
  </w:style>
  <w:style w:type="character" w:styleId="37">
    <w:name w:val="HTML Keyboard"/>
    <w:qFormat/>
    <w:uiPriority w:val="0"/>
    <w:rPr>
      <w:rFonts w:hint="default" w:ascii="monospace" w:hAnsi="monospace" w:eastAsia="monospace" w:cs="monospace"/>
      <w:sz w:val="20"/>
    </w:rPr>
  </w:style>
  <w:style w:type="character" w:styleId="38">
    <w:name w:val="HTML Sample"/>
    <w:qFormat/>
    <w:uiPriority w:val="0"/>
    <w:rPr>
      <w:rFonts w:hint="default" w:ascii="monospace" w:hAnsi="monospace" w:eastAsia="monospace" w:cs="monospace"/>
    </w:rPr>
  </w:style>
  <w:style w:type="character" w:customStyle="1" w:styleId="39">
    <w:name w:val="标题 1 Char"/>
    <w:link w:val="2"/>
    <w:qFormat/>
    <w:uiPriority w:val="9"/>
    <w:rPr>
      <w:b/>
      <w:kern w:val="44"/>
      <w:sz w:val="44"/>
    </w:rPr>
  </w:style>
  <w:style w:type="character" w:customStyle="1" w:styleId="40">
    <w:name w:val="标题 2 Char"/>
    <w:link w:val="3"/>
    <w:qFormat/>
    <w:uiPriority w:val="0"/>
    <w:rPr>
      <w:rFonts w:ascii="Arial" w:hAnsi="Arial" w:eastAsia="黑体"/>
      <w:b/>
      <w:sz w:val="32"/>
    </w:rPr>
  </w:style>
  <w:style w:type="paragraph" w:customStyle="1" w:styleId="41">
    <w:name w:val="Default"/>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42">
    <w:name w:val="正式文本"/>
    <w:basedOn w:val="1"/>
    <w:qFormat/>
    <w:uiPriority w:val="0"/>
    <w:pPr>
      <w:spacing w:line="540" w:lineRule="exact"/>
      <w:ind w:firstLine="200" w:firstLineChars="200"/>
    </w:pPr>
    <w:rPr>
      <w:rFonts w:ascii="宋体" w:hAnsi="Arial Narrow"/>
      <w:sz w:val="28"/>
      <w:szCs w:val="24"/>
    </w:rPr>
  </w:style>
  <w:style w:type="paragraph" w:customStyle="1" w:styleId="43">
    <w:name w:val="正文（绿盟科技）"/>
    <w:qFormat/>
    <w:uiPriority w:val="0"/>
    <w:pPr>
      <w:spacing w:line="300" w:lineRule="auto"/>
    </w:pPr>
    <w:rPr>
      <w:rFonts w:ascii="Arial" w:hAnsi="Arial" w:eastAsia="宋体" w:cs="黑体"/>
      <w:sz w:val="21"/>
      <w:szCs w:val="21"/>
      <w:lang w:val="en-US" w:eastAsia="zh-CN" w:bidi="ar-SA"/>
    </w:rPr>
  </w:style>
  <w:style w:type="character" w:customStyle="1" w:styleId="44">
    <w:name w:val="font61"/>
    <w:qFormat/>
    <w:uiPriority w:val="0"/>
    <w:rPr>
      <w:rFonts w:hint="default" w:ascii="Calibri" w:hAnsi="Calibri" w:cs="Calibri"/>
      <w:color w:val="000000"/>
      <w:sz w:val="24"/>
      <w:szCs w:val="24"/>
      <w:u w:val="none"/>
    </w:rPr>
  </w:style>
  <w:style w:type="character" w:customStyle="1" w:styleId="45">
    <w:name w:val="font01"/>
    <w:qFormat/>
    <w:uiPriority w:val="0"/>
    <w:rPr>
      <w:rFonts w:hint="eastAsia" w:ascii="宋体" w:hAnsi="宋体" w:eastAsia="宋体" w:cs="宋体"/>
      <w:color w:val="000000"/>
      <w:sz w:val="24"/>
      <w:szCs w:val="24"/>
      <w:u w:val="none"/>
    </w:rPr>
  </w:style>
  <w:style w:type="character" w:customStyle="1" w:styleId="46">
    <w:name w:val="font81"/>
    <w:qFormat/>
    <w:uiPriority w:val="0"/>
    <w:rPr>
      <w:rFonts w:hint="eastAsia" w:ascii="宋体" w:hAnsi="宋体" w:eastAsia="宋体" w:cs="宋体"/>
      <w:color w:val="000000"/>
      <w:sz w:val="24"/>
      <w:szCs w:val="24"/>
      <w:u w:val="none"/>
    </w:rPr>
  </w:style>
  <w:style w:type="character" w:customStyle="1" w:styleId="47">
    <w:name w:val="mini-outputtext1"/>
    <w:qFormat/>
    <w:uiPriority w:val="0"/>
  </w:style>
  <w:style w:type="paragraph" w:customStyle="1" w:styleId="48">
    <w:name w:val="列出段落1"/>
    <w:basedOn w:val="1"/>
    <w:qFormat/>
    <w:uiPriority w:val="34"/>
    <w:pPr>
      <w:ind w:firstLine="420" w:firstLineChars="200"/>
    </w:pPr>
  </w:style>
  <w:style w:type="table" w:customStyle="1" w:styleId="49">
    <w:name w:val="网格型1"/>
    <w:basedOn w:val="2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0">
    <w:name w:val="正文缩进1"/>
    <w:basedOn w:val="1"/>
    <w:qFormat/>
    <w:uiPriority w:val="0"/>
    <w:pPr>
      <w:ind w:firstLine="420" w:firstLineChars="200"/>
    </w:pPr>
  </w:style>
  <w:style w:type="paragraph" w:customStyle="1" w:styleId="51">
    <w:name w:val="Table Paragraph"/>
    <w:basedOn w:val="1"/>
    <w:qFormat/>
    <w:uiPriority w:val="1"/>
    <w:rPr>
      <w:rFonts w:ascii="宋体" w:hAnsi="宋体" w:eastAsia="宋体" w:cs="宋体"/>
      <w:lang w:val="zh-CN" w:eastAsia="zh-CN" w:bidi="zh-CN"/>
    </w:rPr>
  </w:style>
  <w:style w:type="paragraph" w:customStyle="1" w:styleId="52">
    <w:name w:val="样式 10 磅"/>
    <w:qFormat/>
    <w:uiPriority w:val="0"/>
    <w:pPr>
      <w:widowControl w:val="0"/>
      <w:jc w:val="both"/>
    </w:pPr>
    <w:rPr>
      <w:rFonts w:ascii="Calibri" w:hAnsi="Calibri" w:eastAsia="宋体" w:cs="Times New Roman"/>
      <w:kern w:val="2"/>
      <w:sz w:val="21"/>
      <w:szCs w:val="24"/>
      <w:lang w:val="en-US" w:eastAsia="zh-CN" w:bidi="ar-SA"/>
    </w:rPr>
  </w:style>
  <w:style w:type="paragraph" w:customStyle="1" w:styleId="53">
    <w:name w:val="Fließtext"/>
    <w:basedOn w:val="1"/>
    <w:qFormat/>
    <w:uiPriority w:val="0"/>
    <w:pPr>
      <w:overflowPunct w:val="0"/>
      <w:autoSpaceDE w:val="0"/>
      <w:autoSpaceDN w:val="0"/>
      <w:adjustRightInd w:val="0"/>
      <w:textAlignment w:val="baseline"/>
    </w:pPr>
    <w:rPr>
      <w:kern w:val="28"/>
      <w:sz w:val="28"/>
      <w:szCs w:val="20"/>
    </w:rPr>
  </w:style>
  <w:style w:type="paragraph" w:customStyle="1" w:styleId="54">
    <w:name w:val="UserStyle_0"/>
    <w:basedOn w:val="1"/>
    <w:qFormat/>
    <w:uiPriority w:val="0"/>
    <w:pPr>
      <w:snapToGrid w:val="0"/>
      <w:spacing w:line="360" w:lineRule="auto"/>
      <w:ind w:firstLine="200" w:firstLineChars="200"/>
      <w:jc w:val="left"/>
      <w:textAlignment w:val="baseline"/>
    </w:pPr>
    <w:rPr>
      <w:rFonts w:ascii="Times New Roman" w:hAnsi="Times New Roman" w:eastAsia="宋体"/>
      <w:color w:val="000000"/>
      <w:kern w:val="0"/>
      <w:sz w:val="24"/>
      <w:szCs w:val="28"/>
      <w:lang w:val="en-US" w:eastAsia="zh-CN" w:bidi="ar-SA"/>
    </w:rPr>
  </w:style>
  <w:style w:type="character" w:customStyle="1" w:styleId="55">
    <w:name w:val="NormalCharacter"/>
    <w:qFormat/>
    <w:uiPriority w:val="0"/>
    <w:rPr>
      <w:kern w:val="2"/>
      <w:sz w:val="21"/>
      <w:lang w:val="en-US" w:eastAsia="zh-CN" w:bidi="ar-SA"/>
    </w:rPr>
  </w:style>
  <w:style w:type="character" w:customStyle="1" w:styleId="56">
    <w:name w:val="font51"/>
    <w:basedOn w:val="26"/>
    <w:qFormat/>
    <w:uiPriority w:val="0"/>
    <w:rPr>
      <w:rFonts w:hint="default" w:ascii="仿宋_GB2312" w:eastAsia="仿宋_GB2312" w:cs="仿宋_GB2312"/>
      <w:color w:val="000000"/>
      <w:sz w:val="20"/>
      <w:szCs w:val="20"/>
      <w:u w:val="none"/>
    </w:rPr>
  </w:style>
  <w:style w:type="character" w:customStyle="1" w:styleId="57">
    <w:name w:val="font91"/>
    <w:basedOn w:val="26"/>
    <w:qFormat/>
    <w:uiPriority w:val="0"/>
    <w:rPr>
      <w:rFonts w:hint="default" w:ascii="仿宋_GB2312" w:eastAsia="仿宋_GB2312" w:cs="仿宋_GB2312"/>
      <w:color w:val="FF0000"/>
      <w:sz w:val="20"/>
      <w:szCs w:val="20"/>
      <w:u w:val="none"/>
    </w:rPr>
  </w:style>
  <w:style w:type="character" w:customStyle="1" w:styleId="58">
    <w:name w:val="font41"/>
    <w:basedOn w:val="26"/>
    <w:qFormat/>
    <w:uiPriority w:val="0"/>
    <w:rPr>
      <w:rFonts w:hint="eastAsia" w:ascii="宋体" w:hAnsi="宋体" w:eastAsia="宋体" w:cs="宋体"/>
      <w:b/>
      <w:bCs/>
      <w:color w:val="000000"/>
      <w:sz w:val="22"/>
      <w:szCs w:val="22"/>
      <w:u w:val="none"/>
    </w:rPr>
  </w:style>
  <w:style w:type="character" w:customStyle="1" w:styleId="59">
    <w:name w:val="font71"/>
    <w:basedOn w:val="26"/>
    <w:qFormat/>
    <w:uiPriority w:val="0"/>
    <w:rPr>
      <w:rFonts w:ascii="Calibri" w:hAnsi="Calibri" w:cs="Calibri"/>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5.png"/><Relationship Id="rId22" Type="http://schemas.openxmlformats.org/officeDocument/2006/relationships/image" Target="media/image4.png"/><Relationship Id="rId21" Type="http://schemas.openxmlformats.org/officeDocument/2006/relationships/image" Target="media/image3.png"/><Relationship Id="rId20" Type="http://schemas.openxmlformats.org/officeDocument/2006/relationships/image" Target="media/image2.png"/><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81</Pages>
  <Words>26345</Words>
  <Characters>28877</Characters>
  <Lines>297</Lines>
  <Paragraphs>83</Paragraphs>
  <TotalTime>48</TotalTime>
  <ScaleCrop>false</ScaleCrop>
  <LinksUpToDate>false</LinksUpToDate>
  <CharactersWithSpaces>30556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2025-03-20T12:55:00Z</dcterms:created>
  <dc:creator>Administrator</dc:creator>
  <cp:lastModifiedBy>米丽</cp:lastModifiedBy>
  <cp:lastPrinted>2024-11-15T01:07:00Z</cp:lastPrinted>
  <dcterms:modified xsi:type="dcterms:W3CDTF">2026-07-23T12:19:07Z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40D85483F25E4A95A5A7F8C7E1AA889C_13</vt:lpwstr>
  </property>
  <property fmtid="{D5CDD505-2E9C-101B-9397-08002B2CF9AE}" pid="4" name="KSOTemplateDocerSaveRecord">
    <vt:lpwstr>eyJoZGlkIjoiNTViYzEyMTU1NjE2NGVhYWY0ZmM4NjMxZjJlMjNjYzkiLCJ1c2VySWQiOiIxMTUwOTYxMDM2In0=</vt:lpwstr>
  </property>
</Properties>
</file>