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版本号：SXGLZFCG2026-019号20260727001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博物馆可移动文物预防性保护项目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SXGLZFCG2026-019号</w:t>
      </w:r>
      <w:r>
        <w:br/>
      </w:r>
      <w:r>
        <w:br/>
      </w:r>
      <w:r>
        <w:br/>
      </w:r>
    </w:p>
    <w:p>
      <w:pPr>
        <w:pStyle w:val="null3"/>
        <w:jc w:val="center"/>
        <w:outlineLvl w:val="2"/>
      </w:pPr>
      <w:r>
        <w:rPr>
          <w:rFonts w:ascii="仿宋_GB2312" w:hAnsi="仿宋_GB2312" w:cs="仿宋_GB2312" w:eastAsia="仿宋_GB2312"/>
          <w:sz w:val="28"/>
          <w:b/>
        </w:rPr>
        <w:t>耀州窑博物馆</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耀州窑博物馆</w:t>
      </w:r>
      <w:r>
        <w:rPr>
          <w:rFonts w:ascii="仿宋_GB2312" w:hAnsi="仿宋_GB2312" w:cs="仿宋_GB2312" w:eastAsia="仿宋_GB2312"/>
        </w:rPr>
        <w:t>委托，拟对</w:t>
      </w:r>
      <w:r>
        <w:rPr>
          <w:rFonts w:ascii="仿宋_GB2312" w:hAnsi="仿宋_GB2312" w:cs="仿宋_GB2312" w:eastAsia="仿宋_GB2312"/>
        </w:rPr>
        <w:t>博物馆可移动文物预防性保护项目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SXGLZFCG2026-019号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博物馆可移动文物预防性保护项目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博物馆可移动文物预防性保护项目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采购包1（博物馆可移动文物预防性保护项目）：属于专门面向中小企业采购。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p>
      <w:pPr>
        <w:pStyle w:val="null3"/>
      </w:pPr>
      <w:r>
        <w:rPr>
          <w:rFonts w:ascii="仿宋_GB2312" w:hAnsi="仿宋_GB2312" w:cs="仿宋_GB2312" w:eastAsia="仿宋_GB2312"/>
        </w:rPr>
        <w:t>2、授权委托书：法定代表人直接参加投标的，须出具法人身份证，并与营业执照上信息一致；法定代表人授权代表 参加投标的，须出具法定代表人授权书及授权代表身份证；</w:t>
      </w:r>
    </w:p>
    <w:p>
      <w:pPr>
        <w:pStyle w:val="null3"/>
      </w:pPr>
      <w:r>
        <w:rPr>
          <w:rFonts w:ascii="仿宋_GB2312" w:hAnsi="仿宋_GB2312" w:cs="仿宋_GB2312" w:eastAsia="仿宋_GB2312"/>
        </w:rPr>
        <w:t>3、财务状况报告：提供（1）或提供（2）：（1）提供2023年度至2025年度任意一年财务报告复印件，应满足以下要求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p>
      <w:pPr>
        <w:pStyle w:val="null3"/>
      </w:pPr>
      <w:r>
        <w:rPr>
          <w:rFonts w:ascii="仿宋_GB2312" w:hAnsi="仿宋_GB2312" w:cs="仿宋_GB2312" w:eastAsia="仿宋_GB2312"/>
        </w:rPr>
        <w:t>4、税收缴纳证明：提供2026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5、社保缴纳证明：提供2026年1月至今任意一个月的社会保障资金缴存单据或社保机构开具的社会保险参保缴费情况证明。依法不需要缴纳社会保障资金的供应商，应提供相关证明文件；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6、供应商信誉：供应商不得为“信用中国”网站（www.creditchina.gov.cn）中列入失信被执行人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p>
      <w:pPr>
        <w:pStyle w:val="null3"/>
      </w:pPr>
      <w:r>
        <w:rPr>
          <w:rFonts w:ascii="仿宋_GB2312" w:hAnsi="仿宋_GB2312" w:cs="仿宋_GB2312" w:eastAsia="仿宋_GB2312"/>
        </w:rPr>
        <w:t>7、设备和专业技术能力承诺：具有履行合同所必需的设备和专业技术能力，提供证明材料或书面承诺并加盖公章 ；</w:t>
      </w:r>
    </w:p>
    <w:p>
      <w:pPr>
        <w:pStyle w:val="null3"/>
      </w:pPr>
      <w:r>
        <w:rPr>
          <w:rFonts w:ascii="仿宋_GB2312" w:hAnsi="仿宋_GB2312" w:cs="仿宋_GB2312" w:eastAsia="仿宋_GB2312"/>
        </w:rPr>
        <w:t>8、无重大违法记录声明：供应商在近三年经营活动中没有重大违法记录的声明；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耀州窑博物馆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陕西省铜川市王益区黄堡镇新宜南路25号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耀州窑博物馆经办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0919-7168930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采购包1：949,063.97元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采购人与采购代理机构约定：参照原国家计委计价格〔2002〕1980号文和国家发改委发改办价格〔2003〕857号文的计算方法标准收取由中标（成交）单位一次性支付给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耀州窑博物馆</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耀州窑博物馆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耀州窑博物馆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以最终签订正式合同为准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地址：陕西省铜川市新区朝阳路鸿翔逸境1号楼商业区1-4层3楼304室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耀州窑博物馆可移动文物预防性保护项目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949,063.97</w:t>
      </w:r>
    </w:p>
    <w:p>
      <w:pPr>
        <w:pStyle w:val="null3"/>
      </w:pPr>
      <w:r>
        <w:rPr>
          <w:rFonts w:ascii="仿宋_GB2312" w:hAnsi="仿宋_GB2312" w:cs="仿宋_GB2312" w:eastAsia="仿宋_GB2312"/>
        </w:rPr>
        <w:t>采购包最高限价（元）: 949,063.97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耀州窑博物馆可移动文物预防性保护项目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949,063.97</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标的名称：耀州窑博物馆可移动文物预防性保护项目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2"/>
              <w:gridCol w:w="523"/>
              <w:gridCol w:w="217"/>
              <w:gridCol w:w="205"/>
              <w:gridCol w:w="1416"/>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环境离线检测设备</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便携式温湿度检测仪</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1.温度测量范围：-</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2.温度精度：±0.3℃；</w:t>
                  </w:r>
                </w:p>
                <w:p>
                  <w:pPr>
                    <w:pStyle w:val="null3"/>
                    <w:jc w:val="left"/>
                  </w:pPr>
                  <w:r>
                    <w:rPr>
                      <w:rFonts w:ascii="仿宋_GB2312" w:hAnsi="仿宋_GB2312" w:cs="仿宋_GB2312" w:eastAsia="仿宋_GB2312"/>
                      <w:sz w:val="21"/>
                    </w:rPr>
                    <w:t>3.湿度测量范围：</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0%RH；</w:t>
                  </w:r>
                </w:p>
                <w:p>
                  <w:pPr>
                    <w:pStyle w:val="null3"/>
                    <w:jc w:val="left"/>
                  </w:pPr>
                  <w:r>
                    <w:rPr>
                      <w:rFonts w:ascii="仿宋_GB2312" w:hAnsi="仿宋_GB2312" w:cs="仿宋_GB2312" w:eastAsia="仿宋_GB2312"/>
                      <w:sz w:val="21"/>
                    </w:rPr>
                    <w:t>4.湿度测量精度：±2%RH。</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便携式照度与紫外合一检测仪</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1.紫外测量范围：</w:t>
                  </w:r>
                  <w:r>
                    <w:rPr>
                      <w:rFonts w:ascii="仿宋_GB2312" w:hAnsi="仿宋_GB2312" w:cs="仿宋_GB2312" w:eastAsia="仿宋_GB2312"/>
                      <w:sz w:val="21"/>
                    </w:rPr>
                    <w:t>0.02</w:t>
                  </w:r>
                  <w:r>
                    <w:rPr>
                      <w:rFonts w:ascii="仿宋_GB2312" w:hAnsi="仿宋_GB2312" w:cs="仿宋_GB2312" w:eastAsia="仿宋_GB2312"/>
                      <w:sz w:val="21"/>
                    </w:rPr>
                    <w:t>～</w:t>
                  </w:r>
                  <w:r>
                    <w:rPr>
                      <w:rFonts w:ascii="仿宋_GB2312" w:hAnsi="仿宋_GB2312" w:cs="仿宋_GB2312" w:eastAsia="仿宋_GB2312"/>
                      <w:sz w:val="21"/>
                    </w:rPr>
                    <w:t>230</w:t>
                  </w:r>
                  <w:r>
                    <w:rPr>
                      <w:rFonts w:ascii="仿宋_GB2312" w:hAnsi="仿宋_GB2312" w:cs="仿宋_GB2312" w:eastAsia="仿宋_GB2312"/>
                      <w:sz w:val="21"/>
                    </w:rPr>
                    <w:t>μw/cm2；</w:t>
                  </w:r>
                </w:p>
                <w:p>
                  <w:pPr>
                    <w:pStyle w:val="null3"/>
                    <w:jc w:val="left"/>
                  </w:pPr>
                  <w:r>
                    <w:rPr>
                      <w:rFonts w:ascii="仿宋_GB2312" w:hAnsi="仿宋_GB2312" w:cs="仿宋_GB2312" w:eastAsia="仿宋_GB2312"/>
                      <w:sz w:val="21"/>
                    </w:rPr>
                    <w:t>2.紫外测量精度：±8%读数；</w:t>
                  </w:r>
                </w:p>
                <w:p>
                  <w:pPr>
                    <w:pStyle w:val="null3"/>
                    <w:jc w:val="left"/>
                  </w:pPr>
                  <w:r>
                    <w:rPr>
                      <w:rFonts w:ascii="仿宋_GB2312" w:hAnsi="仿宋_GB2312" w:cs="仿宋_GB2312" w:eastAsia="仿宋_GB2312"/>
                      <w:sz w:val="21"/>
                    </w:rPr>
                    <w:t>3.光照测量范围：0</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2000lx；</w:t>
                  </w:r>
                </w:p>
                <w:p>
                  <w:pPr>
                    <w:pStyle w:val="null3"/>
                    <w:jc w:val="left"/>
                  </w:pPr>
                  <w:r>
                    <w:rPr>
                      <w:rFonts w:ascii="仿宋_GB2312" w:hAnsi="仿宋_GB2312" w:cs="仿宋_GB2312" w:eastAsia="仿宋_GB2312"/>
                      <w:sz w:val="21"/>
                    </w:rPr>
                    <w:t>4.光照测量精度：±4%读数。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便携式甲醛检测仪</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1.测量范围：0～10ppm；</w:t>
                  </w:r>
                </w:p>
                <w:p>
                  <w:pPr>
                    <w:pStyle w:val="null3"/>
                    <w:jc w:val="left"/>
                  </w:pPr>
                  <w:r>
                    <w:rPr>
                      <w:rFonts w:ascii="仿宋_GB2312" w:hAnsi="仿宋_GB2312" w:cs="仿宋_GB2312" w:eastAsia="仿宋_GB2312"/>
                      <w:sz w:val="21"/>
                    </w:rPr>
                    <w:t>2.精度：±2%读数。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温湿度记录仪</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1.温度测量范围：-</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2.温度精度：±0.3℃；</w:t>
                  </w:r>
                </w:p>
                <w:p>
                  <w:pPr>
                    <w:pStyle w:val="null3"/>
                    <w:jc w:val="left"/>
                  </w:pPr>
                  <w:r>
                    <w:rPr>
                      <w:rFonts w:ascii="仿宋_GB2312" w:hAnsi="仿宋_GB2312" w:cs="仿宋_GB2312" w:eastAsia="仿宋_GB2312"/>
                      <w:sz w:val="21"/>
                      <w:color w:val="000000"/>
                    </w:rPr>
                    <w:t>3.湿度测量范围：</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0%RH；</w:t>
                  </w:r>
                </w:p>
                <w:p>
                  <w:pPr>
                    <w:pStyle w:val="null3"/>
                    <w:jc w:val="left"/>
                  </w:pPr>
                  <w:r>
                    <w:rPr>
                      <w:rFonts w:ascii="仿宋_GB2312" w:hAnsi="仿宋_GB2312" w:cs="仿宋_GB2312" w:eastAsia="仿宋_GB2312"/>
                      <w:sz w:val="21"/>
                      <w:color w:val="000000"/>
                    </w:rPr>
                    <w:t>4.湿度测量精度：±2%RH；</w:t>
                  </w:r>
                </w:p>
                <w:p>
                  <w:pPr>
                    <w:pStyle w:val="null3"/>
                    <w:jc w:val="left"/>
                  </w:pPr>
                  <w:r>
                    <w:rPr>
                      <w:rFonts w:ascii="仿宋_GB2312" w:hAnsi="仿宋_GB2312" w:cs="仿宋_GB2312" w:eastAsia="仿宋_GB2312"/>
                      <w:sz w:val="21"/>
                      <w:color w:val="000000"/>
                    </w:rPr>
                    <w:t>5.能记录至少30000条数据；</w:t>
                  </w:r>
                </w:p>
                <w:p>
                  <w:pPr>
                    <w:pStyle w:val="null3"/>
                    <w:jc w:val="left"/>
                  </w:pPr>
                  <w:r>
                    <w:rPr>
                      <w:rFonts w:ascii="仿宋_GB2312" w:hAnsi="仿宋_GB2312" w:cs="仿宋_GB2312" w:eastAsia="仿宋_GB2312"/>
                      <w:sz w:val="21"/>
                      <w:color w:val="000000"/>
                    </w:rPr>
                    <w:t>6.配套数据下载和分析软件。</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数字温度显示计</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25"/>
                    <w:jc w:val="left"/>
                  </w:pPr>
                  <w:r>
                    <w:rPr>
                      <w:rFonts w:ascii="仿宋_GB2312" w:hAnsi="仿宋_GB2312" w:cs="仿宋_GB2312" w:eastAsia="仿宋_GB2312"/>
                      <w:sz w:val="21"/>
                      <w:color w:val="000000"/>
                    </w:rPr>
                    <w:t>1.温度量程：-10～70℃；</w:t>
                  </w:r>
                </w:p>
                <w:p>
                  <w:pPr>
                    <w:pStyle w:val="null3"/>
                    <w:ind w:left="525"/>
                    <w:jc w:val="left"/>
                  </w:pPr>
                  <w:r>
                    <w:rPr>
                      <w:rFonts w:ascii="仿宋_GB2312" w:hAnsi="仿宋_GB2312" w:cs="仿宋_GB2312" w:eastAsia="仿宋_GB2312"/>
                      <w:sz w:val="21"/>
                      <w:color w:val="000000"/>
                    </w:rPr>
                    <w:t>2.湿度量程：0～99%RH</w:t>
                  </w:r>
                  <w:r>
                    <w:rPr>
                      <w:rFonts w:ascii="仿宋_GB2312" w:hAnsi="仿宋_GB2312" w:cs="仿宋_GB2312" w:eastAsia="仿宋_GB2312"/>
                      <w:sz w:val="21"/>
                      <w:color w:val="000000"/>
                    </w:rPr>
                    <w:t>。</w:t>
                  </w:r>
                  <w:r>
                    <w:rPr>
                      <w:rFonts w:ascii="仿宋_GB2312" w:hAnsi="仿宋_GB2312" w:cs="仿宋_GB2312" w:eastAsia="仿宋_GB2312"/>
                      <w:sz w:val="21"/>
                      <w:color w:val="000000"/>
                    </w:rPr>
                    <w:t>（含外置温湿度探头）</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文物保存环境调控</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除湿机</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除湿面积：</w:t>
                  </w:r>
                  <w:r>
                    <w:rPr>
                      <w:rFonts w:ascii="仿宋_GB2312" w:hAnsi="仿宋_GB2312" w:cs="仿宋_GB2312" w:eastAsia="仿宋_GB2312"/>
                      <w:sz w:val="21"/>
                    </w:rPr>
                    <w:t>100～150㎡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除湿量：</w:t>
                  </w:r>
                  <w:r>
                    <w:rPr>
                      <w:rFonts w:ascii="仿宋_GB2312" w:hAnsi="仿宋_GB2312" w:cs="仿宋_GB2312" w:eastAsia="仿宋_GB2312"/>
                      <w:sz w:val="21"/>
                    </w:rPr>
                    <w:t>≥</w:t>
                  </w:r>
                  <w:r>
                    <w:rPr>
                      <w:rFonts w:ascii="仿宋_GB2312" w:hAnsi="仿宋_GB2312" w:cs="仿宋_GB2312" w:eastAsia="仿宋_GB2312"/>
                      <w:sz w:val="21"/>
                    </w:rPr>
                    <w:t>90L/D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除湿可调范围：</w:t>
                  </w:r>
                  <w:r>
                    <w:rPr>
                      <w:rFonts w:ascii="仿宋_GB2312" w:hAnsi="仿宋_GB2312" w:cs="仿宋_GB2312" w:eastAsia="仿宋_GB2312"/>
                      <w:sz w:val="21"/>
                    </w:rPr>
                    <w:t>10-9</w:t>
                  </w:r>
                  <w:r>
                    <w:rPr>
                      <w:rFonts w:ascii="仿宋_GB2312" w:hAnsi="仿宋_GB2312" w:cs="仿宋_GB2312" w:eastAsia="仿宋_GB2312"/>
                      <w:sz w:val="21"/>
                    </w:rPr>
                    <w:t>0</w:t>
                  </w:r>
                  <w:r>
                    <w:rPr>
                      <w:rFonts w:ascii="仿宋_GB2312" w:hAnsi="仿宋_GB2312" w:cs="仿宋_GB2312" w:eastAsia="仿宋_GB2312"/>
                      <w:sz w:val="21"/>
                    </w:rPr>
                    <w:t>%RH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干燥风量：</w:t>
                  </w:r>
                  <w:r>
                    <w:rPr>
                      <w:rFonts w:ascii="仿宋_GB2312" w:hAnsi="仿宋_GB2312" w:cs="仿宋_GB2312" w:eastAsia="仿宋_GB2312"/>
                      <w:sz w:val="21"/>
                    </w:rPr>
                    <w:t>≥</w:t>
                  </w:r>
                  <w:r>
                    <w:rPr>
                      <w:rFonts w:ascii="仿宋_GB2312" w:hAnsi="仿宋_GB2312" w:cs="仿宋_GB2312" w:eastAsia="仿宋_GB2312"/>
                      <w:sz w:val="21"/>
                    </w:rPr>
                    <w:t>500m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排水方式：外接软管直排水，可灵活使用到任何场所。</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设备功能：具备</w:t>
                  </w:r>
                  <w:r>
                    <w:rPr>
                      <w:rFonts w:ascii="仿宋_GB2312" w:hAnsi="仿宋_GB2312" w:cs="仿宋_GB2312" w:eastAsia="仿宋_GB2312"/>
                      <w:sz w:val="21"/>
                    </w:rPr>
                    <w:t>LED液晶显示全自动除湿控制，可24h定时开关机控制，停电/断电记忆自动恢复功能，防冻结自动融霜/化霜功能</w:t>
                  </w:r>
                  <w:r>
                    <w:rPr>
                      <w:rFonts w:ascii="仿宋_GB2312" w:hAnsi="仿宋_GB2312" w:cs="仿宋_GB2312" w:eastAsia="仿宋_GB2312"/>
                      <w:sz w:val="21"/>
                    </w:rPr>
                    <w:t>。</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文物储藏设施</w:t>
                  </w:r>
                  <w:r>
                    <w:rPr>
                      <w:rFonts w:ascii="仿宋_GB2312" w:hAnsi="仿宋_GB2312" w:cs="仿宋_GB2312" w:eastAsia="仿宋_GB2312"/>
                      <w:sz w:val="21"/>
                    </w:rPr>
                    <w:t>提升</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（一）文物储藏柜</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多功能文物储藏柜</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1200*800*2200</w:t>
                  </w:r>
                  <w:r>
                    <w:rPr>
                      <w:rFonts w:ascii="仿宋_GB2312" w:hAnsi="仿宋_GB2312" w:cs="仿宋_GB2312" w:eastAsia="仿宋_GB2312"/>
                      <w:sz w:val="21"/>
                    </w:rPr>
                    <w:t>（</w:t>
                  </w:r>
                  <w:r>
                    <w:rPr>
                      <w:rFonts w:ascii="仿宋_GB2312" w:hAnsi="仿宋_GB2312" w:cs="仿宋_GB2312" w:eastAsia="仿宋_GB2312"/>
                      <w:sz w:val="21"/>
                    </w:rPr>
                    <w:t>±2mm）；</w:t>
                  </w:r>
                </w:p>
                <w:p>
                  <w:pPr>
                    <w:pStyle w:val="null3"/>
                    <w:jc w:val="left"/>
                  </w:pPr>
                  <w:r>
                    <w:rPr>
                      <w:rFonts w:ascii="仿宋_GB2312" w:hAnsi="仿宋_GB2312" w:cs="仿宋_GB2312" w:eastAsia="仿宋_GB2312"/>
                      <w:sz w:val="21"/>
                    </w:rPr>
                    <w:t>2.柜体结构：柜体主要由立柱、底梁、搁板、侧板、挂板、顶板、门板、背板等部件组成。</w:t>
                  </w:r>
                </w:p>
                <w:p>
                  <w:pPr>
                    <w:pStyle w:val="null3"/>
                    <w:jc w:val="left"/>
                  </w:pPr>
                  <w:r>
                    <w:rPr>
                      <w:rFonts w:ascii="仿宋_GB2312" w:hAnsi="仿宋_GB2312" w:cs="仿宋_GB2312" w:eastAsia="仿宋_GB2312"/>
                      <w:sz w:val="21"/>
                    </w:rPr>
                    <w:t>3.柜体部件参数；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1）立柱、横挡采用≥1.5mm冷轧钢板，立柱成型尺寸≥50x39mm，允许尺寸公差±1mm，整体五面四翻边下冲折一体成型工艺，立柱压六筋设计。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2）搁板采用≥1.2mm冷轧钢板，采用六折弯一体成形多筋式搁板。搁板下加筋，筋材料厚度采用≥1.0mm冷轧钢板。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3）挂板采用≥1.5mm冷轧钢板，采用模具一体冲压成型，中间腰形拉伸翻边模成形两个台阶加强孔，孔上下位置设有四根圆筋。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4）侧板、侧封板均采用≥1.0mm冷轧钢板，侧板折弯成凹凸造型，外形美观，不易变形。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5）门板采用≥1.2mm冷轧钢板，数控折弯一体成型工艺，四面翻边结构。门板里加筋，采用≥0.8mm厚冷轧钢板，门板封板，采用≥1.0mm厚冷轧钢板，可有效的将筋和锁栓隐藏。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6）门面锁具旋钮、锁芯采用合金材料，锁片为碳钢。沿旋钮顺时针旋转90°可实现柜门开启或关闭。锁芯、锁片可镀铬、锌，根据客户需求定制。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7）顶板采用≥1.0mm冷轧钢板，一体成型。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8）底梁采用≥2.0mm冷轧钢板，一体成型。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9）背板采用≥1.0mm冷轧钢板。背板加筋，采用≥0.8mm厚冷轧钢板。</w:t>
                  </w:r>
                </w:p>
                <w:p>
                  <w:pPr>
                    <w:pStyle w:val="null3"/>
                    <w:jc w:val="left"/>
                  </w:pPr>
                  <w:r>
                    <w:rPr>
                      <w:rFonts w:ascii="仿宋_GB2312" w:hAnsi="仿宋_GB2312" w:cs="仿宋_GB2312" w:eastAsia="仿宋_GB2312"/>
                      <w:sz w:val="21"/>
                    </w:rPr>
                    <w:t>4.性能：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）多功能文物储藏柜具有较好的漆膜耐霉菌性能，依据</w:t>
                  </w:r>
                  <w:r>
                    <w:rPr>
                      <w:rFonts w:ascii="仿宋_GB2312" w:hAnsi="仿宋_GB2312" w:cs="仿宋_GB2312" w:eastAsia="仿宋_GB2312"/>
                      <w:sz w:val="21"/>
                    </w:rPr>
                    <w:t>GB/T 1741-2020《漆膜耐霉菌性测定法》要求检测，耐霉菌性等级达到0级，提供第三方检测机构出具的封面具有 CMA 标识的有效检测报告原件扫描件。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▲）（2）多功能文物储藏柜在总额定载荷不低于1000kg情况下，储藏柜的平行度、搁板左右倾斜角、搁板挠度符合GB/T 28200-2011《钢制储物柜（架）技术要求及试验方法》标准要求；提供第三方检测机构出具的封面具有 CMA 标识的有效检测报告原件扫描件。</w:t>
                  </w:r>
                </w:p>
                <w:p>
                  <w:pPr>
                    <w:pStyle w:val="null3"/>
                    <w:jc w:val="left"/>
                  </w:pPr>
                  <w:r>
                    <w:rPr>
                      <w:rFonts w:ascii="仿宋_GB2312" w:hAnsi="仿宋_GB2312" w:cs="仿宋_GB2312" w:eastAsia="仿宋_GB2312"/>
                      <w:sz w:val="21"/>
                    </w:rPr>
                    <w:t>5.文物保存环境监测</w:t>
                  </w:r>
                </w:p>
                <w:p>
                  <w:pPr>
                    <w:pStyle w:val="null3"/>
                    <w:jc w:val="left"/>
                  </w:pPr>
                  <w:r>
                    <w:rPr>
                      <w:rFonts w:ascii="仿宋_GB2312" w:hAnsi="仿宋_GB2312" w:cs="仿宋_GB2312" w:eastAsia="仿宋_GB2312"/>
                      <w:sz w:val="21"/>
                    </w:rPr>
                    <w:t>根据项目实施实际需要，为其中</w:t>
                  </w:r>
                  <w:r>
                    <w:rPr>
                      <w:rFonts w:ascii="仿宋_GB2312" w:hAnsi="仿宋_GB2312" w:cs="仿宋_GB2312" w:eastAsia="仿宋_GB2312"/>
                      <w:sz w:val="21"/>
                    </w:rPr>
                    <w:t>3台多功能文物储藏柜配置无线环境监测终端，配置要求：为1台多功能文物储藏柜配置1台无线二氧化碳监测终端，为1台多功能文物储藏柜配置1台无线甲醛监测终端，为1台多功能文物储藏柜配置1台无线挥发性有机化合物（VOC）监测终端，并配置环境监测系统软件1套，具体要求如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▲）（1）无线二氧化碳监测终端要求：二氧化碳测量范围：0～5000ppm；精度：±（60ppm±3%示值）；安全性能：采用安全设计，具有防爆功能；（提供防爆检测机构出具的防爆合格证明原件的扫描件。）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▲）（2）无线甲醛监测终端要求：测量范围：0～10ppm；测量精度：0.02ppm±4%示值；安全性能：采用安全设计，具有防爆功能；（提供防爆检测机构出具的防爆合格证明原件的扫描件。）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无线挥发性有机化合物（VOC）监测终端要求：测量范围0～10ppm（异丁烯）；分辨率：0.01ppm；精度：±（0.1ppm+8%*示值）；安全性能：采用安全设计，具有防爆功能。（提供防爆检测机构出具的防爆合格证明原件的扫描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环境监测软件系统要求：具有监测点位和参数设置、专业数据分析、列表或图示化显示、实时报警、历史数据查询等功能。软件系统安全可靠，需符合《信息安全等级保护管理办法》二级（或以上）测评要求。（提供信息安全等级保护管理部门出具的安全等级保护测评结果通知书，要求级别为2级或以上）</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重型横梁储藏架</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2000*800*2200</w:t>
                  </w:r>
                  <w:r>
                    <w:rPr>
                      <w:rFonts w:ascii="仿宋_GB2312" w:hAnsi="仿宋_GB2312" w:cs="仿宋_GB2312" w:eastAsia="仿宋_GB2312"/>
                      <w:sz w:val="21"/>
                    </w:rPr>
                    <w:t>（</w:t>
                  </w:r>
                  <w:r>
                    <w:rPr>
                      <w:rFonts w:ascii="仿宋_GB2312" w:hAnsi="仿宋_GB2312" w:cs="仿宋_GB2312" w:eastAsia="仿宋_GB2312"/>
                      <w:sz w:val="21"/>
                    </w:rPr>
                    <w:t>±2mm）；</w:t>
                  </w:r>
                </w:p>
                <w:p>
                  <w:pPr>
                    <w:pStyle w:val="null3"/>
                    <w:jc w:val="left"/>
                  </w:pPr>
                  <w:r>
                    <w:rPr>
                      <w:rFonts w:ascii="仿宋_GB2312" w:hAnsi="仿宋_GB2312" w:cs="仿宋_GB2312" w:eastAsia="仿宋_GB2312"/>
                      <w:sz w:val="21"/>
                    </w:rPr>
                    <w:t>2.柜体结构：柜体主要由立柱、横梁、搁板、侧板、顶板等部件组成。</w:t>
                  </w:r>
                </w:p>
                <w:p>
                  <w:pPr>
                    <w:pStyle w:val="null3"/>
                    <w:jc w:val="left"/>
                  </w:pPr>
                  <w:r>
                    <w:rPr>
                      <w:rFonts w:ascii="仿宋_GB2312" w:hAnsi="仿宋_GB2312" w:cs="仿宋_GB2312" w:eastAsia="仿宋_GB2312"/>
                      <w:sz w:val="21"/>
                    </w:rPr>
                    <w:t>3.柜体部件参数；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1）立柱、横挡均采用≥2mm冷轧钢板，立柱正面均匀冲有腰型排孔，孔距≥70mm，层数可按需要调整。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2）搁板采用≥1.2mm冷轧钢板，四周四翻边一体成型工艺，搁板下加筋，筋材料厚度采用≥1.0mm冷轧钢板。每层搁板平铺式设计，承重能力强，刚性足。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3）横梁采用P型管，壁厚≥1.5mm，成型≥80x50mm，承重能力强，搁板不易脱落松动。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4）侧板、侧封板均采用≥1.0mm冷轧钢板，侧板折弯成凹凸造型，外形美观，不易变形。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5）封头采用≥2.0mm冷轧钢板。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6）顶板采用≥1.0mm冷轧钢板，一体成型。</w:t>
                  </w:r>
                </w:p>
                <w:p>
                  <w:pPr>
                    <w:pStyle w:val="null3"/>
                    <w:jc w:val="left"/>
                  </w:pPr>
                  <w:r>
                    <w:rPr>
                      <w:rFonts w:ascii="仿宋_GB2312" w:hAnsi="仿宋_GB2312" w:cs="仿宋_GB2312" w:eastAsia="仿宋_GB2312"/>
                      <w:sz w:val="21"/>
                    </w:rPr>
                    <w:t>4.性能：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▲）（1）重型横梁式文物储藏柜具有较好的抗菌性能，依据QB/T 4371-2012《家具抗菌性能的评价》要求检测，大肠杆菌、金黄色葡萄球菌抑菌率不小于99%，提供第三方检测机构出具的封面具有 CMA 标识的有效检测报告原件扫描件。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▲）（2）重型横梁式文物储藏柜在产品总额定载荷不低于1000kg情况下，均布载荷强度试验、集中载荷强度试验符合GB/T 28200-2011《钢制储物柜（架）技术要求及试验方法》标准要求；提供第三方检测机构出具的封面具有 CMA 标识的有效检测报告原件扫描件。</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（二）文物囊匣</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翻盖式文物囊匣</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1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1.根据文物尺寸定制；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囊匣木质外层：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木质外层采用奥松板，内部结合强度高，硬度大，不易变形。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采用环保材料，奥松板甲醛释放量</w:t>
                  </w:r>
                  <w:r>
                    <w:rPr>
                      <w:rFonts w:ascii="仿宋_GB2312" w:hAnsi="仿宋_GB2312" w:cs="仿宋_GB2312" w:eastAsia="仿宋_GB2312"/>
                      <w:sz w:val="21"/>
                    </w:rPr>
                    <w:t>≤0.124mg/m³。</w:t>
                  </w:r>
                  <w:r>
                    <w:rPr>
                      <w:rFonts w:ascii="仿宋_GB2312" w:hAnsi="仿宋_GB2312" w:cs="仿宋_GB2312" w:eastAsia="仿宋_GB2312"/>
                      <w:sz w:val="21"/>
                    </w:rPr>
                    <w:t>提供第三方检测机构出具的封面具有</w:t>
                  </w:r>
                  <w:r>
                    <w:rPr>
                      <w:rFonts w:ascii="仿宋_GB2312" w:hAnsi="仿宋_GB2312" w:cs="仿宋_GB2312" w:eastAsia="仿宋_GB2312"/>
                      <w:sz w:val="21"/>
                    </w:rPr>
                    <w:t>CMA 标识的有效检测报告原件扫描件。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无酸瓦楞纸板：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浆料由</w:t>
                  </w:r>
                  <w:r>
                    <w:rPr>
                      <w:rFonts w:ascii="仿宋_GB2312" w:hAnsi="仿宋_GB2312" w:cs="仿宋_GB2312" w:eastAsia="仿宋_GB2312"/>
                      <w:sz w:val="21"/>
                    </w:rPr>
                    <w:t>100%纯木浆或棉浆制成，不含回收浆；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金属离子含量（铜离子、铁离子）总含量不高于</w:t>
                  </w:r>
                  <w:r>
                    <w:rPr>
                      <w:rFonts w:ascii="仿宋_GB2312" w:hAnsi="仿宋_GB2312" w:cs="仿宋_GB2312" w:eastAsia="仿宋_GB2312"/>
                      <w:sz w:val="21"/>
                    </w:rPr>
                    <w:t>50mg/kg。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木质素卡伯值不超过</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pH值：无缓冲剂的无酸纸板的 pH 值 7.0～7.5；带缓冲剂的无酸纸板的pH 值为 8.0-9.5或中性。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碱性缓冲剂：带缓冲剂的无酸纸板</w:t>
                  </w:r>
                  <w:r>
                    <w:rPr>
                      <w:rFonts w:ascii="仿宋_GB2312" w:hAnsi="仿宋_GB2312" w:cs="仿宋_GB2312" w:eastAsia="仿宋_GB2312"/>
                      <w:sz w:val="21"/>
                    </w:rPr>
                    <w:t>/纸的碱性缓冲剂含量在2%～5%之间（以 CaCO3 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不含硫化物；不含荧光增白剂。</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内囊：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内囊需使用棉卷，采用纯天然棉花。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棉卷与藏品之间有相应的回弹力，将藏品置于囊匣内时，六个方向均与棉花内囊接触，保证物囊吻合。</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内囊平整，藏品在囊匣内定位准确，深度适宜。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内衬材料精细处理，做到光滑、不挂丝、无酸、无静电，特别注重铺衬到位。</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固定材料：应尽量避免使用胶粘剂。若使用，须为无酸胶粘剂，胶粘剂中不能含有塑化剂、硫化物、铜离子、铁离子、氧化剂等物质。不引起长霉、发黄、变色、分层等。若使用胶带，应为无酸性，不腐蚀被粘物，不脱胶、溢胶，黏性持久不发黄变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▲）6.配件：囊匣所用提扣、旋扣、信息卡、包角和胶条不含塑化剂。提供第三方检测机构出具的封面具有 CMA 标识的有效检测报告原件扫描件。</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（三）库房辅助设备</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文物手推车</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1000*600*1000mm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2.文物搬运专用；箱体式结构，有推手，上层可加四周护板，底部四万向轮，单支承重≥80kg；万向轮下带弹簧，当有重物放置，起到减震解压作用。</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文物转运箱</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w:t>
                  </w:r>
                  <w:r>
                    <w:rPr>
                      <w:rFonts w:ascii="仿宋_GB2312" w:hAnsi="仿宋_GB2312" w:cs="仿宋_GB2312" w:eastAsia="仿宋_GB2312"/>
                      <w:sz w:val="21"/>
                      <w:color w:val="000000"/>
                    </w:rPr>
                    <w:t>800*800*600mm（不含轮高）</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2.采用不低于E0级的防水板，板厚≥10mm，外贴厚度≥2mm的黑色麻面铝板。</w:t>
                  </w:r>
                </w:p>
                <w:p>
                  <w:pPr>
                    <w:pStyle w:val="null3"/>
                    <w:jc w:val="left"/>
                  </w:pPr>
                  <w:r>
                    <w:rPr>
                      <w:rFonts w:ascii="仿宋_GB2312" w:hAnsi="仿宋_GB2312" w:cs="仿宋_GB2312" w:eastAsia="仿宋_GB2312"/>
                      <w:sz w:val="21"/>
                      <w:color w:val="000000"/>
                    </w:rPr>
                    <w:t>3.脚轮采用对角刹车设计，保证转运箱静止状态的不滑车，不翻倒；</w:t>
                  </w:r>
                </w:p>
                <w:p>
                  <w:pPr>
                    <w:pStyle w:val="null3"/>
                    <w:jc w:val="left"/>
                  </w:pPr>
                  <w:r>
                    <w:rPr>
                      <w:rFonts w:ascii="仿宋_GB2312" w:hAnsi="仿宋_GB2312" w:cs="仿宋_GB2312" w:eastAsia="仿宋_GB2312"/>
                      <w:sz w:val="21"/>
                      <w:color w:val="000000"/>
                    </w:rPr>
                    <w:t>4.箱体每条棱边均采用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4cm宽的包边铝进行包边处理，提高各个连接处的整体性强度；</w:t>
                  </w:r>
                </w:p>
                <w:p>
                  <w:pPr>
                    <w:pStyle w:val="null3"/>
                    <w:jc w:val="left"/>
                  </w:pPr>
                  <w:r>
                    <w:rPr>
                      <w:rFonts w:ascii="仿宋_GB2312" w:hAnsi="仿宋_GB2312" w:cs="仿宋_GB2312" w:eastAsia="仿宋_GB2312"/>
                      <w:sz w:val="21"/>
                      <w:color w:val="000000"/>
                    </w:rPr>
                    <w:t>5.锁扣用蝴蝶锁扣，旋转打开，锁扣旁边有锁孔位，可加锁，提高转运文物的安全性能；</w:t>
                  </w:r>
                </w:p>
                <w:p>
                  <w:pPr>
                    <w:pStyle w:val="null3"/>
                    <w:jc w:val="left"/>
                  </w:pPr>
                  <w:r>
                    <w:rPr>
                      <w:rFonts w:ascii="仿宋_GB2312" w:hAnsi="仿宋_GB2312" w:cs="仿宋_GB2312" w:eastAsia="仿宋_GB2312"/>
                      <w:sz w:val="21"/>
                      <w:color w:val="000000"/>
                    </w:rPr>
                    <w:t>6.箱体两侧均安装双弹簧提手扣，方便箱子移动；</w:t>
                  </w:r>
                </w:p>
                <w:p>
                  <w:pPr>
                    <w:pStyle w:val="null3"/>
                    <w:jc w:val="left"/>
                  </w:pPr>
                  <w:r>
                    <w:rPr>
                      <w:rFonts w:ascii="仿宋_GB2312" w:hAnsi="仿宋_GB2312" w:cs="仿宋_GB2312" w:eastAsia="仿宋_GB2312"/>
                      <w:sz w:val="21"/>
                      <w:color w:val="000000"/>
                    </w:rPr>
                    <w:t>7.箱体四个角用圆包角进行包角处理；</w:t>
                  </w:r>
                </w:p>
                <w:p>
                  <w:pPr>
                    <w:pStyle w:val="null3"/>
                    <w:jc w:val="left"/>
                  </w:pPr>
                  <w:r>
                    <w:rPr>
                      <w:rFonts w:ascii="仿宋_GB2312" w:hAnsi="仿宋_GB2312" w:cs="仿宋_GB2312" w:eastAsia="仿宋_GB2312"/>
                      <w:sz w:val="21"/>
                      <w:color w:val="000000"/>
                    </w:rPr>
                    <w:t>8.转运箱内部运用物理发泡的高弹力无酸环保PE发泡棉，外用金丝绒包裹，PE缓冲厚度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4cm；</w:t>
                  </w:r>
                </w:p>
                <w:p>
                  <w:pPr>
                    <w:pStyle w:val="null3"/>
                    <w:jc w:val="left"/>
                  </w:pPr>
                  <w:r>
                    <w:rPr>
                      <w:rFonts w:ascii="仿宋_GB2312" w:hAnsi="仿宋_GB2312" w:cs="仿宋_GB2312" w:eastAsia="仿宋_GB2312"/>
                      <w:sz w:val="21"/>
                      <w:color w:val="000000"/>
                    </w:rPr>
                    <w:t>9.箱体内部加装</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15mm厚香樟板固定于箱底，提高箱子承重能力；</w:t>
                  </w:r>
                </w:p>
                <w:p>
                  <w:pPr>
                    <w:pStyle w:val="null3"/>
                    <w:jc w:val="left"/>
                  </w:pPr>
                  <w:r>
                    <w:rPr>
                      <w:rFonts w:ascii="仿宋_GB2312" w:hAnsi="仿宋_GB2312" w:cs="仿宋_GB2312" w:eastAsia="仿宋_GB2312"/>
                      <w:sz w:val="21"/>
                      <w:color w:val="000000"/>
                    </w:rPr>
                    <w:t>10.箱子铝材表面均经过喷砂氧化处理。</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库房基础环境改造</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地面改造</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272.03</w:t>
                  </w:r>
                </w:p>
              </w:tc>
              <w:tc>
                <w:tcPr>
                  <w:tcW w:type="dxa" w:w="1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1.采用不低于</w:t>
                  </w:r>
                  <w:r>
                    <w:rPr>
                      <w:rFonts w:ascii="仿宋_GB2312" w:hAnsi="仿宋_GB2312" w:cs="仿宋_GB2312" w:eastAsia="仿宋_GB2312"/>
                      <w:sz w:val="21"/>
                      <w:color w:val="000000"/>
                    </w:rPr>
                    <w:t>3mm厚水泥自流平及找平处理；</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铺设地胶：</w:t>
                  </w:r>
                  <w:r>
                    <w:rPr>
                      <w:rFonts w:ascii="仿宋_GB2312" w:hAnsi="仿宋_GB2312" w:cs="仿宋_GB2312" w:eastAsia="仿宋_GB2312"/>
                      <w:sz w:val="21"/>
                      <w:color w:val="000000"/>
                    </w:rPr>
                    <w:t>PVC卷材；</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2.0mm*2m*20m；</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LED长条灯</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色温：</w:t>
                  </w:r>
                  <w:r>
                    <w:rPr>
                      <w:rFonts w:ascii="仿宋_GB2312" w:hAnsi="仿宋_GB2312" w:cs="仿宋_GB2312" w:eastAsia="仿宋_GB2312"/>
                      <w:sz w:val="21"/>
                      <w:color w:val="000000"/>
                    </w:rPr>
                    <w:t>3000K/4000K/6000K 可选；</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≥35W</w:t>
                  </w:r>
                  <w:r>
                    <w:rPr>
                      <w:rFonts w:ascii="仿宋_GB2312" w:hAnsi="仿宋_GB2312" w:cs="仿宋_GB2312" w:eastAsia="仿宋_GB2312"/>
                      <w:sz w:val="21"/>
                      <w:color w:val="000000"/>
                    </w:rPr>
                    <w:t>。</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墙面乳胶漆</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782.69</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1.基层清理：墙面坚实无起砂、空鼓、掉粉、裂缝；松动砂浆、浮灰、油污、脱模剂全部打磨清理干净。</w:t>
                  </w:r>
                </w:p>
                <w:p>
                  <w:pPr>
                    <w:pStyle w:val="null3"/>
                    <w:jc w:val="left"/>
                  </w:pPr>
                  <w:r>
                    <w:rPr>
                      <w:rFonts w:ascii="仿宋_GB2312" w:hAnsi="仿宋_GB2312" w:cs="仿宋_GB2312" w:eastAsia="仿宋_GB2312"/>
                      <w:sz w:val="21"/>
                      <w:color w:val="000000"/>
                    </w:rPr>
                    <w:t>2.刷环保乳胶漆2遍，高度3.5米。</w:t>
                  </w:r>
                </w:p>
                <w:p>
                  <w:pPr>
                    <w:pStyle w:val="null3"/>
                    <w:jc w:val="left"/>
                  </w:pPr>
                  <w:r>
                    <w:rPr>
                      <w:rFonts w:ascii="仿宋_GB2312" w:hAnsi="仿宋_GB2312" w:cs="仿宋_GB2312" w:eastAsia="仿宋_GB2312"/>
                      <w:sz w:val="21"/>
                      <w:color w:val="000000"/>
                    </w:rPr>
                    <w:t>3.墙面平整度误差≤2mm。</w:t>
                  </w:r>
                </w:p>
                <w:p>
                  <w:pPr>
                    <w:pStyle w:val="null3"/>
                    <w:jc w:val="left"/>
                  </w:pPr>
                  <w:r>
                    <w:rPr>
                      <w:rFonts w:ascii="仿宋_GB2312" w:hAnsi="仿宋_GB2312" w:cs="仿宋_GB2312" w:eastAsia="仿宋_GB2312"/>
                      <w:sz w:val="21"/>
                      <w:color w:val="000000"/>
                    </w:rPr>
                    <w:t>4.无色差、流挂、刷痕，甲醛、VOC含量符合国标环保标准。</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三层窗户更换</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塑钢窗户</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2.塑钢窗的品种、规格、开启形式根据要求定制。</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换气扇</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供电电压：</w:t>
                  </w:r>
                  <w:r>
                    <w:rPr>
                      <w:rFonts w:ascii="仿宋_GB2312" w:hAnsi="仿宋_GB2312" w:cs="仿宋_GB2312" w:eastAsia="仿宋_GB2312"/>
                      <w:sz w:val="21"/>
                      <w:color w:val="000000"/>
                    </w:rPr>
                    <w:t>220V</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≥36w。</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甲级防盗门</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樘</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w:t>
                  </w:r>
                  <w:r>
                    <w:rPr>
                      <w:rFonts w:ascii="仿宋_GB2312" w:hAnsi="仿宋_GB2312" w:cs="仿宋_GB2312" w:eastAsia="仿宋_GB2312"/>
                      <w:sz w:val="21"/>
                      <w:color w:val="000000"/>
                    </w:rPr>
                    <w:t>1600*2200mm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±2mm）；</w:t>
                  </w:r>
                </w:p>
                <w:p>
                  <w:pPr>
                    <w:pStyle w:val="null3"/>
                    <w:jc w:val="left"/>
                  </w:pPr>
                  <w:r>
                    <w:rPr>
                      <w:rFonts w:ascii="仿宋_GB2312" w:hAnsi="仿宋_GB2312" w:cs="仿宋_GB2312" w:eastAsia="仿宋_GB2312"/>
                      <w:sz w:val="21"/>
                      <w:color w:val="000000"/>
                    </w:rPr>
                    <w:t>2.门框用钢板厚度应不小于1.5㎜；</w:t>
                  </w:r>
                </w:p>
                <w:p>
                  <w:pPr>
                    <w:pStyle w:val="null3"/>
                    <w:jc w:val="left"/>
                  </w:pPr>
                  <w:r>
                    <w:rPr>
                      <w:rFonts w:ascii="仿宋_GB2312" w:hAnsi="仿宋_GB2312" w:cs="仿宋_GB2312" w:eastAsia="仿宋_GB2312"/>
                      <w:sz w:val="21"/>
                      <w:color w:val="000000"/>
                    </w:rPr>
                    <w:t>3.门扇用钢板厚度应不小于0.6㎜；</w:t>
                  </w:r>
                </w:p>
                <w:p>
                  <w:pPr>
                    <w:pStyle w:val="null3"/>
                    <w:jc w:val="left"/>
                  </w:pPr>
                  <w:r>
                    <w:rPr>
                      <w:rFonts w:ascii="仿宋_GB2312" w:hAnsi="仿宋_GB2312" w:cs="仿宋_GB2312" w:eastAsia="仿宋_GB2312"/>
                      <w:sz w:val="21"/>
                      <w:color w:val="000000"/>
                    </w:rPr>
                    <w:t>4.钢门框上锁孔与锁舌（栓）的最大配合间隙应不大于5㎜；</w:t>
                  </w:r>
                </w:p>
                <w:p>
                  <w:pPr>
                    <w:pStyle w:val="null3"/>
                    <w:jc w:val="left"/>
                  </w:pPr>
                  <w:r>
                    <w:rPr>
                      <w:rFonts w:ascii="仿宋_GB2312" w:hAnsi="仿宋_GB2312" w:cs="仿宋_GB2312" w:eastAsia="仿宋_GB2312"/>
                      <w:sz w:val="21"/>
                      <w:color w:val="000000"/>
                    </w:rPr>
                    <w:t>5.门扇与门框的搭接宽度不应小于8㎜，门扇与门框配合活动间隙应不大于6㎜；</w:t>
                  </w:r>
                </w:p>
                <w:p>
                  <w:pPr>
                    <w:pStyle w:val="null3"/>
                    <w:jc w:val="left"/>
                  </w:pPr>
                  <w:r>
                    <w:rPr>
                      <w:rFonts w:ascii="仿宋_GB2312" w:hAnsi="仿宋_GB2312" w:cs="仿宋_GB2312" w:eastAsia="仿宋_GB2312"/>
                      <w:sz w:val="21"/>
                      <w:color w:val="000000"/>
                    </w:rPr>
                    <w:t>6.门扇与门框铰链边贴合面间隙不大于4㎜，门的开启边在关门状态与门框贴合面间隙应不大于5㎜；</w:t>
                  </w:r>
                </w:p>
                <w:p>
                  <w:pPr>
                    <w:pStyle w:val="null3"/>
                    <w:jc w:val="left"/>
                  </w:pPr>
                  <w:r>
                    <w:rPr>
                      <w:rFonts w:ascii="仿宋_GB2312" w:hAnsi="仿宋_GB2312" w:cs="仿宋_GB2312" w:eastAsia="仿宋_GB2312"/>
                      <w:sz w:val="21"/>
                      <w:color w:val="000000"/>
                    </w:rPr>
                    <w:t>7.门框槽口对角线尺寸之差应不大于7㎜；</w:t>
                  </w:r>
                </w:p>
                <w:p>
                  <w:pPr>
                    <w:pStyle w:val="null3"/>
                    <w:jc w:val="left"/>
                  </w:pPr>
                  <w:r>
                    <w:rPr>
                      <w:rFonts w:ascii="仿宋_GB2312" w:hAnsi="仿宋_GB2312" w:cs="仿宋_GB2312" w:eastAsia="仿宋_GB2312"/>
                      <w:sz w:val="21"/>
                      <w:color w:val="000000"/>
                    </w:rPr>
                    <w:t>门铰应能支持住门体重量，门在开启</w:t>
                  </w:r>
                  <w:r>
                    <w:rPr>
                      <w:rFonts w:ascii="仿宋_GB2312" w:hAnsi="仿宋_GB2312" w:cs="仿宋_GB2312" w:eastAsia="仿宋_GB2312"/>
                      <w:sz w:val="21"/>
                      <w:color w:val="000000"/>
                    </w:rPr>
                    <w:t>90度过程中，门体不产生倾斜、门铰链铀线不产生大于4㎜的位移。</w:t>
                  </w:r>
                </w:p>
                <w:p>
                  <w:pPr>
                    <w:pStyle w:val="null3"/>
                    <w:jc w:val="left"/>
                  </w:pPr>
                  <w:r>
                    <w:rPr>
                      <w:rFonts w:ascii="仿宋_GB2312" w:hAnsi="仿宋_GB2312" w:cs="仿宋_GB2312" w:eastAsia="仿宋_GB2312"/>
                      <w:sz w:val="21"/>
                      <w:color w:val="000000"/>
                    </w:rPr>
                    <w:t>8.门铰链应转动灵活，门框与门扇之间不产生大于12㎜的位移。</w:t>
                  </w:r>
                </w:p>
                <w:p>
                  <w:pPr>
                    <w:pStyle w:val="null3"/>
                    <w:jc w:val="left"/>
                  </w:pPr>
                  <w:r>
                    <w:rPr>
                      <w:rFonts w:ascii="仿宋_GB2312" w:hAnsi="仿宋_GB2312" w:cs="仿宋_GB2312" w:eastAsia="仿宋_GB2312"/>
                      <w:sz w:val="21"/>
                      <w:color w:val="000000"/>
                    </w:rPr>
                    <w:t>9.橡胶密封条封密严，金属门表面漆膜应均匀，色泽一致，不得有明显的流挂、脱落、露底等缺陷。电镀层色泽均匀，镀层无脱落。漆膜经耐湿热试验后，应不低于2级。</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电路改造</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1.根据要求</w:t>
                  </w:r>
                  <w:r>
                    <w:rPr>
                      <w:rFonts w:ascii="仿宋_GB2312" w:hAnsi="仿宋_GB2312" w:cs="仿宋_GB2312" w:eastAsia="仿宋_GB2312"/>
                      <w:sz w:val="21"/>
                      <w:color w:val="000000"/>
                    </w:rPr>
                    <w:t>定制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2.对三层文物库房的电路系统进行整体改造；</w:t>
                  </w:r>
                </w:p>
                <w:p>
                  <w:pPr>
                    <w:pStyle w:val="null3"/>
                    <w:jc w:val="left"/>
                  </w:pPr>
                  <w:r>
                    <w:rPr>
                      <w:rFonts w:ascii="仿宋_GB2312" w:hAnsi="仿宋_GB2312" w:cs="仿宋_GB2312" w:eastAsia="仿宋_GB2312"/>
                      <w:sz w:val="21"/>
                      <w:color w:val="000000"/>
                    </w:rPr>
                    <w:t>3.电路改造所用导线的截面规格≥4mm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，不受拉力、包扎紧密不伤线芯，无扭结、死弯、绝缘层无破损等缺掐。</w:t>
                  </w:r>
                </w:p>
                <w:p>
                  <w:pPr>
                    <w:pStyle w:val="null3"/>
                    <w:jc w:val="left"/>
                  </w:pPr>
                  <w:r>
                    <w:rPr>
                      <w:rFonts w:ascii="仿宋_GB2312" w:hAnsi="仿宋_GB2312" w:cs="仿宋_GB2312" w:eastAsia="仿宋_GB2312"/>
                      <w:sz w:val="21"/>
                      <w:color w:val="000000"/>
                    </w:rPr>
                    <w:t>4.电路设计多路化，做到照明、插座、设备用电、备用电路等分路布线；插座、开关分开，除一般照明外各回路应独立使用漏电保护器；强、弱电分开。</w:t>
                  </w:r>
                </w:p>
                <w:p>
                  <w:pPr>
                    <w:pStyle w:val="null3"/>
                    <w:jc w:val="left"/>
                  </w:pPr>
                  <w:r>
                    <w:rPr>
                      <w:rFonts w:ascii="仿宋_GB2312" w:hAnsi="仿宋_GB2312" w:cs="仿宋_GB2312" w:eastAsia="仿宋_GB2312"/>
                      <w:sz w:val="21"/>
                      <w:color w:val="000000"/>
                    </w:rPr>
                    <w:t>5.插座、开关安装要牢固，四周无缝隙。</w:t>
                  </w:r>
                </w:p>
                <w:p>
                  <w:pPr>
                    <w:pStyle w:val="null3"/>
                    <w:jc w:val="left"/>
                  </w:pPr>
                  <w:r>
                    <w:rPr>
                      <w:rFonts w:ascii="仿宋_GB2312" w:hAnsi="仿宋_GB2312" w:cs="仿宋_GB2312" w:eastAsia="仿宋_GB2312"/>
                      <w:sz w:val="21"/>
                      <w:color w:val="000000"/>
                    </w:rPr>
                    <w:t>6.所有电气完工后进行通电检测，漏电开关动作正常，插座开关试电良好。</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楼面露台防水措施</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44.80</w:t>
                  </w:r>
                </w:p>
              </w:tc>
              <w:tc>
                <w:tcPr>
                  <w:tcW w:type="dxa" w:w="1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w:t>
                  </w:r>
                  <w:r>
                    <w:rPr>
                      <w:rFonts w:ascii="仿宋_GB2312" w:hAnsi="仿宋_GB2312" w:cs="仿宋_GB2312" w:eastAsia="仿宋_GB2312"/>
                      <w:sz w:val="21"/>
                      <w:color w:val="000000"/>
                    </w:rPr>
                    <w:t>防水卷材</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≥3.0mm；</w:t>
                  </w:r>
                </w:p>
                <w:p>
                  <w:pPr>
                    <w:pStyle w:val="null3"/>
                    <w:jc w:val="left"/>
                  </w:pPr>
                  <w:r>
                    <w:rPr>
                      <w:rFonts w:ascii="仿宋_GB2312" w:hAnsi="仿宋_GB2312" w:cs="仿宋_GB2312" w:eastAsia="仿宋_GB2312"/>
                      <w:sz w:val="21"/>
                      <w:color w:val="000000"/>
                    </w:rPr>
                    <w:t>2.卷材应具备良好的抗拉强度和延伸率，适应基层形变不开裂；</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防水效果：施工后露台不渗漏、不积水，无漏水现象。</w:t>
                  </w:r>
                </w:p>
              </w:tc>
            </w:tr>
          </w:tbl>
          <w:p>
            <w:pPr>
              <w:pStyle w:val="null3"/>
            </w:pPr>
            <w:r>
              <w:rPr>
                <w:rFonts w:ascii="仿宋_GB2312" w:hAnsi="仿宋_GB2312" w:cs="仿宋_GB2312" w:eastAsia="仿宋_GB2312"/>
                <w:sz w:val="24"/>
                <w:b/>
              </w:rPr>
              <w:t>注：</w:t>
            </w:r>
            <w:r>
              <w:rPr>
                <w:rFonts w:ascii="仿宋_GB2312" w:hAnsi="仿宋_GB2312" w:cs="仿宋_GB2312" w:eastAsia="仿宋_GB2312"/>
                <w:sz w:val="24"/>
              </w:rPr>
              <w:t>本项目核心产品为</w:t>
            </w:r>
            <w:r>
              <w:rPr>
                <w:rFonts w:ascii="仿宋_GB2312" w:hAnsi="仿宋_GB2312" w:cs="仿宋_GB2312" w:eastAsia="仿宋_GB2312"/>
                <w:sz w:val="24"/>
              </w:rPr>
              <w:t>“三、文物储藏设施提升 多功能文物储藏柜”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进度款，全部货物进场拆封，检查无问题后，达到付款条件起10个工作日内，支付合同总金额的40.0%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进度款，所有货物安装调试完成，验收合格并进行决算评审后，达到付款条件起10个工作日内，支付合同总金额的27.0%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进度款，使用期满1年后，货物未产生损坏及质量问题，达到付款条件起10个工作日内，支付合同总金额的3.0%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符合国家相关行业执行标准及要求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以最终签订正式合同为准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于开标前线下提交生成带电子签章的投标文件纸质版至陕西省铜川市新区朝阳路鸿翔逸境1号楼商业区1-4层3楼304室，投标文件正本一份，副本一份，电子U盘一份。投标文件纸质版正本、副本与电子版一同密封，且在封袋正面标明“投标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 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投标文件格式及签字盖章</w:t>
            </w:r>
          </w:p>
        </w:tc>
        <w:tc>
          <w:tcPr>
            <w:tcW w:type="dxa" w:w="3322"/>
          </w:tcPr>
          <w:p>
            <w:pPr>
              <w:pStyle w:val="null3"/>
            </w:pPr>
            <w:r>
              <w:rPr>
                <w:rFonts w:ascii="仿宋_GB2312" w:hAnsi="仿宋_GB2312" w:cs="仿宋_GB2312" w:eastAsia="仿宋_GB2312"/>
              </w:rPr>
              <w:t>完全满足招标文件格式要求</w:t>
            </w:r>
          </w:p>
        </w:tc>
        <w:tc>
          <w:tcPr>
            <w:tcW w:type="dxa" w:w="1661"/>
          </w:tcPr>
          <w:p>
            <w:pPr>
              <w:pStyle w:val="null3"/>
            </w:pPr>
            <w:r>
              <w:rPr>
                <w:rFonts w:ascii="仿宋_GB2312" w:hAnsi="仿宋_GB2312" w:cs="仿宋_GB2312" w:eastAsia="仿宋_GB2312"/>
              </w:rPr>
              <w:t>开标一览表 技术方案.docx 中小企业声明函 商务应答表 投标人应提交的相关资格证明材料 产品技术参数表 分项报价表（1）.docx 法定代表人身份证明书.docx 投标函 残疾人福利性单位声明函 供应商类似项目业绩一览表(1包).docx 标的清单 投标文件封面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不论总价还是分项报价及大写还是小写金额，均只能有一个有效报价，且未超过最高限价，否则按无效报价对待</w:t>
            </w:r>
          </w:p>
        </w:tc>
        <w:tc>
          <w:tcPr>
            <w:tcW w:type="dxa" w:w="1661"/>
          </w:tcPr>
          <w:p>
            <w:pPr>
              <w:pStyle w:val="null3"/>
            </w:pPr>
            <w:r>
              <w:rPr>
                <w:rFonts w:ascii="仿宋_GB2312" w:hAnsi="仿宋_GB2312" w:cs="仿宋_GB2312" w:eastAsia="仿宋_GB2312"/>
              </w:rPr>
              <w:t>开标一览表 分项报价表（1）.docx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拟投入本项目的团队人员： （1）具有电子工程专业中级或以上职称证书得2分； （2）具有文物博物专业中级或以上职称证书得2分； （3）具有工信部下属机构或者其他经授权备案评委会颁发的安全防范工程师证书的，得2分； 注:1）须提供人员相应证书和供应商为其缴纳的响应文件递交截止日期前6个月内任意1个月社保证明材料。 2）注册时间不满6个月的企业可提供拟派人员劳动合同及在岗承诺函。3）资料不齐全或未提供不得分。4）同一人员不同证书不重复得分。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产品认证</w:t>
            </w:r>
          </w:p>
        </w:tc>
        <w:tc>
          <w:tcPr>
            <w:tcW w:type="dxa" w:w="2492"/>
          </w:tcPr>
          <w:p>
            <w:pPr>
              <w:pStyle w:val="null3"/>
            </w:pPr>
            <w:r>
              <w:rPr>
                <w:rFonts w:ascii="仿宋_GB2312" w:hAnsi="仿宋_GB2312" w:cs="仿宋_GB2312" w:eastAsia="仿宋_GB2312"/>
              </w:rPr>
              <w:t>投标产品具有在《参与实施政府采购环境标志产品认证机构名录》中的认证机构出具的中国环境标志产品认证证书，每提供一种产品的证书得2分，最多得4分。响应文件中提供证书扫描件，同时提供在《全国认证认可信息公共服务平台》中的证书查询截图，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2023年1月(含)至今，投标人承担过博物馆类似项目实施，并通过了招标人或者主管部门验收的，每提供一个项目得2分，最多得6分。 注：须同时提供合同、中标通知书、招标人或主管部门出具的验收证明材料原件扫描件并加盖公章，否则不得分。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供应商类似项目业绩一览表(1包).docx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根据投标人针对本项目制定的技术方案进行评分，方案内容包括但不限于：①产品技术路线；②产品生产工艺；③产品结构图；④效果图等。 所提供方案内容完整详细、涵盖上述情形的得8分，每缺少一项内容扣2分，每项中每有一处存在内容缺陷的扣0.5分，扣完为止。 注：内容缺陷是指内容逻辑混乱、内容与项目无关、内容与招标文件要求不符、内容表述错误、内容前后表述矛盾、内容与项目不匹配、项目信息错误、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根据投标人针对本项目制定的实施方案进行评分，方案内容包括但不仅限于：①项目进度计划；②项目团队；③供货方案；④安装调试方案；⑤环境改造方案等。 所提供方案内容完整详细、涵盖上述情形的得10分，每缺少一项内容扣2分，每项中每有一处存在内容缺陷的扣0.5分，扣完为止。 注：内容缺陷是指内容逻辑混乱、内容与项目无关、内容与招标文件要求不符、内容表述错误、内容前后表述矛盾、内容与项目不匹配、项目信息错误、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根据投标人针对本项目制定的质量保障方案进行评分，方案内容包括但不限于：①质量保障目标；②质量保障措施；③质量管理体系与流程等。 所提供方案内容完整详细、涵盖上述情形的得3分，每缺少一项内容扣1分，每项中每有一处存在内容缺陷的扣0.2分，扣完为止。 注：内容缺陷是指内容逻辑混乱、内容与项目无关、内容与招标文件要求不符、内容表述错误、内容前后表述矛盾、内容与项目不匹配、项目信息错误、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根据投标人针对本项目制定的培训方案进行评分，方案内容包括但不限于：①培训目标；②培训内容；③培训材料；④培训方式及时间等。 所提供方案内容完整详细、涵盖上述情形的得4分，每缺少一项内容扣1分，每项中每有一处存在内容缺陷的扣0.2分，扣完为止。 注：内容缺陷是指内容逻辑混乱、内容与项目无关、内容与招标文件要求不符、内容表述错误、内容前后表述矛盾、内容与项目不匹配、项目信息错误、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根据投标人针对本项目制定的售后服务方案进行评分，方案内容包含但不限于：①服务内容承诺；②售后服务人员；③售后服务响应机制；④备品备件情况等。 所提供方案内容完整详细、涵盖上述情形的得4分，每缺少一项内容扣1分，每项中每有一处存在内容缺陷的扣0.2分，扣完为止。 注：内容缺陷是指内容逻辑混乱、内容与项目无关、内容与招标文件要求不符、内容表述错误、内容前后表述矛盾、内容与项目不匹配、项目信息错误、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投标产品技术指标和性能要求</w:t>
            </w:r>
          </w:p>
        </w:tc>
        <w:tc>
          <w:tcPr>
            <w:tcW w:type="dxa" w:w="2492"/>
          </w:tcPr>
          <w:p>
            <w:pPr>
              <w:pStyle w:val="null3"/>
            </w:pPr>
            <w:r>
              <w:rPr>
                <w:rFonts w:ascii="仿宋_GB2312" w:hAnsi="仿宋_GB2312" w:cs="仿宋_GB2312" w:eastAsia="仿宋_GB2312"/>
              </w:rPr>
              <w:t>完全符合招标文件要求没有负偏离得25分；与招标文件要求有负偏离的，按以下原则扣分，但不构成废标。 （1）标（▲）项技术参数每有一项负偏离扣2分，共10项，总扣分不超过20分； （2）其他技术参数每有一项负偏离扣0.05分，总扣分不超过5分。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价格最低的有效投标报价为评标基准价，其价格分为满分（30分）。 其他投标人报价得分： 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详见附件：供应商类似项目业绩一览表(1包).docx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