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版本号：ZY2026-ZB-CS107820260805001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2026年公共服务监测评价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ZY2026-ZB-CS1078</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陕西正翼项目管理咨询有限公司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陕西正翼项目管理咨询有限公司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2026年公共服务监测评价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ZY2026-ZB-CS1078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2026年公共服务监测评价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2026年公共服务监测评价</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2、财务状况报告：提供2025年度经审计的完整财务报告或磋商日期前三个月内其基本存款账户开户银行出具的资信证明。（如提供资信证明，须同时提供基本存款账户开户许可证或基本账户信息表）。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3、税收缴纳证明：提供2025年7月至今已缴纳的至少一个月的税收缴纳证明（时间以税款所属日期为准)，依法免税的单位应提供相关证明材料。</w:t>
      </w:r>
    </w:p>
    <w:p>
      <w:pPr>
        <w:pStyle w:val="null3"/>
      </w:pPr>
      <w:r>
        <w:rPr>
          <w:rFonts w:ascii="仿宋_GB2312" w:hAnsi="仿宋_GB2312" w:cs="仿宋_GB2312" w:eastAsia="仿宋_GB2312"/>
        </w:rPr>
        <w:t>4、社会保障资金缴纳证明：提供2025年7月至今已缴存的至少一个月的社会保障资金缴存单据或社保机构开具的社会保险参保缴费情况证明，依法不需要缴纳社会保障资金的单位应提供相关证明材料。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5、具有履行本合同所必需的设备和专业技术能力：提供具有履行本合同所必需的设备和专业技术能力的书面声明。</w:t>
      </w:r>
    </w:p>
    <w:p>
      <w:pPr>
        <w:pStyle w:val="null3"/>
      </w:pPr>
      <w:r>
        <w:rPr>
          <w:rFonts w:ascii="仿宋_GB2312" w:hAnsi="仿宋_GB2312" w:cs="仿宋_GB2312" w:eastAsia="仿宋_GB2312"/>
        </w:rPr>
        <w:t>6、参加本次政府采购活动前三年内在经营活动中没有重大违法记录：提供参加本次政府采购活动前三年内在经营活动中没有重大违法记录的书面声明。</w:t>
      </w:r>
    </w:p>
    <w:p>
      <w:pPr>
        <w:pStyle w:val="null3"/>
      </w:pPr>
      <w:r>
        <w:rPr>
          <w:rFonts w:ascii="仿宋_GB2312" w:hAnsi="仿宋_GB2312" w:cs="仿宋_GB2312" w:eastAsia="仿宋_GB2312"/>
        </w:rPr>
        <w:t>7、信用记录：未被列入信用中国网站(www.creditchina.gov.cn)“失信被执行人、重大税收违法失信主体”；不处于中国政府采购网(www.ccgp.gov.cn)“政府采购严重违法失信行为信息记录”中的禁止参加政府采购活动期间。</w:t>
      </w:r>
    </w:p>
    <w:p>
      <w:pPr>
        <w:pStyle w:val="null3"/>
      </w:pPr>
      <w:r>
        <w:rPr>
          <w:rFonts w:ascii="仿宋_GB2312" w:hAnsi="仿宋_GB2312" w:cs="仿宋_GB2312" w:eastAsia="仿宋_GB2312"/>
        </w:rPr>
        <w:t>8、授权委托书：法定代表人授权委托书、被授权人身份证(法定代表人参加磋商时,只需提供法定代表人身份证；被授权人参加磋商时，需提供磋商响应截止时间前三个月至少一个月的基本养老保险参保缴费证明）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陕西正翼项目管理咨询有限公司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陕西省西安市西安经济技术开发区凤城五路123号秦创原·软科中心B座11层1101室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冯丹、张晶、卫现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029-86210100转607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格为基数，依据《招标代理服务收费管理暂行办法》（计价格[2002]1980号）和《关于招标代理服务收费有关问题的通知》（发改办价格[2003]857号）文件规定执行；不足6000.00元按6000.00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陕西正翼项目管理咨询有限公司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陕西正翼项目管理咨询有限公司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陕西正翼项目管理咨询有限公司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采购包1：服务内容达到标书要求的为验收合格。合同文本，磋商文件，磋商响应文件，国内相应标准、规范。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陕西正翼项目管理咨询有限公司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联系人：冯丹</w:t>
      </w:r>
    </w:p>
    <w:p>
      <w:pPr>
        <w:pStyle w:val="null3"/>
      </w:pPr>
      <w:r>
        <w:rPr>
          <w:rFonts w:ascii="仿宋_GB2312" w:hAnsi="仿宋_GB2312" w:cs="仿宋_GB2312" w:eastAsia="仿宋_GB2312"/>
        </w:rPr>
        <w:t>联系电话：029-86210100转607</w:t>
      </w:r>
    </w:p>
    <w:p>
      <w:pPr>
        <w:pStyle w:val="null3"/>
      </w:pPr>
      <w:r>
        <w:rPr>
          <w:rFonts w:ascii="仿宋_GB2312" w:hAnsi="仿宋_GB2312" w:cs="仿宋_GB2312" w:eastAsia="仿宋_GB2312"/>
        </w:rPr>
        <w:t>地址：陕西省西安市西安经济技术开发区凤城五路123号秦创原·软科中心B座11层1101室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陕西省市场监督管理局2026年公共服务监测评价，具体详见项目需求。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2026年公共服务监测评价</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标的名称：2026年公共服务监测评价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color w:val="000000"/>
              </w:rPr>
              <w:t>一、项目内容</w:t>
            </w:r>
          </w:p>
          <w:p>
            <w:pPr>
              <w:pStyle w:val="null3"/>
              <w:ind w:firstLine="400"/>
            </w:pPr>
            <w:r>
              <w:rPr>
                <w:rFonts w:ascii="仿宋_GB2312" w:hAnsi="仿宋_GB2312" w:cs="仿宋_GB2312" w:eastAsia="仿宋_GB2312"/>
                <w:color w:val="000000"/>
              </w:rPr>
              <w:t>技术以国家市场监管总局《服务质量监测技术指南》为基本依据，对公共教育、医疗服务、公共文化、公共体育、政务服务、养老服务六个领域开展公共服务质量监测。调查对象为陕西省</w:t>
            </w:r>
            <w:r>
              <w:rPr>
                <w:rFonts w:ascii="仿宋_GB2312" w:hAnsi="仿宋_GB2312" w:cs="仿宋_GB2312" w:eastAsia="仿宋_GB2312"/>
                <w:color w:val="000000"/>
              </w:rPr>
              <w:t>11</w:t>
            </w:r>
            <w:r>
              <w:rPr>
                <w:rFonts w:ascii="仿宋_GB2312" w:hAnsi="仿宋_GB2312" w:cs="仿宋_GB2312" w:eastAsia="仿宋_GB2312"/>
                <w:color w:val="000000"/>
              </w:rPr>
              <w:t>个市（区）年龄在</w:t>
            </w:r>
            <w:r>
              <w:rPr>
                <w:rFonts w:ascii="仿宋_GB2312" w:hAnsi="仿宋_GB2312" w:cs="仿宋_GB2312" w:eastAsia="仿宋_GB2312"/>
                <w:color w:val="000000"/>
              </w:rPr>
              <w:t>18周岁及以上的常住人口（居住半年以上），年龄在18周岁及以上。</w:t>
            </w:r>
            <w:r>
              <w:rPr>
                <w:rFonts w:ascii="仿宋_GB2312" w:hAnsi="仿宋_GB2312" w:cs="仿宋_GB2312" w:eastAsia="仿宋_GB2312"/>
                <w:color w:val="000000"/>
              </w:rPr>
              <w:t>在简单随机抽样条件下，按</w:t>
            </w:r>
            <w:r>
              <w:rPr>
                <w:rFonts w:ascii="仿宋_GB2312" w:hAnsi="仿宋_GB2312" w:cs="仿宋_GB2312" w:eastAsia="仿宋_GB2312"/>
                <w:color w:val="000000"/>
              </w:rPr>
              <w:t>95%置信度、5%抽样误差计算，每个地区最低有效样本量为384份，由于事先无法精确掌握各领域服务受众在总体人群中的实际占比，因此将每个地区最低有效样本量提升至450份，总样本量不低于5000份。在保证各地区总量达标的前提下，允许各领域根据公众触达难度和实际执行条件在合理范围内弹性浮动。</w:t>
            </w:r>
            <w:r>
              <w:rPr>
                <w:rFonts w:ascii="仿宋_GB2312" w:hAnsi="仿宋_GB2312" w:cs="仿宋_GB2312" w:eastAsia="仿宋_GB2312"/>
                <w:color w:val="000000"/>
              </w:rPr>
              <w:t>样本分布应科学合理，保证样本在性别、年龄和城乡方面的结构满足第七次人口普查总体人口结构。监测采用网络调查的方式开展，通过移动互联网用户</w:t>
            </w:r>
            <w:r>
              <w:rPr>
                <w:rFonts w:ascii="仿宋_GB2312" w:hAnsi="仿宋_GB2312" w:cs="仿宋_GB2312" w:eastAsia="仿宋_GB2312"/>
                <w:color w:val="000000"/>
              </w:rPr>
              <w:t>IP地址定位开展定向投放，邀请抽样目标区域的用户进行作答。项目应配备完善的管理制度、工作时间进度计划、质量控制体系和服务承诺及应急保障措施，确保数据的真实性和有效性。</w:t>
            </w:r>
          </w:p>
          <w:p>
            <w:pPr>
              <w:pStyle w:val="null3"/>
            </w:pPr>
            <w:r>
              <w:rPr>
                <w:rFonts w:ascii="仿宋_GB2312" w:hAnsi="仿宋_GB2312" w:cs="仿宋_GB2312" w:eastAsia="仿宋_GB2312"/>
                <w:color w:val="000000"/>
              </w:rPr>
              <w:t>二、成果要求</w:t>
            </w:r>
          </w:p>
          <w:p>
            <w:pPr>
              <w:pStyle w:val="null3"/>
              <w:ind w:firstLine="400"/>
            </w:pPr>
            <w:r>
              <w:rPr>
                <w:rFonts w:ascii="仿宋_GB2312" w:hAnsi="仿宋_GB2312" w:cs="仿宋_GB2312" w:eastAsia="仿宋_GB2312"/>
                <w:color w:val="000000"/>
              </w:rPr>
              <w:t>按照评价结果和项目要求撰写：</w:t>
            </w:r>
          </w:p>
          <w:p>
            <w:pPr>
              <w:pStyle w:val="null3"/>
              <w:ind w:firstLine="400"/>
            </w:pPr>
            <w:r>
              <w:rPr>
                <w:rFonts w:ascii="仿宋_GB2312" w:hAnsi="仿宋_GB2312" w:cs="仿宋_GB2312" w:eastAsia="仿宋_GB2312"/>
                <w:color w:val="000000"/>
              </w:rPr>
              <w:t>1.报送给省政府的比对分析报告；</w:t>
            </w:r>
          </w:p>
          <w:p>
            <w:pPr>
              <w:pStyle w:val="null3"/>
              <w:ind w:firstLine="400"/>
            </w:pPr>
            <w:r>
              <w:rPr>
                <w:rFonts w:ascii="仿宋_GB2312" w:hAnsi="仿宋_GB2312" w:cs="仿宋_GB2312" w:eastAsia="仿宋_GB2312"/>
                <w:color w:val="000000"/>
              </w:rPr>
              <w:t>2.下发各个市（区）的通报；</w:t>
            </w:r>
          </w:p>
          <w:p>
            <w:pPr>
              <w:pStyle w:val="null3"/>
              <w:ind w:firstLine="400"/>
            </w:pPr>
            <w:r>
              <w:rPr>
                <w:rFonts w:ascii="仿宋_GB2312" w:hAnsi="仿宋_GB2312" w:cs="仿宋_GB2312" w:eastAsia="仿宋_GB2312"/>
                <w:color w:val="000000"/>
              </w:rPr>
              <w:t>3.公共服务质量提升行动方案。</w:t>
            </w:r>
          </w:p>
          <w:p>
            <w:pPr>
              <w:pStyle w:val="null3"/>
            </w:pPr>
            <w:r>
              <w:rPr>
                <w:rFonts w:ascii="仿宋_GB2312" w:hAnsi="仿宋_GB2312" w:cs="仿宋_GB2312" w:eastAsia="仿宋_GB2312"/>
                <w:color w:val="000000"/>
              </w:rPr>
              <w:t>三、人员要求</w:t>
            </w:r>
          </w:p>
          <w:p>
            <w:pPr>
              <w:pStyle w:val="null3"/>
            </w:pPr>
            <w:r>
              <w:rPr>
                <w:rFonts w:ascii="仿宋_GB2312" w:hAnsi="仿宋_GB2312" w:cs="仿宋_GB2312" w:eastAsia="仿宋_GB2312"/>
                <w:sz w:val="21"/>
                <w:color w:val="000000"/>
              </w:rPr>
              <w:t>供应商针对本项目配备具有专业能力的技术人员，以保障本项目服务质量满足采购人要求。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2027年2月底前完成。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按采购人及磋商文件要求进行验收。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3.4.1根据采购文件要求及合同约定执行；依法免税或不需要缴纳社会保障资金的供应商，应提供相应证明文件，证明其依法免税或不需要缴纳社会保障资金；自然人（仅限中国公民）参与投标时，只须提供身份证复印件； 3.4.2（响应文件格式-标的清单）本项目服务范围：2026年公共服务监测评价；服务要求：符合采购文件有关技术、商务要求；服务标准：符合国家和省、市有关行业标准及采购人的有关规定。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1078其他附件.docx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响应文件封面 1078其他附件.docx 中小企业声明函 残疾人福利性单位声明函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提供2025年度经审计的完整财务报告或磋商日期前三个月内其基本存款账户开户银行出具的资信证明。（如提供资信证明，须同时提供基本存款账户开户许可证或基本账户信息表）。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提供2025年7月至今已缴纳的至少一个月的税收缴纳证明（时间以税款所属日期为准)，依法免税的单位应提供相关证明材料。</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未被列入信用中国网站(www.creditchina.gov.cn)“失信被执行人、重大税收违法失信主体”；不处于中国政府采购网(www.ccgp.gov.cn)“政府采购严重违法失信行为信息记录”中的禁止参加政府采购活动期间。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法定代表人授权委托书、被授权人身份证(法定代表人参加磋商时,只需提供法定代表人身份证；被授权人参加磋商时，需提供磋商响应截止时间前三个月至少一个月的基本养老保险参保缴费证明）</w:t>
            </w:r>
          </w:p>
        </w:tc>
        <w:tc>
          <w:tcPr>
            <w:tcW w:type="dxa" w:w="1661"/>
          </w:tcPr>
          <w:p>
            <w:pPr>
              <w:pStyle w:val="null3"/>
            </w:pPr>
            <w:r>
              <w:rPr>
                <w:rFonts w:ascii="仿宋_GB2312" w:hAnsi="仿宋_GB2312" w:cs="仿宋_GB2312" w:eastAsia="仿宋_GB2312"/>
              </w:rPr>
              <w:t>1078其他附件.docx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在评审过程中，有下列情形之一的，磋商小组将启动异常低价响应审查程序：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磋商响应文件完整性</w:t>
            </w:r>
          </w:p>
        </w:tc>
        <w:tc>
          <w:tcPr>
            <w:tcW w:type="dxa" w:w="3322"/>
          </w:tcPr>
          <w:p>
            <w:pPr>
              <w:pStyle w:val="null3"/>
            </w:pPr>
            <w:r>
              <w:rPr>
                <w:rFonts w:ascii="仿宋_GB2312" w:hAnsi="仿宋_GB2312" w:cs="仿宋_GB2312" w:eastAsia="仿宋_GB2312"/>
              </w:rPr>
              <w:t>磋商响应文件构成无重大缺项（详细评审除外），按照磋商文件要求的格式编写磋商响应文件</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磋商响应文件有效性</w:t>
            </w:r>
          </w:p>
        </w:tc>
        <w:tc>
          <w:tcPr>
            <w:tcW w:type="dxa" w:w="3322"/>
          </w:tcPr>
          <w:p>
            <w:pPr>
              <w:pStyle w:val="null3"/>
            </w:pPr>
            <w:r>
              <w:rPr>
                <w:rFonts w:ascii="仿宋_GB2312" w:hAnsi="仿宋_GB2312" w:cs="仿宋_GB2312" w:eastAsia="仿宋_GB2312"/>
              </w:rPr>
              <w:t>磋商响应文件的签署、盖章符合磋商文件要求，供应商递交的磋商响应文件与本项目名称一致</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磋商响应文件响应性</w:t>
            </w:r>
          </w:p>
        </w:tc>
        <w:tc>
          <w:tcPr>
            <w:tcW w:type="dxa" w:w="3322"/>
          </w:tcPr>
          <w:p>
            <w:pPr>
              <w:pStyle w:val="null3"/>
            </w:pPr>
            <w:r>
              <w:rPr>
                <w:rFonts w:ascii="仿宋_GB2312" w:hAnsi="仿宋_GB2312" w:cs="仿宋_GB2312" w:eastAsia="仿宋_GB2312"/>
              </w:rPr>
              <w:t>服务期限响应磋商文件要求</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无磋商文件中规定的无效情形</w:t>
            </w:r>
          </w:p>
        </w:tc>
        <w:tc>
          <w:tcPr>
            <w:tcW w:type="dxa" w:w="1661"/>
          </w:tcPr>
          <w:p>
            <w:pPr>
              <w:pStyle w:val="null3"/>
            </w:pPr>
            <w:r>
              <w:rPr>
                <w:rFonts w:ascii="仿宋_GB2312" w:hAnsi="仿宋_GB2312" w:cs="仿宋_GB2312" w:eastAsia="仿宋_GB2312"/>
              </w:rPr>
              <w:t>1078其他附件.docx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评审得分相同的，按照最后报价由低到高的顺序推荐。评审得分且最后报价相同的，按照技术指标优劣顺序推荐。评审得分且最后报价且技术指标得分均相同的，由采购人采取随机抽取的方式确定成交供应商。</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类似项目经历1</w:t>
            </w:r>
          </w:p>
        </w:tc>
        <w:tc>
          <w:tcPr>
            <w:tcW w:type="dxa" w:w="2492"/>
          </w:tcPr>
          <w:p>
            <w:pPr>
              <w:pStyle w:val="null3"/>
            </w:pPr>
            <w:r>
              <w:rPr>
                <w:rFonts w:ascii="仿宋_GB2312" w:hAnsi="仿宋_GB2312" w:cs="仿宋_GB2312" w:eastAsia="仿宋_GB2312"/>
              </w:rPr>
              <w:t>拟派项目团队人员业绩1：拟派项目团队人员（含项目负责人）自2021年1月1日至今（以正式发布稿或报批稿落款时间为准），主导或参与过（起草人姓名排名前三为主导或参与）质量相关国家标准、规范性文件的制修订工作，每提供一个得3分，本项最多得9分，未提供或不符合要求，得0分。 注：须提供标准、规范性文件正式发布稿，能体现拟派项目团队人员信息的复印件（关键内容页即可）。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类似项目经历2</w:t>
            </w:r>
          </w:p>
        </w:tc>
        <w:tc>
          <w:tcPr>
            <w:tcW w:type="dxa" w:w="2492"/>
          </w:tcPr>
          <w:p>
            <w:pPr>
              <w:pStyle w:val="null3"/>
            </w:pPr>
            <w:r>
              <w:rPr>
                <w:rFonts w:ascii="仿宋_GB2312" w:hAnsi="仿宋_GB2312" w:cs="仿宋_GB2312" w:eastAsia="仿宋_GB2312"/>
              </w:rPr>
              <w:t>拟派项目团队人员业绩2:拟派项目团队人员（含项目负责人）自2021年1月1日至今（以合同签订/委托/任务下达时间为准），承担过质量相关科研课题，每提供一个得2分，本项最多得6分，未提供或不符合要求，得0分。 注：须提供任务书/委托书/任务下达文件或其他证明材料，以上证明资料须体现拟派项目团队人员信息的复印件（关键内容页即可）。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企业类似业绩:供应商自2021年1月1日至今（以合同签订时间为准），承担过类似项目业绩，每提供一个得5分，本项最多得20分。 注：须提供合同（关键内容页即可）复印件或扫描件。</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 1.具有高级职称（副高级及以上）的，得3分。（项目负责人须提供相应的职称证书复印件并加盖供应商单位公章，否则不予得分）。 2.项目负责人自2023年1月1日至磋商文件递交截止日（以合同签订为准）具有类似项目经验的，每提供一个项目经验证明材料得3分，满分6分。（供应商须提供能体现项目负责人姓名的合同或协议书复印件（关键内容页即可）加盖供应商公章，否则不予得分，与拟派项目团队人员业绩不重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团队成员人数应不少于10人的，得2分，否则不得分； 除项目负责人外，项目团队具有与所参与项目相关中级（含）以上职称或具有相关项目经历（与拟派项目团队人员业绩不重复得分），每提供一人得2分，最多得4分。 注：须提供职称证书复印件或相关业绩证明材料（业绩证明材料须体现团队成员信息，关键内容页即可）。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区间分值0-6分。 评审标准细化内容： 针对本项目提供项目需求理解， 包括①供应商对本项目背景和现状的了解;②服务内容、需求的理解和把握。 评审标准量化内容：前述要求的内容均有描述且符合本项目要求的得6分；每缺少一个方案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区间分值：0-13分。 评审标准细化内容： 针对本项目提供项目实施方案，包括①服务内容（本项3分）②实施方案（本项4分）③服务目标（本项3分）④重点难点分析及解决方案（本项3分）。 评审标准量化内容： 前述要求的内容均有描述且符合本项目要求的得13分；每缺少一个方案扣对应分值，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区间分值：0-6分。 评审标准细化内容： 针对本项目提供项目进度安排，包括①进度计划安排②进度计划保证措施。 评审标准量化内容： 前述要求的内容均有描述且符合本项目要求的得6分；每缺少一个方案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区间分值：0-9分。 评审标准细化内容： 针对本项目提供质量保证方案，包括①质量管理体系②质量保障措施及手段③具有较强的科研实力，具备一定的公共服务质量监测理论基础。 评审标准量化内容：前述要求的内容均有描述且符合本项目要求的得9分；每缺少一个方案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1078其他附件.docx</w:t>
            </w:r>
          </w:p>
        </w:tc>
      </w:tr>
      <w:tr>
        <w:tc>
          <w:tcPr>
            <w:tcW w:type="dxa" w:w="831"/>
            <w:vMerge/>
          </w:tcPr>
          <w:p/>
        </w:tc>
        <w:tc>
          <w:tcPr>
            <w:tcW w:type="dxa" w:w="1661"/>
          </w:tcPr>
          <w:p>
            <w:pPr>
              <w:pStyle w:val="null3"/>
            </w:pPr>
            <w:r>
              <w:rPr>
                <w:rFonts w:ascii="仿宋_GB2312" w:hAnsi="仿宋_GB2312" w:cs="仿宋_GB2312" w:eastAsia="仿宋_GB2312"/>
              </w:rPr>
              <w:t>突发事件应急方案</w:t>
            </w:r>
          </w:p>
        </w:tc>
        <w:tc>
          <w:tcPr>
            <w:tcW w:type="dxa" w:w="2492"/>
          </w:tcPr>
          <w:p>
            <w:pPr>
              <w:pStyle w:val="null3"/>
            </w:pPr>
            <w:r>
              <w:rPr>
                <w:rFonts w:ascii="仿宋_GB2312" w:hAnsi="仿宋_GB2312" w:cs="仿宋_GB2312" w:eastAsia="仿宋_GB2312"/>
              </w:rPr>
              <w:t>区间分值：0-6分。 评审标准细化内容： 针对本项目提供突发事件应急方案，包括①应急预案②应急保障措施。 评审标准量化内容： 前述要求的内容均有描述且符合本项目要求的得6分；每缺少一个方案扣3分，扣完为止；每有一项要求的方案内容有一处缺陷的(缺陷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本项内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1078其他附件.docx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有以上情形的，供应商在接到通知时间起30分钟内提交书面说明（未在规定时间内提交书面说明的按低于成本价，无效响应处理），书面说明应当按照国家财务会计制度的规定要求，逐项就供应商提供的货物、工程和服务的主营业务成本（应根据供应商企业类型予以区别）、税金及附加、销售费用、管理费用、财务费用等成本构成事项详细陈述。供应商提交的相关说明和证明材料，应当加盖供应商（法定名称）电子印章，在磋商小组要求的时间内通过项目电子化交易系统进行提交，否则提交的相关证明材料无效。供应商不能证明其投标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价格分统一采用低价优先法计算，即满足磋商文件要求且磋商价格最低的最终磋商报价为磋商基准价，其价格分为满分。其他供应商的价格分统一按照下列公式计算： 磋商报价得分=(磋商基准价／最终磋商报价)×价格权值×100计算分数时四舍五入取小数点后两位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详见附件：1078其他附件.docx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详见附件：1078合同.docx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