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D831">
      <w:pPr>
        <w:pStyle w:val="2"/>
        <w:keepNext/>
        <w:keepLines w:val="0"/>
        <w:pageBreakBefore w:val="0"/>
        <w:widowControl w:val="0"/>
        <w:numPr>
          <w:ilvl w:val="0"/>
          <w:numId w:val="0"/>
        </w:numPr>
        <w:shd w:val="clear"/>
        <w:wordWrap/>
        <w:overflowPunct/>
        <w:topLinePunct w:val="0"/>
        <w:bidi w:val="0"/>
        <w:jc w:val="center"/>
        <w:rPr>
          <w:rFonts w:hint="eastAsia"/>
          <w:highlight w:val="none"/>
          <w:lang w:val="en-US" w:eastAsia="zh-CN"/>
        </w:rPr>
      </w:pPr>
      <w:bookmarkStart w:id="0" w:name="_Toc26535"/>
      <w:bookmarkStart w:id="1" w:name="_Toc11305"/>
      <w:bookmarkStart w:id="2" w:name="_Toc489023685"/>
      <w:r>
        <w:rPr>
          <w:rFonts w:hint="eastAsia"/>
          <w:highlight w:val="none"/>
        </w:rPr>
        <w:t>合同条款及格式</w:t>
      </w:r>
      <w:bookmarkEnd w:id="0"/>
      <w:bookmarkEnd w:id="1"/>
      <w:bookmarkEnd w:id="2"/>
    </w:p>
    <w:p w14:paraId="327104D6">
      <w:pPr>
        <w:keepNext/>
        <w:keepLines w:val="0"/>
        <w:pageBreakBefore w:val="0"/>
        <w:widowControl w:val="0"/>
        <w:numPr>
          <w:ilvl w:val="0"/>
          <w:numId w:val="0"/>
        </w:numPr>
        <w:shd w:val="clear"/>
        <w:wordWrap/>
        <w:overflowPunct/>
        <w:topLinePunct w:val="0"/>
        <w:bidi w:val="0"/>
        <w:jc w:val="both"/>
        <w:rPr>
          <w:rFonts w:hint="eastAsia"/>
          <w:highlight w:val="none"/>
        </w:rPr>
      </w:pPr>
    </w:p>
    <w:p w14:paraId="1E7F888E">
      <w:pPr>
        <w:keepNext/>
        <w:keepLines w:val="0"/>
        <w:pageBreakBefore w:val="0"/>
        <w:widowControl w:val="0"/>
        <w:shd w:val="clear"/>
        <w:wordWrap/>
        <w:overflowPunct/>
        <w:topLinePunct w:val="0"/>
        <w:bidi w:val="0"/>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甲方（全称）：</w:t>
      </w:r>
    </w:p>
    <w:p w14:paraId="0F577177">
      <w:pPr>
        <w:keepNext/>
        <w:keepLines w:val="0"/>
        <w:pageBreakBefore w:val="0"/>
        <w:widowControl w:val="0"/>
        <w:shd w:val="clear"/>
        <w:wordWrap/>
        <w:overflowPunct/>
        <w:topLinePunct w:val="0"/>
        <w:bidi w:val="0"/>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乙方（全称）：</w:t>
      </w:r>
    </w:p>
    <w:p w14:paraId="16DD2C25">
      <w:pPr>
        <w:pStyle w:val="4"/>
        <w:keepNext/>
        <w:keepLines w:val="0"/>
        <w:pageBreakBefore w:val="0"/>
        <w:widowControl w:val="0"/>
        <w:shd w:val="clear"/>
        <w:wordWrap/>
        <w:overflowPunct/>
        <w:topLinePunct w:val="0"/>
        <w:bidi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依据《中华人民共和国民法典》、《中华人民共和国政府采购法》等有关的法律法规，以及本采购项目的招标文件、乙方的《投标文件》及《中标（成交）通知书》，甲乙双方同意签订本合同。具体情况及要求如下：</w:t>
      </w:r>
    </w:p>
    <w:p w14:paraId="274F0A78">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一、合同内容</w:t>
      </w:r>
    </w:p>
    <w:tbl>
      <w:tblPr>
        <w:tblStyle w:val="5"/>
        <w:tblW w:w="4996" w:type="pct"/>
        <w:jc w:val="center"/>
        <w:tblLayout w:type="autofit"/>
        <w:tblCellMar>
          <w:top w:w="0" w:type="dxa"/>
          <w:left w:w="0" w:type="dxa"/>
          <w:bottom w:w="0" w:type="dxa"/>
          <w:right w:w="0" w:type="dxa"/>
        </w:tblCellMar>
      </w:tblPr>
      <w:tblGrid>
        <w:gridCol w:w="1209"/>
        <w:gridCol w:w="1092"/>
        <w:gridCol w:w="795"/>
        <w:gridCol w:w="1066"/>
        <w:gridCol w:w="820"/>
        <w:gridCol w:w="1440"/>
        <w:gridCol w:w="943"/>
        <w:gridCol w:w="944"/>
      </w:tblGrid>
      <w:tr w14:paraId="24232E8E">
        <w:tblPrEx>
          <w:tblCellMar>
            <w:top w:w="0" w:type="dxa"/>
            <w:left w:w="0" w:type="dxa"/>
            <w:bottom w:w="0" w:type="dxa"/>
            <w:right w:w="0" w:type="dxa"/>
          </w:tblCellMar>
        </w:tblPrEx>
        <w:trPr>
          <w:trHeight w:val="349" w:hRule="exact"/>
          <w:jc w:val="center"/>
        </w:trPr>
        <w:tc>
          <w:tcPr>
            <w:tcW w:w="727" w:type="pct"/>
            <w:tcBorders>
              <w:top w:val="single" w:color="000000" w:sz="4" w:space="0"/>
              <w:left w:val="single" w:color="000000" w:sz="4" w:space="0"/>
              <w:bottom w:val="single" w:color="000000" w:sz="4" w:space="0"/>
              <w:right w:val="single" w:color="000000" w:sz="4" w:space="0"/>
            </w:tcBorders>
            <w:noWrap w:val="0"/>
            <w:vAlign w:val="center"/>
          </w:tcPr>
          <w:p w14:paraId="39A0FEAF">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品目名称</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0FA40D3">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品牌/商标</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5BA4EEF5">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规格</w:t>
            </w:r>
          </w:p>
        </w:tc>
        <w:tc>
          <w:tcPr>
            <w:tcW w:w="641" w:type="pct"/>
            <w:tcBorders>
              <w:top w:val="single" w:color="000000" w:sz="4" w:space="0"/>
              <w:left w:val="single" w:color="000000" w:sz="4" w:space="0"/>
              <w:bottom w:val="single" w:color="000000" w:sz="4" w:space="0"/>
              <w:right w:val="single" w:color="000000" w:sz="4" w:space="0"/>
            </w:tcBorders>
            <w:noWrap w:val="0"/>
            <w:vAlign w:val="center"/>
          </w:tcPr>
          <w:p w14:paraId="2478C74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产地/生产商</w:t>
            </w:r>
          </w:p>
        </w:tc>
        <w:tc>
          <w:tcPr>
            <w:tcW w:w="493" w:type="pct"/>
            <w:tcBorders>
              <w:top w:val="single" w:color="000000" w:sz="4" w:space="0"/>
              <w:left w:val="single" w:color="000000" w:sz="4" w:space="0"/>
              <w:bottom w:val="single" w:color="000000" w:sz="4" w:space="0"/>
              <w:right w:val="single" w:color="000000" w:sz="4" w:space="0"/>
            </w:tcBorders>
            <w:noWrap w:val="0"/>
            <w:vAlign w:val="center"/>
          </w:tcPr>
          <w:p w14:paraId="572F3876">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2B187114">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单价（元）</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697305D8">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总价</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14:paraId="02C0CD1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14:paraId="5EDD850C">
        <w:tblPrEx>
          <w:tblCellMar>
            <w:top w:w="0" w:type="dxa"/>
            <w:left w:w="0" w:type="dxa"/>
            <w:bottom w:w="0" w:type="dxa"/>
            <w:right w:w="0" w:type="dxa"/>
          </w:tblCellMar>
        </w:tblPrEx>
        <w:trPr>
          <w:trHeight w:val="393" w:hRule="exact"/>
          <w:jc w:val="center"/>
        </w:trPr>
        <w:tc>
          <w:tcPr>
            <w:tcW w:w="727" w:type="pct"/>
            <w:tcBorders>
              <w:top w:val="single" w:color="000000" w:sz="4" w:space="0"/>
              <w:left w:val="single" w:color="000000" w:sz="4" w:space="0"/>
              <w:bottom w:val="single" w:color="000000" w:sz="4" w:space="0"/>
              <w:right w:val="single" w:color="000000" w:sz="4" w:space="0"/>
            </w:tcBorders>
            <w:noWrap w:val="0"/>
            <w:vAlign w:val="center"/>
          </w:tcPr>
          <w:p w14:paraId="7E98128C">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3AF769C7">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47AB2E1E">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641" w:type="pct"/>
            <w:tcBorders>
              <w:top w:val="single" w:color="000000" w:sz="4" w:space="0"/>
              <w:left w:val="single" w:color="000000" w:sz="4" w:space="0"/>
              <w:bottom w:val="single" w:color="000000" w:sz="4" w:space="0"/>
              <w:right w:val="single" w:color="000000" w:sz="4" w:space="0"/>
            </w:tcBorders>
            <w:noWrap w:val="0"/>
            <w:vAlign w:val="center"/>
          </w:tcPr>
          <w:p w14:paraId="1F0089E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493" w:type="pct"/>
            <w:tcBorders>
              <w:top w:val="single" w:color="000000" w:sz="4" w:space="0"/>
              <w:left w:val="single" w:color="000000" w:sz="4" w:space="0"/>
              <w:bottom w:val="single" w:color="000000" w:sz="4" w:space="0"/>
              <w:right w:val="single" w:color="000000" w:sz="4" w:space="0"/>
            </w:tcBorders>
            <w:noWrap w:val="0"/>
            <w:vAlign w:val="center"/>
          </w:tcPr>
          <w:p w14:paraId="0B634235">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32DAE7C0">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275C33E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568" w:type="pct"/>
            <w:tcBorders>
              <w:top w:val="single" w:color="000000" w:sz="4" w:space="0"/>
              <w:left w:val="single" w:color="000000" w:sz="4" w:space="0"/>
              <w:bottom w:val="single" w:color="000000" w:sz="4" w:space="0"/>
              <w:right w:val="single" w:color="000000" w:sz="4" w:space="0"/>
            </w:tcBorders>
            <w:noWrap w:val="0"/>
            <w:vAlign w:val="center"/>
          </w:tcPr>
          <w:p w14:paraId="4D0A327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r>
      <w:tr w14:paraId="5D3493DA">
        <w:tblPrEx>
          <w:tblCellMar>
            <w:top w:w="0" w:type="dxa"/>
            <w:left w:w="0" w:type="dxa"/>
            <w:bottom w:w="0" w:type="dxa"/>
            <w:right w:w="0" w:type="dxa"/>
          </w:tblCellMar>
        </w:tblPrEx>
        <w:trPr>
          <w:trHeight w:val="399" w:hRule="exact"/>
          <w:jc w:val="center"/>
        </w:trPr>
        <w:tc>
          <w:tcPr>
            <w:tcW w:w="727" w:type="pct"/>
            <w:tcBorders>
              <w:top w:val="single" w:color="000000" w:sz="4" w:space="0"/>
              <w:left w:val="single" w:color="000000" w:sz="4" w:space="0"/>
              <w:bottom w:val="single" w:color="000000" w:sz="4" w:space="0"/>
              <w:right w:val="single" w:color="000000" w:sz="4" w:space="0"/>
            </w:tcBorders>
            <w:noWrap w:val="0"/>
            <w:vAlign w:val="center"/>
          </w:tcPr>
          <w:p w14:paraId="1B6F46E3">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924E350">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1858C389">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641" w:type="pct"/>
            <w:tcBorders>
              <w:top w:val="single" w:color="000000" w:sz="4" w:space="0"/>
              <w:left w:val="single" w:color="000000" w:sz="4" w:space="0"/>
              <w:bottom w:val="single" w:color="000000" w:sz="4" w:space="0"/>
              <w:right w:val="single" w:color="000000" w:sz="4" w:space="0"/>
            </w:tcBorders>
            <w:noWrap w:val="0"/>
            <w:vAlign w:val="center"/>
          </w:tcPr>
          <w:p w14:paraId="7EE28E3A">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493" w:type="pct"/>
            <w:tcBorders>
              <w:top w:val="single" w:color="000000" w:sz="4" w:space="0"/>
              <w:left w:val="single" w:color="000000" w:sz="4" w:space="0"/>
              <w:bottom w:val="single" w:color="000000" w:sz="4" w:space="0"/>
              <w:right w:val="single" w:color="000000" w:sz="4" w:space="0"/>
            </w:tcBorders>
            <w:noWrap w:val="0"/>
            <w:vAlign w:val="center"/>
          </w:tcPr>
          <w:p w14:paraId="53BB2E5D">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2EF1B7EC">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39C8F386">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c>
          <w:tcPr>
            <w:tcW w:w="568" w:type="pct"/>
            <w:tcBorders>
              <w:top w:val="single" w:color="000000" w:sz="4" w:space="0"/>
              <w:left w:val="single" w:color="000000" w:sz="4" w:space="0"/>
              <w:bottom w:val="single" w:color="000000" w:sz="4" w:space="0"/>
              <w:right w:val="single" w:color="000000" w:sz="4" w:space="0"/>
            </w:tcBorders>
            <w:noWrap w:val="0"/>
            <w:vAlign w:val="center"/>
          </w:tcPr>
          <w:p w14:paraId="0EBE5EDE">
            <w:pPr>
              <w:keepNext/>
              <w:keepLines w:val="0"/>
              <w:pageBreakBefore w:val="0"/>
              <w:widowControl w:val="0"/>
              <w:shd w:val="clear"/>
              <w:wordWrap/>
              <w:overflowPunct/>
              <w:topLinePunct w:val="0"/>
              <w:bidi w:val="0"/>
              <w:spacing w:line="360" w:lineRule="auto"/>
              <w:jc w:val="center"/>
              <w:rPr>
                <w:rFonts w:hint="eastAsia" w:ascii="宋体" w:hAnsi="宋体" w:eastAsia="宋体" w:cs="宋体"/>
                <w:sz w:val="21"/>
                <w:szCs w:val="21"/>
                <w:highlight w:val="none"/>
              </w:rPr>
            </w:pPr>
          </w:p>
        </w:tc>
      </w:tr>
    </w:tbl>
    <w:p w14:paraId="7A5A60E7">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二、配送周期及配送地点</w:t>
      </w:r>
    </w:p>
    <w:p w14:paraId="6AFA2CEF">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配送周期：</w:t>
      </w:r>
    </w:p>
    <w:p w14:paraId="1344F2EE">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配送地点：</w:t>
      </w:r>
    </w:p>
    <w:p w14:paraId="2ACC2254">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配送方式：乙方应单独组织专业配送人员及专用车辆对货物进行统一配送。货物配送必须一次性到位，不得中转。货物配送必须是乙方直接进行配送，不得采取委托、承包、转让、转包给其他公司、区域代理商或者个人进行配送，配送车辆必须采取密闭车辆，并经甲方审验后方可进行配送。</w:t>
      </w:r>
    </w:p>
    <w:p w14:paraId="18ABCCA3">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三、合同价款及支付</w:t>
      </w:r>
    </w:p>
    <w:p w14:paraId="62C3FE7D">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lang w:eastAsia="zh-CN"/>
        </w:rPr>
      </w:pPr>
      <w:r>
        <w:rPr>
          <w:rFonts w:hint="eastAsia" w:ascii="宋体" w:hAnsi="宋体" w:eastAsia="宋体" w:cs="宋体"/>
          <w:sz w:val="21"/>
          <w:szCs w:val="21"/>
          <w:highlight w:val="none"/>
        </w:rPr>
        <w:t>1.</w:t>
      </w:r>
      <w:r>
        <w:rPr>
          <w:rFonts w:hint="eastAsia" w:ascii="宋体" w:hAnsi="宋体" w:cs="宋体"/>
          <w:sz w:val="21"/>
          <w:szCs w:val="21"/>
          <w:highlight w:val="none"/>
          <w:lang w:val="en-US" w:eastAsia="zh-CN"/>
        </w:rPr>
        <w:t>调价机制</w:t>
      </w:r>
      <w:r>
        <w:rPr>
          <w:rFonts w:hint="eastAsia" w:ascii="宋体" w:hAnsi="宋体" w:cs="宋体"/>
          <w:sz w:val="21"/>
          <w:szCs w:val="21"/>
          <w:highlight w:val="none"/>
          <w:lang w:eastAsia="zh-CN"/>
        </w:rPr>
        <w:t>：</w:t>
      </w:r>
    </w:p>
    <w:p w14:paraId="57096602">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lang w:eastAsia="zh-CN"/>
        </w:rPr>
      </w:pPr>
      <w:r>
        <w:rPr>
          <w:rFonts w:hint="eastAsia" w:ascii="宋体" w:hAnsi="宋体" w:eastAsia="宋体" w:cs="宋体"/>
          <w:sz w:val="21"/>
          <w:szCs w:val="21"/>
          <w:highlight w:val="none"/>
          <w:lang w:val="en-US" w:eastAsia="zh-CN"/>
        </w:rPr>
        <w:t>鸡蛋、后腿肉、五花肉、排骨、鸡脯肉、鸡腿、牛肉、羊肉：单价参照韩城市人民政府官网-重要商品价格监测，韩城市发展和改革委员会发布的当月重要商品零售平均价格下浮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u w:val="single"/>
          <w:lang w:val="en-US" w:eastAsia="zh-CN"/>
        </w:rPr>
        <w:t xml:space="preserve">百分之    </w:t>
      </w:r>
      <w:r>
        <w:rPr>
          <w:rFonts w:hint="eastAsia" w:ascii="宋体" w:hAnsi="宋体" w:eastAsia="宋体" w:cs="宋体"/>
          <w:sz w:val="21"/>
          <w:szCs w:val="21"/>
          <w:highlight w:val="none"/>
          <w:lang w:val="en-US" w:eastAsia="zh-CN"/>
        </w:rPr>
        <w:t>)。合同执行过程中，运用调价机制，每月末参照韩城市人民政府官网-重要商品价格监测，韩城市发展和改革委员会发布的当月重要商品零售平均价格确定下月产品单价。</w:t>
      </w:r>
    </w:p>
    <w:p w14:paraId="6E678C0A">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2.付款计划：</w:t>
      </w:r>
    </w:p>
    <w:p w14:paraId="20075BF2">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每月15日由供应商统计上月实际供货数量并报采购人审核后支付（一次性支付上一个月的货款），付款前供应商应向采购人提供等额发票。</w:t>
      </w:r>
    </w:p>
    <w:p w14:paraId="689D2AE7">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（2）支付方式：银行转账。</w:t>
      </w:r>
    </w:p>
    <w:p w14:paraId="02782ADD">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四、包装、运输、验收要求</w:t>
      </w:r>
    </w:p>
    <w:p w14:paraId="0A8163A3">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1.乙方提供的全部货物，均应按标准保护措施进行包装。这类包装应适应于远距离运输、防潮、防震和防野蛮装卸，以确保货物安全、完整到达使用地点。</w:t>
      </w:r>
    </w:p>
    <w:p w14:paraId="3C68F12B">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2.每一个包装箱内应附一份详细装箱单和质量合格证。</w:t>
      </w:r>
    </w:p>
    <w:p w14:paraId="55ECE489">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3.运杂费用包含在总价内，包括货物从出发地点到使用地点的运输费、仓储费、保险费、搬运费等。</w:t>
      </w:r>
    </w:p>
    <w:p w14:paraId="7C1309A6">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4.乙方在按相关规定送货到位后，甲方应及时配合配送人员接货，并对合同指定的产品进行验收，对破包、涨包、过期、漏包、受污染的产品拒绝接收。</w:t>
      </w:r>
    </w:p>
    <w:p w14:paraId="2103267F">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5.所有货物在运输、搬运的过程中，造成甲方损失的，由乙方为甲方免费更换。</w:t>
      </w:r>
    </w:p>
    <w:p w14:paraId="4E097A78">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学校成立由2人以上组成的验收小组，按照合同约定开展验收工作。验收时，建立采购验收台账，列明到货品目、数量质量、生产日期等情况，由验收双方共同签署并留存验收证明。严格落实复秤工作机制并如实记录。具体如下：</w:t>
      </w:r>
    </w:p>
    <w:p w14:paraId="02FAC39B">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.1.严格规范大宗食材进货查验，建立“双人或多人联检”查验制度，查验人员至少包含学校食品安全员和食堂管理人员，集体验收，公开透明，有条件的学校应保留影像资料，清晰详实记录进货查验情况。</w:t>
      </w:r>
    </w:p>
    <w:p w14:paraId="26068852">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.2. 食材进校验收应综合运用“望、闻、问、切”等多种方式，核对重量，核对生产日期和保质期，重点核查以下事项，核对包装完整性，核对食材一致性；查看食材色泽、形态；确认食材是否有异味。</w:t>
      </w:r>
    </w:p>
    <w:p w14:paraId="259EFFC5">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.3. 采购原材料应索取产品合格证以及同批次检验（测）报告。采购畜禽肉类时，需具备动物产品检疫合格证明，猪肉还需附有非洲猪瘟检测证明、肉品品质检验合格证明；大米应具备镉、黄曲霉毒素等指标的检测报告。</w:t>
      </w:r>
    </w:p>
    <w:p w14:paraId="2CD83946">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.4. 进货查验记录和相关凭证的保存期限不少于产品保质期满后6个月；无明确保质期的，保存期限不少于2年。其他各项记录保存期限宜为2年。</w:t>
      </w:r>
    </w:p>
    <w:p w14:paraId="011B04CB">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.验收依据：</w:t>
      </w:r>
      <w:r>
        <w:rPr>
          <w:rFonts w:hint="eastAsia" w:ascii="宋体" w:hAnsi="宋体" w:eastAsia="宋体" w:cs="宋体"/>
          <w:highlight w:val="none"/>
          <w:lang w:val="en-US" w:eastAsia="zh-CN"/>
        </w:rPr>
        <w:t>合同文本、合同附件、招标文件、投标文件、国内相应的标准、规范。</w:t>
      </w:r>
    </w:p>
    <w:p w14:paraId="1AD906EB">
      <w:pPr>
        <w:keepNext/>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8</w:t>
      </w:r>
      <w:r>
        <w:rPr>
          <w:rFonts w:hint="eastAsia" w:ascii="宋体" w:hAnsi="宋体" w:eastAsia="宋体" w:cs="宋体"/>
          <w:highlight w:val="none"/>
          <w:lang w:val="en-US" w:eastAsia="zh-CN"/>
        </w:rPr>
        <w:t>.成交供应商对最终的产品质量负完全责任。</w:t>
      </w:r>
    </w:p>
    <w:p w14:paraId="4F996C4C">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五、质量保证</w:t>
      </w:r>
    </w:p>
    <w:p w14:paraId="59FB8234">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 xml:space="preserve">供应商严格按照招标文件要求及投标文件承诺履行合同。原材料应提供产品合格证以及同批次检验（测）报告。畜禽肉类需具备动物产品检疫合格证明，猪肉还需附有非洲猪瘟检测证明、肉品品质检验合格证明；大米应具备镉、黄曲霉毒素等指标的检测报告。 </w:t>
      </w:r>
    </w:p>
    <w:p w14:paraId="2DAC57A0">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 xml:space="preserve">进货查验记录和相关凭证的保存期限不少于产品保质期满后6个月；无明确保质期的，保存期限不少于2年。其他各项记录保存期限宜为2年 </w:t>
      </w:r>
    </w:p>
    <w:p w14:paraId="3F791DD6">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因运输装卸过程中造成的损耗(例如包装严重变形、破损，食品污损、变异等)，发现的破损、变异食品必须无条件更换。</w:t>
      </w:r>
    </w:p>
    <w:p w14:paraId="0FEC2CC1">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所投食品质量必须符合国家有关规范和相关政策，质量优良、渠道正当。配送到校的产品不得低于该产品整体有效期的三分之二，不得提供临期产品。</w:t>
      </w:r>
    </w:p>
    <w:p w14:paraId="1BBFA833">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凡成交商品或品牌出现重大安全事故或严重的社会不良影响，采购方有权停止该商品或品牌在本项目中供应。</w:t>
      </w:r>
    </w:p>
    <w:p w14:paraId="06D3C3FC">
      <w:pPr>
        <w:keepNext/>
        <w:keepLines w:val="0"/>
        <w:pageBreakBefore w:val="0"/>
        <w:widowControl w:val="0"/>
        <w:shd w:val="clear"/>
        <w:wordWrap/>
        <w:overflowPunct/>
        <w:topLinePunct w:val="0"/>
        <w:bidi w:val="0"/>
        <w:spacing w:line="360" w:lineRule="auto"/>
        <w:ind w:firstLine="420" w:firstLineChars="200"/>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六、</w:t>
      </w:r>
      <w:r>
        <w:rPr>
          <w:rFonts w:hint="eastAsia" w:ascii="宋体" w:hAnsi="宋体" w:cs="宋体"/>
          <w:sz w:val="21"/>
          <w:szCs w:val="21"/>
          <w:highlight w:val="none"/>
          <w:lang w:val="en-US" w:eastAsia="zh-CN"/>
        </w:rPr>
        <w:t>履约保证金</w:t>
      </w:r>
    </w:p>
    <w:p w14:paraId="4C38948F">
      <w:pPr>
        <w:keepNext/>
        <w:keepLines w:val="0"/>
        <w:pageBreakBefore w:val="0"/>
        <w:widowControl w:val="0"/>
        <w:shd w:val="clear"/>
        <w:wordWrap/>
        <w:overflowPunct/>
        <w:topLinePunct w:val="0"/>
        <w:bidi w:val="0"/>
        <w:spacing w:line="360" w:lineRule="auto"/>
        <w:ind w:firstLine="420" w:firstLineChars="200"/>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1、履约保证金主要用于保障食材质量、准时配送及食品安全等，抵御因违约产生损失的风险。</w:t>
      </w:r>
    </w:p>
    <w:p w14:paraId="7BECBDC0">
      <w:pPr>
        <w:keepNext/>
        <w:keepLines w:val="0"/>
        <w:pageBreakBefore w:val="0"/>
        <w:widowControl w:val="0"/>
        <w:shd w:val="clear"/>
        <w:wordWrap/>
        <w:overflowPunct/>
        <w:topLinePunct w:val="0"/>
        <w:bidi w:val="0"/>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2.履约保证金为合同金额的1%，成交供应商在本项目采购合同签订前缴纳。</w:t>
      </w:r>
    </w:p>
    <w:p w14:paraId="00CBB622">
      <w:pPr>
        <w:keepNext/>
        <w:keepLines w:val="0"/>
        <w:pageBreakBefore w:val="0"/>
        <w:widowControl w:val="0"/>
        <w:shd w:val="clear"/>
        <w:wordWrap/>
        <w:overflowPunct/>
        <w:topLinePunct w:val="0"/>
        <w:bidi w:val="0"/>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3.缴纳方式：银行转账，支票/汇票/本票，保函/保险。</w:t>
      </w:r>
    </w:p>
    <w:p w14:paraId="6E6F9AB4">
      <w:pPr>
        <w:keepNext/>
        <w:keepLines w:val="0"/>
        <w:pageBreakBefore w:val="0"/>
        <w:widowControl w:val="0"/>
        <w:shd w:val="clear"/>
        <w:wordWrap/>
        <w:overflowPunct/>
        <w:topLinePunct w:val="0"/>
        <w:bidi w:val="0"/>
        <w:spacing w:line="360" w:lineRule="auto"/>
        <w:ind w:firstLine="420" w:firstLineChars="200"/>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4.使用机制：</w:t>
      </w:r>
    </w:p>
    <w:p w14:paraId="333F878C">
      <w:pPr>
        <w:keepNext/>
        <w:keepLines w:val="0"/>
        <w:pageBreakBefore w:val="0"/>
        <w:widowControl w:val="0"/>
        <w:numPr>
          <w:ilvl w:val="0"/>
          <w:numId w:val="1"/>
        </w:numPr>
        <w:shd w:val="clear"/>
        <w:wordWrap/>
        <w:overflowPunct/>
        <w:topLinePunct w:val="0"/>
        <w:bidi w:val="0"/>
        <w:spacing w:line="360" w:lineRule="auto"/>
        <w:ind w:left="0" w:leftChars="0"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轻微违约（供货延迟、少量食材瑕疵等未造成影响）单次扣除履约保证金总额的1%；同一问题累计出现3次，升级至扣除5%。</w:t>
      </w:r>
    </w:p>
    <w:p w14:paraId="3A175489">
      <w:pPr>
        <w:keepNext/>
        <w:keepLines w:val="0"/>
        <w:pageBreakBefore w:val="0"/>
        <w:widowControl w:val="0"/>
        <w:numPr>
          <w:ilvl w:val="0"/>
          <w:numId w:val="1"/>
        </w:numPr>
        <w:shd w:val="clear"/>
        <w:wordWrap/>
        <w:overflowPunct/>
        <w:topLinePunct w:val="0"/>
        <w:bidi w:val="0"/>
        <w:spacing w:line="360" w:lineRule="auto"/>
        <w:ind w:left="0" w:leftChars="0"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一般违约（食材抽检不合格、快检不达标、仓储/冷链车辆不满足投标承诺等），承担因违约造成的经济损失外，单次扣除履约保证金总额的10%—20%，供应商需在3日内补足被扣保证金。</w:t>
      </w:r>
    </w:p>
    <w:p w14:paraId="6FC7AEE1">
      <w:pPr>
        <w:keepNext/>
        <w:keepLines w:val="0"/>
        <w:pageBreakBefore w:val="0"/>
        <w:widowControl w:val="0"/>
        <w:numPr>
          <w:ilvl w:val="0"/>
          <w:numId w:val="1"/>
        </w:numPr>
        <w:shd w:val="clear"/>
        <w:wordWrap/>
        <w:overflowPunct/>
        <w:topLinePunct w:val="0"/>
        <w:bidi w:val="0"/>
        <w:spacing w:line="360" w:lineRule="auto"/>
        <w:ind w:left="0" w:leftChars="0"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较重违约（供应过期食材、篡改检测报告、存在食品安全隐患等），承担因违约造成的经济损失外，单次扣除履约保证金总额的30%—50%，采购人有权暂停结算货款。</w:t>
      </w:r>
    </w:p>
    <w:p w14:paraId="3B40BD86">
      <w:pPr>
        <w:keepNext/>
        <w:keepLines w:val="0"/>
        <w:pageBreakBefore w:val="0"/>
        <w:widowControl w:val="0"/>
        <w:numPr>
          <w:ilvl w:val="0"/>
          <w:numId w:val="1"/>
        </w:numPr>
        <w:shd w:val="clear"/>
        <w:wordWrap/>
        <w:overflowPunct/>
        <w:topLinePunct w:val="0"/>
        <w:bidi w:val="0"/>
        <w:spacing w:line="360" w:lineRule="auto"/>
        <w:ind w:left="0" w:leftChars="0"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严重违约（提供伪劣食材、发生食品安全事故、无故中断供货、拒不整改等）直接全额扣除100%履约保证金，并追偿实际产生的经济损失，同时，采购人有权单方面解除合同。</w:t>
      </w:r>
    </w:p>
    <w:p w14:paraId="04981A46">
      <w:pPr>
        <w:keepNext/>
        <w:keepLines w:val="0"/>
        <w:pageBreakBefore w:val="0"/>
        <w:widowControl w:val="0"/>
        <w:numPr>
          <w:ilvl w:val="0"/>
          <w:numId w:val="0"/>
        </w:numPr>
        <w:shd w:val="clear"/>
        <w:wordWrap/>
        <w:overflowPunct/>
        <w:topLinePunct w:val="0"/>
        <w:bidi w:val="0"/>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kern w:val="2"/>
          <w:sz w:val="21"/>
          <w:szCs w:val="21"/>
          <w:highlight w:val="none"/>
          <w:lang w:val="en-US" w:eastAsia="zh-CN" w:bidi="ar-SA"/>
        </w:rPr>
        <w:t>5</w:t>
      </w:r>
      <w:r>
        <w:rPr>
          <w:rFonts w:hint="eastAsia" w:ascii="宋体" w:hAnsi="宋体" w:eastAsia="宋体" w:cs="宋体"/>
          <w:kern w:val="2"/>
          <w:sz w:val="21"/>
          <w:szCs w:val="21"/>
          <w:highlight w:val="none"/>
          <w:lang w:val="en-US" w:eastAsia="zh-CN" w:bidi="ar-SA"/>
        </w:rPr>
        <w:t>.</w:t>
      </w:r>
      <w:r>
        <w:rPr>
          <w:rFonts w:hint="eastAsia" w:ascii="宋体" w:hAnsi="宋体" w:cs="宋体"/>
          <w:sz w:val="21"/>
          <w:szCs w:val="21"/>
          <w:highlight w:val="none"/>
          <w:lang w:val="en-US" w:eastAsia="zh-CN"/>
        </w:rPr>
        <w:t>其他</w:t>
      </w:r>
    </w:p>
    <w:p w14:paraId="1FDC59D3">
      <w:pPr>
        <w:keepNext/>
        <w:keepLines w:val="0"/>
        <w:pageBreakBefore w:val="0"/>
        <w:widowControl w:val="0"/>
        <w:numPr>
          <w:ilvl w:val="0"/>
          <w:numId w:val="2"/>
        </w:numPr>
        <w:shd w:val="clear"/>
        <w:wordWrap/>
        <w:overflowPunct/>
        <w:topLinePunct w:val="0"/>
        <w:bidi w:val="0"/>
        <w:spacing w:line="360" w:lineRule="auto"/>
        <w:ind w:left="0" w:leftChars="0" w:firstLine="420" w:firstLineChars="200"/>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保证金每次被扣减后，供应商须在收到扣款通知3个工作日内补齐至初始金额，未按时补足，采购人有权终止供货合同。</w:t>
      </w:r>
    </w:p>
    <w:p w14:paraId="726887FD">
      <w:pPr>
        <w:keepNext/>
        <w:keepLines w:val="0"/>
        <w:pageBreakBefore w:val="0"/>
        <w:widowControl w:val="0"/>
        <w:numPr>
          <w:ilvl w:val="0"/>
          <w:numId w:val="2"/>
        </w:numPr>
        <w:shd w:val="clear"/>
        <w:wordWrap/>
        <w:overflowPunct/>
        <w:topLinePunct w:val="0"/>
        <w:bidi w:val="0"/>
        <w:spacing w:line="360" w:lineRule="auto"/>
        <w:ind w:left="0" w:leftChars="0" w:firstLine="420" w:firstLineChars="200"/>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若履约保证金扣除完毕仍不足以弥补采购人损失的，采购人有权继续向供应商追偿差额部分。</w:t>
      </w:r>
    </w:p>
    <w:p w14:paraId="059EE9C1">
      <w:pPr>
        <w:keepNext/>
        <w:keepLines w:val="0"/>
        <w:pageBreakBefore w:val="0"/>
        <w:widowControl w:val="0"/>
        <w:numPr>
          <w:ilvl w:val="0"/>
          <w:numId w:val="2"/>
        </w:numPr>
        <w:shd w:val="clear"/>
        <w:wordWrap/>
        <w:overflowPunct/>
        <w:topLinePunct w:val="0"/>
        <w:bidi w:val="0"/>
        <w:spacing w:line="360" w:lineRule="auto"/>
        <w:ind w:left="0" w:leftChars="0" w:firstLine="420" w:firstLineChars="200"/>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合同履约期满，供应商无任何违约行为，履约保证金无息全额退还。</w:t>
      </w:r>
    </w:p>
    <w:p w14:paraId="125CF3E9">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七、</w:t>
      </w:r>
      <w:r>
        <w:rPr>
          <w:rFonts w:hint="eastAsia" w:ascii="宋体" w:hAnsi="宋体" w:eastAsia="宋体" w:cs="宋体"/>
          <w:sz w:val="21"/>
          <w:szCs w:val="21"/>
          <w:highlight w:val="none"/>
        </w:rPr>
        <w:t>双方权利义务</w:t>
      </w:r>
    </w:p>
    <w:p w14:paraId="4E18ADCD">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（一）甲方的权利和义务</w:t>
      </w:r>
    </w:p>
    <w:p w14:paraId="442BF4C0">
      <w:pPr>
        <w:keepNext/>
        <w:keepLines w:val="0"/>
        <w:pageBreakBefore w:val="0"/>
        <w:widowControl w:val="0"/>
        <w:shd w:val="clear"/>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1．甲方有权随机从乙方配送的产品中抽取一部分，由甲方选定具备</w:t>
      </w:r>
      <w:r>
        <w:rPr>
          <w:rFonts w:hint="eastAsia" w:ascii="宋体" w:hAnsi="宋体" w:eastAsia="宋体" w:cs="宋体"/>
          <w:sz w:val="21"/>
          <w:szCs w:val="21"/>
        </w:rPr>
        <w:t>检验资质的检验机构进行检验、检测，检验费用由乙方承担（已含在报价中），对于检验不合格的现象，甲方有权直接终止合同，并向乙方提出索赔。</w:t>
      </w:r>
    </w:p>
    <w:p w14:paraId="5B7F23E2">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2．甲方有权依据双方签订的考评办法对乙方提供的服务进行定期考评。</w:t>
      </w:r>
    </w:p>
    <w:p w14:paraId="1C2C5D72">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3．负责检查监督乙方管理工作的实施及制度的执行情况。</w:t>
      </w:r>
    </w:p>
    <w:p w14:paraId="7DCAC707">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4．根据本合同规定，按时向乙方支付应付服务费用。</w:t>
      </w:r>
    </w:p>
    <w:p w14:paraId="34FC58EE">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．国家法律、法规所规定由甲方承担的其它责任。</w:t>
      </w:r>
    </w:p>
    <w:p w14:paraId="561B7C0D">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（二）乙方的权利和义务</w:t>
      </w:r>
    </w:p>
    <w:p w14:paraId="529ED226">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．根据本合同的规定向甲方收取相关费用，并有权在本项目管理范围内管理及合理使用。</w:t>
      </w:r>
    </w:p>
    <w:p w14:paraId="0BEFD7A8">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．及时向甲方通告本项目服务范围内</w:t>
      </w:r>
      <w:r>
        <w:rPr>
          <w:rFonts w:hint="eastAsia" w:ascii="宋体" w:hAnsi="宋体" w:eastAsia="宋体" w:cs="宋体"/>
          <w:sz w:val="21"/>
          <w:szCs w:val="21"/>
          <w:lang w:val="en-US" w:eastAsia="zh-CN"/>
        </w:rPr>
        <w:t>的</w:t>
      </w:r>
      <w:r>
        <w:rPr>
          <w:rFonts w:hint="eastAsia" w:ascii="宋体" w:hAnsi="宋体" w:eastAsia="宋体" w:cs="宋体"/>
          <w:sz w:val="21"/>
          <w:szCs w:val="21"/>
        </w:rPr>
        <w:t>重大事项，及时配合处理投诉。</w:t>
      </w:r>
    </w:p>
    <w:p w14:paraId="6785C94B">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．接受项目行业管理部门及政府有关部门的指导，接受甲方的监督。</w:t>
      </w:r>
    </w:p>
    <w:p w14:paraId="2C9D5176">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．国家法律、法规所规定由乙方承担的其它责任。</w:t>
      </w:r>
    </w:p>
    <w:p w14:paraId="0D65620C">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八、违约及索赔</w:t>
      </w:r>
    </w:p>
    <w:p w14:paraId="55DE65ED">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1．甲乙双方必须遵守本合同并执行合同中的各项规定，保证本合同的正常履行。</w:t>
      </w:r>
    </w:p>
    <w:p w14:paraId="292091DF">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74E230A">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九</w:t>
      </w:r>
      <w:r>
        <w:rPr>
          <w:rFonts w:hint="eastAsia" w:ascii="宋体" w:hAnsi="宋体" w:eastAsia="宋体" w:cs="宋体"/>
          <w:sz w:val="21"/>
          <w:szCs w:val="21"/>
        </w:rPr>
        <w:t>、不可抗力</w:t>
      </w:r>
    </w:p>
    <w:p w14:paraId="41709D21">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1．在合同有效期内，任何一方因不可抗力事件导致不能履行合同，则合同履行期可延长，其延长期与不可抗力影响期相同。</w:t>
      </w:r>
    </w:p>
    <w:p w14:paraId="2D1CD320">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2．不可抗力事件发生后，应立即通知对方，并寄送有关权威机构出具的证明。</w:t>
      </w:r>
    </w:p>
    <w:p w14:paraId="0CA02BBA">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3．不可抗力事件延续15个日历日以上，双方应通过友好协商确定是否继续履行合同。</w:t>
      </w:r>
    </w:p>
    <w:p w14:paraId="54BFF33C">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十</w:t>
      </w:r>
      <w:r>
        <w:rPr>
          <w:rFonts w:hint="eastAsia" w:ascii="宋体" w:hAnsi="宋体" w:eastAsia="宋体" w:cs="宋体"/>
          <w:sz w:val="21"/>
          <w:szCs w:val="21"/>
        </w:rPr>
        <w:t>、争议解决方式</w:t>
      </w:r>
    </w:p>
    <w:p w14:paraId="5D8FA0A2">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因执行本合同所发生的或与本合同有关的一切争议,双方应通过友好协商解决，协商不成的可依法向甲方所在地人民法院起诉。</w:t>
      </w:r>
    </w:p>
    <w:p w14:paraId="1546988A">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十一</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合同生效及其他</w:t>
      </w:r>
    </w:p>
    <w:p w14:paraId="6E2E6D17">
      <w:pPr>
        <w:keepNext/>
        <w:keepLines w:val="0"/>
        <w:pageBreakBefore w:val="0"/>
        <w:widowControl w:val="0"/>
        <w:kinsoku w:val="0"/>
        <w:wordWrap/>
        <w:overflowPunct/>
        <w:topLinePunct w:val="0"/>
        <w:autoSpaceDE w:val="0"/>
        <w:autoSpaceDN w:val="0"/>
        <w:bidi w:val="0"/>
        <w:adjustRightInd w:val="0"/>
        <w:snapToGrid w:val="0"/>
        <w:spacing w:line="360" w:lineRule="auto"/>
        <w:ind w:firstLine="420" w:firstLineChars="2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1．合同经双方法定代表人（单位负责人）或授权委托代理人签名并加盖单位公章后生效。</w:t>
      </w:r>
    </w:p>
    <w:p w14:paraId="56844A56">
      <w:pPr>
        <w:keepNext/>
        <w:keepLines w:val="0"/>
        <w:pageBreakBefore w:val="0"/>
        <w:widowControl w:val="0"/>
        <w:kinsoku w:val="0"/>
        <w:wordWrap/>
        <w:overflowPunct/>
        <w:topLinePunct w:val="0"/>
        <w:autoSpaceDE w:val="0"/>
        <w:autoSpaceDN w:val="0"/>
        <w:bidi w:val="0"/>
        <w:adjustRightInd w:val="0"/>
        <w:snapToGrid w:val="0"/>
        <w:spacing w:line="360" w:lineRule="auto"/>
        <w:ind w:firstLine="420" w:firstLineChars="2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2406D0E">
      <w:pPr>
        <w:keepNext/>
        <w:keepLines w:val="0"/>
        <w:pageBreakBefore w:val="0"/>
        <w:widowControl w:val="0"/>
        <w:kinsoku w:val="0"/>
        <w:wordWrap/>
        <w:overflowPunct/>
        <w:topLinePunct w:val="0"/>
        <w:autoSpaceDE w:val="0"/>
        <w:autoSpaceDN w:val="0"/>
        <w:bidi w:val="0"/>
        <w:adjustRightInd w:val="0"/>
        <w:snapToGrid w:val="0"/>
        <w:spacing w:line="360" w:lineRule="auto"/>
        <w:ind w:firstLine="420" w:firstLineChars="2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3．本合同一式份，自双方签章之日起起效。甲方份乙方份，具有同等法律效力。</w:t>
      </w:r>
    </w:p>
    <w:p w14:paraId="42CD6FE7">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十二</w:t>
      </w:r>
      <w:r>
        <w:rPr>
          <w:rFonts w:hint="eastAsia" w:ascii="宋体" w:hAnsi="宋体" w:eastAsia="宋体" w:cs="宋体"/>
          <w:sz w:val="21"/>
          <w:szCs w:val="21"/>
          <w:highlight w:val="none"/>
          <w:lang w:val="en-US" w:eastAsia="zh-CN"/>
        </w:rPr>
        <w:t>、附件</w:t>
      </w:r>
    </w:p>
    <w:p w14:paraId="2302B924">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1．项目招标文件</w:t>
      </w:r>
    </w:p>
    <w:p w14:paraId="3D659807">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2．项目修改澄清文件</w:t>
      </w:r>
      <w:bookmarkStart w:id="3" w:name="_GoBack"/>
      <w:bookmarkEnd w:id="3"/>
    </w:p>
    <w:p w14:paraId="2BDF2664">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3．项目投标文件</w:t>
      </w:r>
    </w:p>
    <w:p w14:paraId="149DBFFD">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4．成交通知书</w:t>
      </w:r>
    </w:p>
    <w:p w14:paraId="5AC475FC">
      <w:pPr>
        <w:keepNext/>
        <w:keepLines w:val="0"/>
        <w:pageBreakBefore w:val="0"/>
        <w:widowControl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5．其他</w:t>
      </w:r>
    </w:p>
    <w:tbl>
      <w:tblPr>
        <w:tblStyle w:val="6"/>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2487"/>
        <w:gridCol w:w="2013"/>
        <w:gridCol w:w="2421"/>
      </w:tblGrid>
      <w:tr w14:paraId="0FA3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63C6F4F0">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甲方</w:t>
            </w:r>
          </w:p>
          <w:p w14:paraId="584CE696">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（盖章）：</w:t>
            </w:r>
          </w:p>
        </w:tc>
        <w:tc>
          <w:tcPr>
            <w:tcW w:w="2487" w:type="dxa"/>
            <w:noWrap w:val="0"/>
            <w:vAlign w:val="center"/>
          </w:tcPr>
          <w:p w14:paraId="712FB5DD">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53C414B6">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乙方</w:t>
            </w:r>
          </w:p>
          <w:p w14:paraId="121DDDFA">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（盖章）：</w:t>
            </w:r>
          </w:p>
        </w:tc>
        <w:tc>
          <w:tcPr>
            <w:tcW w:w="2421" w:type="dxa"/>
            <w:noWrap w:val="0"/>
            <w:vAlign w:val="center"/>
          </w:tcPr>
          <w:p w14:paraId="023494B5">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0963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22FA0B77">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78CE316B">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w:t>
            </w:r>
          </w:p>
        </w:tc>
        <w:tc>
          <w:tcPr>
            <w:tcW w:w="2487" w:type="dxa"/>
            <w:noWrap w:val="0"/>
            <w:vAlign w:val="center"/>
          </w:tcPr>
          <w:p w14:paraId="4E36A67C">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04727875">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506BBB58">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w:t>
            </w:r>
          </w:p>
        </w:tc>
        <w:tc>
          <w:tcPr>
            <w:tcW w:w="2421" w:type="dxa"/>
            <w:noWrap w:val="0"/>
            <w:vAlign w:val="center"/>
          </w:tcPr>
          <w:p w14:paraId="0DD67D0E">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7C2B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062F131B">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2487" w:type="dxa"/>
            <w:noWrap w:val="0"/>
            <w:vAlign w:val="center"/>
          </w:tcPr>
          <w:p w14:paraId="53388195">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723478E9">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2421" w:type="dxa"/>
            <w:noWrap w:val="0"/>
            <w:vAlign w:val="center"/>
          </w:tcPr>
          <w:p w14:paraId="3E316B40">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20D9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6DDBF96E">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社会信用代码：</w:t>
            </w:r>
          </w:p>
        </w:tc>
        <w:tc>
          <w:tcPr>
            <w:tcW w:w="2487" w:type="dxa"/>
            <w:noWrap w:val="0"/>
            <w:vAlign w:val="center"/>
          </w:tcPr>
          <w:p w14:paraId="0A1F72F5">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54EDF910">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社会信用代码：</w:t>
            </w:r>
          </w:p>
        </w:tc>
        <w:tc>
          <w:tcPr>
            <w:tcW w:w="2421" w:type="dxa"/>
            <w:noWrap w:val="0"/>
            <w:vAlign w:val="center"/>
          </w:tcPr>
          <w:p w14:paraId="589A3BC7">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7995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6B415DEA">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487" w:type="dxa"/>
            <w:noWrap w:val="0"/>
            <w:vAlign w:val="center"/>
          </w:tcPr>
          <w:p w14:paraId="35D7C221">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5A2DB425">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421" w:type="dxa"/>
            <w:noWrap w:val="0"/>
            <w:vAlign w:val="center"/>
          </w:tcPr>
          <w:p w14:paraId="677A5443">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4FE9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54851DDC">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487" w:type="dxa"/>
            <w:noWrap w:val="0"/>
            <w:vAlign w:val="center"/>
          </w:tcPr>
          <w:p w14:paraId="45F65B98">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5BBDE578">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421" w:type="dxa"/>
            <w:noWrap w:val="0"/>
            <w:vAlign w:val="center"/>
          </w:tcPr>
          <w:p w14:paraId="0D04B5D6">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4D5D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7479113B">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2487" w:type="dxa"/>
            <w:noWrap w:val="0"/>
            <w:vAlign w:val="center"/>
          </w:tcPr>
          <w:p w14:paraId="643BFDC1">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15A100C8">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2421" w:type="dxa"/>
            <w:noWrap w:val="0"/>
            <w:vAlign w:val="center"/>
          </w:tcPr>
          <w:p w14:paraId="17A69B3D">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4F4A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1495E9DB">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邮箱</w:t>
            </w:r>
            <w:r>
              <w:rPr>
                <w:rFonts w:hint="eastAsia" w:ascii="宋体" w:hAnsi="宋体" w:eastAsia="宋体" w:cs="宋体"/>
                <w:sz w:val="21"/>
                <w:szCs w:val="21"/>
                <w:highlight w:val="none"/>
              </w:rPr>
              <w:t>：</w:t>
            </w:r>
          </w:p>
        </w:tc>
        <w:tc>
          <w:tcPr>
            <w:tcW w:w="2487" w:type="dxa"/>
            <w:noWrap w:val="0"/>
            <w:vAlign w:val="center"/>
          </w:tcPr>
          <w:p w14:paraId="5D9B612F">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c>
          <w:tcPr>
            <w:tcW w:w="2013" w:type="dxa"/>
            <w:noWrap w:val="0"/>
            <w:vAlign w:val="center"/>
          </w:tcPr>
          <w:p w14:paraId="12297383">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邮箱</w:t>
            </w:r>
            <w:r>
              <w:rPr>
                <w:rFonts w:hint="eastAsia" w:ascii="宋体" w:hAnsi="宋体" w:eastAsia="宋体" w:cs="宋体"/>
                <w:sz w:val="21"/>
                <w:szCs w:val="21"/>
                <w:highlight w:val="none"/>
              </w:rPr>
              <w:t>：</w:t>
            </w:r>
          </w:p>
        </w:tc>
        <w:tc>
          <w:tcPr>
            <w:tcW w:w="2421" w:type="dxa"/>
            <w:noWrap w:val="0"/>
            <w:vAlign w:val="center"/>
          </w:tcPr>
          <w:p w14:paraId="53532A97">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p>
        </w:tc>
      </w:tr>
      <w:tr w14:paraId="1634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7" w:type="dxa"/>
            <w:noWrap w:val="0"/>
            <w:vAlign w:val="center"/>
          </w:tcPr>
          <w:p w14:paraId="73DA431F">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487" w:type="dxa"/>
            <w:noWrap w:val="0"/>
            <w:vAlign w:val="center"/>
          </w:tcPr>
          <w:p w14:paraId="06F62E77">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c>
          <w:tcPr>
            <w:tcW w:w="2013" w:type="dxa"/>
            <w:noWrap w:val="0"/>
            <w:vAlign w:val="center"/>
          </w:tcPr>
          <w:p w14:paraId="75F20A1B">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421" w:type="dxa"/>
            <w:noWrap w:val="0"/>
            <w:vAlign w:val="center"/>
          </w:tcPr>
          <w:p w14:paraId="09825658">
            <w:pPr>
              <w:keepNext/>
              <w:keepLines w:val="0"/>
              <w:pageBreakBefore w:val="0"/>
              <w:widowControl w:val="0"/>
              <w:wordWrap/>
              <w:overflowPunct/>
              <w:topLinePunct w:val="0"/>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r>
    </w:tbl>
    <w:p w14:paraId="5E01D825">
      <w:pPr>
        <w:keepNext/>
        <w:keepLines w:val="0"/>
        <w:pageBreakBefore w:val="0"/>
        <w:widowControl w:val="0"/>
        <w:wordWrap/>
        <w:overflowPunct/>
        <w:topLinePunct w:val="0"/>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4AA85B"/>
    <w:multiLevelType w:val="singleLevel"/>
    <w:tmpl w:val="EE4AA85B"/>
    <w:lvl w:ilvl="0" w:tentative="0">
      <w:start w:val="1"/>
      <w:numFmt w:val="decimalEnclosedCircleChinese"/>
      <w:suff w:val="nothing"/>
      <w:lvlText w:val="%1　"/>
      <w:lvlJc w:val="left"/>
      <w:pPr>
        <w:ind w:left="0" w:firstLine="400"/>
      </w:pPr>
      <w:rPr>
        <w:rFonts w:hint="eastAsia"/>
      </w:rPr>
    </w:lvl>
  </w:abstractNum>
  <w:abstractNum w:abstractNumId="1">
    <w:nsid w:val="19577067"/>
    <w:multiLevelType w:val="singleLevel"/>
    <w:tmpl w:val="19577067"/>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A1105"/>
    <w:rsid w:val="02F05C02"/>
    <w:rsid w:val="05EC52C3"/>
    <w:rsid w:val="0A4F320E"/>
    <w:rsid w:val="0CA43CE5"/>
    <w:rsid w:val="111E393A"/>
    <w:rsid w:val="1ADC5906"/>
    <w:rsid w:val="1FFF4898"/>
    <w:rsid w:val="21837F15"/>
    <w:rsid w:val="285919D0"/>
    <w:rsid w:val="2A5D3E66"/>
    <w:rsid w:val="2B3D7387"/>
    <w:rsid w:val="2CFC5020"/>
    <w:rsid w:val="357A11D7"/>
    <w:rsid w:val="3A4A0D3B"/>
    <w:rsid w:val="419949FC"/>
    <w:rsid w:val="43BF2BD7"/>
    <w:rsid w:val="43C95804"/>
    <w:rsid w:val="4FB11D0A"/>
    <w:rsid w:val="53E977FC"/>
    <w:rsid w:val="5B303F63"/>
    <w:rsid w:val="5D1F428F"/>
    <w:rsid w:val="5FC5111D"/>
    <w:rsid w:val="6A7F45BF"/>
    <w:rsid w:val="6C65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Times New Roman" w:hAnsi="Times New Roman" w:eastAsia="宋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Indent"/>
    <w:basedOn w:val="1"/>
    <w:qFormat/>
    <w:uiPriority w:val="0"/>
    <w:pPr>
      <w:ind w:firstLine="552"/>
    </w:pPr>
    <w:rPr>
      <w:rFonts w:ascii="宋体"/>
      <w:sz w:val="2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3197</Words>
  <Characters>3248</Characters>
  <Lines>0</Lines>
  <Paragraphs>0</Paragraphs>
  <TotalTime>23</TotalTime>
  <ScaleCrop>false</ScaleCrop>
  <LinksUpToDate>false</LinksUpToDate>
  <CharactersWithSpaces>3261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2025-07-23T07:47:00Z</dcterms:created>
  <dc:creator>X</dc:creator>
  <cp:lastModifiedBy>Mr.Xu</cp:lastModifiedBy>
  <dcterms:modified xsi:type="dcterms:W3CDTF">2026-07-12T10:34:11Z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3DE81699B9AF4736B91837CD152A6BCA_12</vt:lpwstr>
  </property>
</Properties>
</file>