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版本号：LS-2026-081320260814001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商洛市太极拳馆改造修缮项目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LS-2026-0813</w:t>
      </w:r>
      <w:r>
        <w:br/>
      </w:r>
      <w:r>
        <w:br/>
      </w:r>
      <w:r>
        <w:br/>
      </w:r>
    </w:p>
    <w:p>
      <w:pPr>
        <w:pStyle w:val="null3"/>
        <w:jc w:val="center"/>
        <w:outlineLvl w:val="2"/>
      </w:pPr>
      <w:r>
        <w:rPr>
          <w:rFonts w:ascii="仿宋_GB2312" w:hAnsi="仿宋_GB2312" w:cs="仿宋_GB2312" w:eastAsia="仿宋_GB2312"/>
          <w:sz w:val="28"/>
          <w:b/>
        </w:rPr>
        <w:t>商洛市体育运动中心</w:t>
      </w:r>
    </w:p>
    <w:p>
      <w:pPr>
        <w:pStyle w:val="null3"/>
        <w:jc w:val="center"/>
        <w:outlineLvl w:val="2"/>
      </w:pPr>
      <w:r>
        <w:rPr>
          <w:rFonts w:ascii="仿宋_GB2312" w:hAnsi="仿宋_GB2312" w:cs="仿宋_GB2312" w:eastAsia="仿宋_GB2312"/>
          <w:sz w:val="28"/>
          <w:b/>
        </w:rPr>
        <w:t>陕西洛砷项目管理有限公司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陕西洛砷项目管理有限公司</w:t>
      </w:r>
      <w:r>
        <w:rPr>
          <w:rFonts w:ascii="仿宋_GB2312" w:hAnsi="仿宋_GB2312" w:cs="仿宋_GB2312" w:eastAsia="仿宋_GB2312"/>
        </w:rPr>
        <w:t>（以下简称“代理机构”）受</w:t>
      </w:r>
      <w:r>
        <w:rPr>
          <w:rFonts w:ascii="仿宋_GB2312" w:hAnsi="仿宋_GB2312" w:cs="仿宋_GB2312" w:eastAsia="仿宋_GB2312"/>
        </w:rPr>
        <w:t>商洛市体育运动中心</w:t>
      </w:r>
      <w:r>
        <w:rPr>
          <w:rFonts w:ascii="仿宋_GB2312" w:hAnsi="仿宋_GB2312" w:cs="仿宋_GB2312" w:eastAsia="仿宋_GB2312"/>
        </w:rPr>
        <w:t>委托，拟对</w:t>
      </w:r>
      <w:r>
        <w:rPr>
          <w:rFonts w:ascii="仿宋_GB2312" w:hAnsi="仿宋_GB2312" w:cs="仿宋_GB2312" w:eastAsia="仿宋_GB2312"/>
        </w:rPr>
        <w:t>商洛市太极拳馆改造修缮项目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LS-2026-0813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商洛市太极拳馆改造修缮项目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建设内容分为两部分。建筑改造:拆除原有屋面面层和保温层;屋面刚性层铺装;铲除原外墙涂料，重新喷涂外墙真石漆;平面块料拆除及重新铺装。装饰工程:拆除原有室内地板、墙面、顶面等装饰层，重新做室内地板、墙板、吊顶、室内乳胶漆加装成品装饰线条及金属踢脚线等。采购安装一块LED显示屏及一台100寸移动电视。详见工程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采购包1（合同一包）：属于专门面向中小企业采购。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1、有效的主体资格证明：具有独立承担民事责任的法人资格，提供有效的营业执照。供应商需在项目电子化交易系统中按要求上传相应证明文件并进行电子签章。</w:t>
      </w:r>
    </w:p>
    <w:p>
      <w:pPr>
        <w:pStyle w:val="null3"/>
      </w:pPr>
      <w:r>
        <w:rPr>
          <w:rFonts w:ascii="仿宋_GB2312" w:hAnsi="仿宋_GB2312" w:cs="仿宋_GB2312" w:eastAsia="仿宋_GB2312"/>
        </w:rPr>
        <w:t>2、资质要求：供应商须具备建设行政主管部门核发的建筑工程施工总承包乙级及以上资质或建筑装修装饰工程专业承包二级及以上资质，具备有效的安全生产许可证。供应商需在项目电子化交易系统中按要求上传相应证明文件并进行电子签章。</w:t>
      </w:r>
    </w:p>
    <w:p>
      <w:pPr>
        <w:pStyle w:val="null3"/>
      </w:pPr>
      <w:r>
        <w:rPr>
          <w:rFonts w:ascii="仿宋_GB2312" w:hAnsi="仿宋_GB2312" w:cs="仿宋_GB2312" w:eastAsia="仿宋_GB2312"/>
        </w:rPr>
        <w:t>3、拟派项目经理：具备建筑工程专业二级及以上注册建造师证书、有效的安全生产考核合格证书（B证），无在建项目、无在建承诺，提供近3个月社保缴纳证明。供应商需在项目电子化交易系统中按要求上传相应证明文件并进行电子签章。</w:t>
      </w:r>
    </w:p>
    <w:p>
      <w:pPr>
        <w:pStyle w:val="null3"/>
      </w:pPr>
      <w:r>
        <w:rPr>
          <w:rFonts w:ascii="仿宋_GB2312" w:hAnsi="仿宋_GB2312" w:cs="仿宋_GB2312" w:eastAsia="仿宋_GB2312"/>
        </w:rPr>
        <w:t>4、财务状况审查：提供2025年度财务审计报告或磋商截止日前3个月内银行资信证明；成立不足一年企业提供银行资信证明即可。供应商需在项目电子化交易系统中按要求上传相应证明文件并进行电子签章。</w:t>
      </w:r>
    </w:p>
    <w:p>
      <w:pPr>
        <w:pStyle w:val="null3"/>
      </w:pPr>
      <w:r>
        <w:rPr>
          <w:rFonts w:ascii="仿宋_GB2312" w:hAnsi="仿宋_GB2312" w:cs="仿宋_GB2312" w:eastAsia="仿宋_GB2312"/>
        </w:rPr>
        <w:t>5、社保缴纳审查：提供递交响应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6、税收缴纳审查：提供递交响应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7、法定代表人授权委托书审查：法定代表人直接参加投标的，须出具法定代表人身份证（原件）及法定代表人身份证明，法定代表人授权代表参加投标的，须出具法定代表人授权书及授权代表身份证（原件）。供应商需在项目电子化交易系统中按要求上传相应证明文件并进行电子签章。</w:t>
      </w:r>
    </w:p>
    <w:p>
      <w:pPr>
        <w:pStyle w:val="null3"/>
      </w:pPr>
      <w:r>
        <w:rPr>
          <w:rFonts w:ascii="仿宋_GB2312" w:hAnsi="仿宋_GB2312" w:cs="仿宋_GB2312" w:eastAsia="仿宋_GB2312"/>
        </w:rPr>
        <w:t>8、无重大违法记录：供应商参加政府采购活动前3年内在经营活动中没有重大违法记录的书面声明。供应商需在项目电子化交易系统中按要求上传相应证明文件并进行电子签章。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9、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需在项目电子化交易系统中按要求上传相应证明文件并进行电子签章。</w:t>
      </w:r>
    </w:p>
    <w:p>
      <w:pPr>
        <w:pStyle w:val="null3"/>
      </w:pPr>
      <w:r>
        <w:rPr>
          <w:rFonts w:ascii="仿宋_GB2312" w:hAnsi="仿宋_GB2312" w:cs="仿宋_GB2312" w:eastAsia="仿宋_GB2312"/>
        </w:rPr>
        <w:t>10、其他承诺响应：具有履行合同所必需的设备和专业技术能力的承诺书。供应商需在项目电子化交易系统中按要求上传相应证明文件并进行电子签章。</w:t>
      </w:r>
    </w:p>
    <w:p>
      <w:pPr>
        <w:pStyle w:val="null3"/>
      </w:pPr>
      <w:r>
        <w:rPr>
          <w:rFonts w:ascii="仿宋_GB2312" w:hAnsi="仿宋_GB2312" w:cs="仿宋_GB2312" w:eastAsia="仿宋_GB2312"/>
        </w:rPr>
        <w:t>11、控股管理关系：单位负责人为同一人或者存在直接控股、管理关系的供应商，不得参加同一合同下的政府采购活动的承诺书。供应商需在项目电子化交易系统中按要求上传相应证明文件并进行电子签章。</w:t>
      </w:r>
    </w:p>
    <w:p>
      <w:pPr>
        <w:pStyle w:val="null3"/>
      </w:pPr>
      <w:r>
        <w:rPr>
          <w:rFonts w:ascii="仿宋_GB2312" w:hAnsi="仿宋_GB2312" w:cs="仿宋_GB2312" w:eastAsia="仿宋_GB2312"/>
        </w:rPr>
        <w:t>12、联合体：本项目不接受联合体投标的承诺书。供应商需在项目电子化交易系统中按要求上传相应证明文件并进行电子签章。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商洛市体育运动中心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商洛市商州区丹南新区体育北路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商洛市体育运动中心经办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13909143340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陕西洛砷项目管理有限公司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陕西省商洛市商州区民主路全兴紫苑2号商铺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0914-2992666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采购包1：1,307,505.68元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代理服务费收费标准：参考（计价格[2002]1980号）和国家发展改革委（发改价格[2011]534号）文件规定标准计取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商洛市体育运动中心</w:t>
      </w:r>
      <w:r>
        <w:rPr>
          <w:rFonts w:ascii="仿宋_GB2312" w:hAnsi="仿宋_GB2312" w:cs="仿宋_GB2312" w:eastAsia="仿宋_GB2312"/>
        </w:rPr>
        <w:t>和</w:t>
      </w:r>
      <w:r>
        <w:rPr>
          <w:rFonts w:ascii="仿宋_GB2312" w:hAnsi="仿宋_GB2312" w:cs="仿宋_GB2312" w:eastAsia="仿宋_GB2312"/>
        </w:rPr>
        <w:t>陕西洛砷项目管理有限公司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商洛市体育运动中心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陕西洛砷项目管理有限公司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商洛市体育运动中心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陕西洛砷项目管理有限公司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陕西洛砷项目管理有限公司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陕西洛砷项目管理有限公司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陕西洛砷项目管理有限公司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联系人：李静文</w:t>
      </w:r>
    </w:p>
    <w:p>
      <w:pPr>
        <w:pStyle w:val="null3"/>
      </w:pPr>
      <w:r>
        <w:rPr>
          <w:rFonts w:ascii="仿宋_GB2312" w:hAnsi="仿宋_GB2312" w:cs="仿宋_GB2312" w:eastAsia="仿宋_GB2312"/>
        </w:rPr>
        <w:t>联系电话：0914-2335234</w:t>
      </w:r>
    </w:p>
    <w:p>
      <w:pPr>
        <w:pStyle w:val="null3"/>
      </w:pPr>
      <w:r>
        <w:rPr>
          <w:rFonts w:ascii="仿宋_GB2312" w:hAnsi="仿宋_GB2312" w:cs="仿宋_GB2312" w:eastAsia="仿宋_GB2312"/>
        </w:rPr>
        <w:t>地址：商洛市商州区丹南新区体育北路</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联系人：赵荣</w:t>
      </w:r>
    </w:p>
    <w:p>
      <w:pPr>
        <w:pStyle w:val="null3"/>
      </w:pPr>
      <w:r>
        <w:rPr>
          <w:rFonts w:ascii="仿宋_GB2312" w:hAnsi="仿宋_GB2312" w:cs="仿宋_GB2312" w:eastAsia="仿宋_GB2312"/>
        </w:rPr>
        <w:t>联系电话：0914-2992666</w:t>
      </w:r>
    </w:p>
    <w:p>
      <w:pPr>
        <w:pStyle w:val="null3"/>
      </w:pPr>
      <w:r>
        <w:rPr>
          <w:rFonts w:ascii="仿宋_GB2312" w:hAnsi="仿宋_GB2312" w:cs="仿宋_GB2312" w:eastAsia="仿宋_GB2312"/>
        </w:rPr>
        <w:t>地址：商洛市商州区民主路全兴紫苑2号商铺</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1,307,505.68</w:t>
      </w:r>
    </w:p>
    <w:p>
      <w:pPr>
        <w:pStyle w:val="null3"/>
      </w:pPr>
      <w:r>
        <w:rPr>
          <w:rFonts w:ascii="仿宋_GB2312" w:hAnsi="仿宋_GB2312" w:cs="仿宋_GB2312" w:eastAsia="仿宋_GB2312"/>
        </w:rPr>
        <w:t>采购包最高限价（元）: 1,307,505.68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商洛市太极拳馆改造修缮项目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1,307,505.68</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标的名称：商洛市太极拳馆改造修缮项目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主要建设内容分为两部分。建筑改造:拆除原有屋面面层和保温层;屋面刚性层铺装;铲除原外墙涂料，重新喷涂外墙真石漆;平面块料拆除及重新铺装。装饰工程:拆除原有室内地板、墙面、顶面等装饰层，重新做室内地板、墙板、吊顶、室内乳胶漆加装成品装饰线条及金属踢脚线等。采购安装一块LED显示屏及一台100寸移动电视。详见工程清单。2.服务要求:1.施工全程服从现场管理，规范文明施工，做好成品保护，及时清理建筑垃圾，保障施工安全。2.所有材料、设备须符合清单要求，设备安装调试到位，正常运行。3.严格按工程清单、施工规范及图纸施工，屋面防水、外墙饰面、室内装修质量达标。4.完工后提供完整竣工资料，按规范组织竣工验收，验收合格方可交付。5.提供质保服务，一年内出现质量问题及时免费维修整改，确保场馆正常使用。验收要求:资料齐全合格，现场观感、功能全部达标验收标准，施工工艺应符合国家及行业相关施工验收规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施工工艺应符合国家及行业相关施工验收规范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施工全程服从现场管理，规范文明施工，做好成品保护，及时清理建筑垃圾，保障施工安全。2.所有材料、设备须符合清单要求，设备安装调试到位，正常运行。3.严格按工程清单、施工规范及图纸施工，屋面防水、外墙饰面、室内装修质量达标。4.完工后提供完整竣工资料，按规范组织竣工验收，验收合格方可交付。5.提供质保服务，一年内出现质量问题及时免费维修整改，确保场馆正常使用</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具有独立承担民事责任的法人资格，提供有效的营业执照。供应商需在项目电子化交易系统中按要求上传相应证明文件并进行电子签章。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核发的建筑工程施工总承包乙级及以上资质或建筑装修装饰工程专业承包二级及以上资质，具备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具备建筑工程专业二级及以上注册建造师证书、有效的安全生产考核合格证书（B证），无在建项目、无在建承诺，提供近3个月社保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财务状况审查</w:t>
            </w:r>
          </w:p>
        </w:tc>
        <w:tc>
          <w:tcPr>
            <w:tcW w:type="dxa" w:w="3322"/>
          </w:tcPr>
          <w:p>
            <w:pPr>
              <w:pStyle w:val="null3"/>
            </w:pPr>
            <w:r>
              <w:rPr>
                <w:rFonts w:ascii="仿宋_GB2312" w:hAnsi="仿宋_GB2312" w:cs="仿宋_GB2312" w:eastAsia="仿宋_GB2312"/>
              </w:rPr>
              <w:t>提供2025年度财务审计报告或磋商截止日前3个月内银行资信证明；成立不足一年企业提供银行资信证明即可。供应商需在项目电子化交易系统中按要求上传相应证明文件并进行电子签章。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社保缴纳审查</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税收缴纳审查</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法定代表人授权委托书审查</w:t>
            </w:r>
          </w:p>
        </w:tc>
        <w:tc>
          <w:tcPr>
            <w:tcW w:type="dxa" w:w="3322"/>
          </w:tcPr>
          <w:p>
            <w:pPr>
              <w:pStyle w:val="null3"/>
            </w:pPr>
            <w:r>
              <w:rPr>
                <w:rFonts w:ascii="仿宋_GB2312" w:hAnsi="仿宋_GB2312" w:cs="仿宋_GB2312" w:eastAsia="仿宋_GB2312"/>
              </w:rPr>
              <w:t>法定代表人直接参加投标的，须出具法定代表人身份证（原件）及法定代表人身份证明，法定代表人授权代表参加投标的，须出具法定代表人授权书及授权代表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具有履行合同所必需的设备和专业技术能力的承诺书。供应商需在项目电子化交易系统中按要求上传相应证明文件并进行电子签章。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单位负责人为同一人或者存在直接控股、管理关系的供应商，不得参加同一合同下的政府采购活动的承诺书。供应商需在项目电子化交易系统中按要求上传相应证明文件并进行电子签章。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本项目不接受联合体投标的承诺书。供应商需在项目电子化交易系统中按要求上传相应证明文件并进行电子签章。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1.报价未超过采购预算，且报价唯一。2.报价货币符合招标文件要求。</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不少于磋商有效期(90天)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按照磋商文件格式要求签署盖章。</w:t>
            </w:r>
          </w:p>
        </w:tc>
        <w:tc>
          <w:tcPr>
            <w:tcW w:type="dxa" w:w="1661"/>
          </w:tcPr>
          <w:p>
            <w:pPr>
              <w:pStyle w:val="null3"/>
            </w:pPr>
            <w:r>
              <w:rPr>
                <w:rFonts w:ascii="仿宋_GB2312" w:hAnsi="仿宋_GB2312" w:cs="仿宋_GB2312" w:eastAsia="仿宋_GB2312"/>
              </w:rPr>
              <w:t>已标价工程量清单 中小企业声明函 供应商应提交的相关资格证明材料 方案.docx 技术服务合同条款及其他商务要求应答表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总体施工方案及重难点分析</w:t>
            </w:r>
          </w:p>
        </w:tc>
        <w:tc>
          <w:tcPr>
            <w:tcW w:type="dxa" w:w="2492"/>
          </w:tcPr>
          <w:p>
            <w:pPr>
              <w:pStyle w:val="null3"/>
            </w:pPr>
            <w:r>
              <w:rPr>
                <w:rFonts w:ascii="仿宋_GB2312" w:hAnsi="仿宋_GB2312" w:cs="仿宋_GB2312" w:eastAsia="仿宋_GB2312"/>
              </w:rPr>
              <w:t>需要覆盖：屋面工程、外墙真石漆、室内装饰拆除重做、LED显示屏及100寸移动电视安装 1、包含5项核心施工工艺：屋面旧面层及保温层拆除、屋面刚性层铺装；外墙铲除+真石漆喷涂；室内墙地顶旧装饰拆除；室内墙板、吊顶、乳胶漆、装饰线条、金属踢脚线施工；LED显示屏、100寸移动电视采购安装。共8分，缺1项扣2分，扣完为止。 2、针对本项目重难点4项专项措施：屋面防水防渗漏处理；外墙基层处理、真石漆防开裂；原有建筑拆除对原有结构保护；电子设备安装固定、供电安全防护。共6分，缺1项扣1.5分，扣完为止。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施工进度计划及工期保障措施</w:t>
            </w:r>
          </w:p>
        </w:tc>
        <w:tc>
          <w:tcPr>
            <w:tcW w:type="dxa" w:w="2492"/>
          </w:tcPr>
          <w:p>
            <w:pPr>
              <w:pStyle w:val="null3"/>
            </w:pPr>
            <w:r>
              <w:rPr>
                <w:rFonts w:ascii="仿宋_GB2312" w:hAnsi="仿宋_GB2312" w:cs="仿宋_GB2312" w:eastAsia="仿宋_GB2312"/>
              </w:rPr>
              <w:t>1、提供横道图/进度计划表，合理划分：屋面施工、外墙施工、室内拆除装饰、电子设备安装、竣工验收各阶段节点，得4分；无图表0分。 2、明确开工、分段施工、竣工时间节点，得3分。 3、提供雨天屋面外墙施工预案、多工序交叉作业安排、工期滞后补救措施，得3分。 缺对应项不得该分项分数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1、材料进场验收（屋面保温防水材料、真石漆、室内装饰板材、LED显示屏、移动电视设备进场检验） 2、屋面、外墙隐蔽工程报验制度 3、工序三检制度：自检、互检、交接检 4、成品保护（外墙漆面、室内装饰面层、电子设备成品保护） 5、竣工验收及问题整改闭环措施 每项2分，缺项不得对应分值。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安全文明施工、扬尘、垃圾清运措施</w:t>
            </w:r>
          </w:p>
        </w:tc>
        <w:tc>
          <w:tcPr>
            <w:tcW w:type="dxa" w:w="2492"/>
          </w:tcPr>
          <w:p>
            <w:pPr>
              <w:pStyle w:val="null3"/>
            </w:pPr>
            <w:r>
              <w:rPr>
                <w:rFonts w:ascii="仿宋_GB2312" w:hAnsi="仿宋_GB2312" w:cs="仿宋_GB2312" w:eastAsia="仿宋_GB2312"/>
              </w:rPr>
              <w:t>1、屋面、外墙高处作业安全防护措施 2、施工临时用电，电子设备安装用电安全措施 3、降噪、防尘、外墙施工防污染文明施工措施 4、建筑垃圾（屋面拆除废料、室内装修垃圾）日产日清、外运处置方案 每项2分，缺项不得对应分值。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售后服务及缺陷责任期维修方案</w:t>
            </w:r>
          </w:p>
        </w:tc>
        <w:tc>
          <w:tcPr>
            <w:tcW w:type="dxa" w:w="2492"/>
          </w:tcPr>
          <w:p>
            <w:pPr>
              <w:pStyle w:val="null3"/>
            </w:pPr>
            <w:r>
              <w:rPr>
                <w:rFonts w:ascii="仿宋_GB2312" w:hAnsi="仿宋_GB2312" w:cs="仿宋_GB2312" w:eastAsia="仿宋_GB2312"/>
              </w:rPr>
              <w:t>1、24小时报修响应制度（包含建筑修缮及LED显示屏、移动电视设备故障报修） 2、建筑修缮、电子设备故障现场维修处置流程 3、质保期定期巡检计划（建筑部分+电子设备） 4、维修回访及问题闭环机制 每项2分，缺项不得对应分值。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项目管理机构人员配置</w:t>
            </w:r>
          </w:p>
        </w:tc>
        <w:tc>
          <w:tcPr>
            <w:tcW w:type="dxa" w:w="2492"/>
          </w:tcPr>
          <w:p>
            <w:pPr>
              <w:pStyle w:val="null3"/>
            </w:pPr>
            <w:r>
              <w:rPr>
                <w:rFonts w:ascii="仿宋_GB2312" w:hAnsi="仿宋_GB2312" w:cs="仿宋_GB2312" w:eastAsia="仿宋_GB2312"/>
              </w:rPr>
              <w:t>1、项目经理（二级及以上建筑建造师+B证+无在建承诺）：3分，缺任一资料本项0分；项目经理本人担任项目经理完成的房屋修缮、室内外改造、场馆装修类工程业绩，每1项得1分，最多得2分。（中标通知书或业绩） 2、技术负责人具有建筑相关专业中级及以上职称证，得2，无证0分 3.、安全员、施工员、质量员、材料员、资料员岗位人员齐全：5分，缺1岗扣1分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近三年类似修缮项目业绩</w:t>
            </w:r>
          </w:p>
        </w:tc>
        <w:tc>
          <w:tcPr>
            <w:tcW w:type="dxa" w:w="2492"/>
          </w:tcPr>
          <w:p>
            <w:pPr>
              <w:pStyle w:val="null3"/>
            </w:pPr>
            <w:r>
              <w:rPr>
                <w:rFonts w:ascii="仿宋_GB2312" w:hAnsi="仿宋_GB2312" w:cs="仿宋_GB2312" w:eastAsia="仿宋_GB2312"/>
              </w:rPr>
              <w:t>2023‑07‑01至今，房屋建筑修缮改造、屋面外墙翻新、室内装饰装修改造工程业绩； 每提供1项有效业绩得2分，最多6分 ；有效证明材料：合同或中标通知书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质保期延长承诺</w:t>
            </w:r>
          </w:p>
        </w:tc>
        <w:tc>
          <w:tcPr>
            <w:tcW w:type="dxa" w:w="2492"/>
          </w:tcPr>
          <w:p>
            <w:pPr>
              <w:pStyle w:val="null3"/>
            </w:pPr>
            <w:r>
              <w:rPr>
                <w:rFonts w:ascii="仿宋_GB2312" w:hAnsi="仿宋_GB2312" w:cs="仿宋_GB2312" w:eastAsia="仿宋_GB2312"/>
              </w:rPr>
              <w:t>本项目基础质保期12个月； 承诺延长6个月（合计18个月）得1分； 承诺延长12个月（合计24个月）得2分； 不延长0分；不得低于磋商文件基础要求</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1评标基准价：通过资格、符合性审查、未超最高限价的供应商最终有效报价的最低值为评标基准价。 2报价得分=(评标基准价÷供应商最终报价)×30，保留2位小数。 3高于最高限价，响应无效。</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