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版本号：ZC-HJL2026-00820260723001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2026年校园改造提升项目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ZC-HJL2026-008</w:t>
      </w:r>
      <w:r>
        <w:br/>
      </w:r>
      <w:r>
        <w:br/>
      </w:r>
      <w:r>
        <w:br/>
      </w:r>
    </w:p>
    <w:p>
      <w:pPr>
        <w:pStyle w:val="null3"/>
        <w:jc w:val="center"/>
        <w:outlineLvl w:val="2"/>
      </w:pPr>
      <w:r>
        <w:rPr>
          <w:rFonts w:ascii="仿宋_GB2312" w:hAnsi="仿宋_GB2312" w:cs="仿宋_GB2312" w:eastAsia="仿宋_GB2312"/>
          <w:sz w:val="28"/>
          <w:b/>
        </w:rPr>
        <w:t>铜川高新实验学校</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铜川高新实验学校</w:t>
      </w:r>
      <w:r>
        <w:rPr>
          <w:rFonts w:ascii="仿宋_GB2312" w:hAnsi="仿宋_GB2312" w:cs="仿宋_GB2312" w:eastAsia="仿宋_GB2312"/>
        </w:rPr>
        <w:t>委托，拟对</w:t>
      </w:r>
      <w:r>
        <w:rPr>
          <w:rFonts w:ascii="仿宋_GB2312" w:hAnsi="仿宋_GB2312" w:cs="仿宋_GB2312" w:eastAsia="仿宋_GB2312"/>
        </w:rPr>
        <w:t>2026年校园改造提升项目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ZC-HJL2026-008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2026年校园改造提升项目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铜川高新实验学校2026年校园改造提升项目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采购包1（2026年校园改造提升项目）：属于专门面向中小企业采购。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1、具有独⽴承担⺠事责任的能⼒的相关证明：供应商为合法注册的法⼈或其他组织或⾃然⼈，提供营业执照（或事业法 ⼈证）；⾃然⼈提供 ⾝份证明</w:t>
      </w:r>
    </w:p>
    <w:p>
      <w:pPr>
        <w:pStyle w:val="null3"/>
      </w:pPr>
      <w:r>
        <w:rPr>
          <w:rFonts w:ascii="仿宋_GB2312" w:hAnsi="仿宋_GB2312" w:cs="仿宋_GB2312" w:eastAsia="仿宋_GB2312"/>
        </w:rPr>
        <w:t>2、授权合法的⼈参加采购：法定代表⼈授权书及被授权⼈⾝份证（法定代表⼈直接参与，只须提交其⾝份证明）</w:t>
      </w:r>
    </w:p>
    <w:p>
      <w:pPr>
        <w:pStyle w:val="null3"/>
      </w:pPr>
      <w:r>
        <w:rPr>
          <w:rFonts w:ascii="仿宋_GB2312" w:hAnsi="仿宋_GB2312" w:cs="仿宋_GB2312" w:eastAsia="仿宋_GB2312"/>
        </w:rPr>
        <w:t>3、企业资质：供应商须具备建设⾏政主管部⻔颁发的建筑⼯程施⼯总承包⼆级及以上资质，同时具有有效的安 全⽣产许可证</w:t>
      </w:r>
    </w:p>
    <w:p>
      <w:pPr>
        <w:pStyle w:val="null3"/>
      </w:pPr>
      <w:r>
        <w:rPr>
          <w:rFonts w:ascii="仿宋_GB2312" w:hAnsi="仿宋_GB2312" w:cs="仿宋_GB2312" w:eastAsia="仿宋_GB2312"/>
        </w:rPr>
        <w:t>4、拟派项⽬负责⼈资质和专业要求：拟派本⼯程项⽬经理须具备建筑⼯程专业⼆级及以上注册建造师资格，同时具有合格有效的安全 ⽣产考核合格证（B证）,本单位注册且⽆在建⼯程</w:t>
      </w:r>
    </w:p>
    <w:p>
      <w:pPr>
        <w:pStyle w:val="null3"/>
      </w:pPr>
      <w:r>
        <w:rPr>
          <w:rFonts w:ascii="仿宋_GB2312" w:hAnsi="仿宋_GB2312" w:cs="仿宋_GB2312" w:eastAsia="仿宋_GB2312"/>
        </w:rPr>
        <w:t>5、财务状况：供应商提供2024-2025年度任意⼀年经会计事务所或审计机构审计的完整的财务审计报告或在 磋商截⽌时间前三个⽉内其开⼾银⾏出具的资信证明（附开⼾许可证或基本账⼾存款信息）</w:t>
      </w:r>
    </w:p>
    <w:p>
      <w:pPr>
        <w:pStyle w:val="null3"/>
      </w:pPr>
      <w:r>
        <w:rPr>
          <w:rFonts w:ascii="仿宋_GB2312" w:hAnsi="仿宋_GB2312" w:cs="仿宋_GB2312" w:eastAsia="仿宋_GB2312"/>
        </w:rPr>
        <w:t>6、税收缴纳证明：供应商提供已缴纳的2026年1⽉⾄今⾄少⼀个⽉的纳税证明或完税证明（任意税种，时间以税款 所属 ⽇期为准）证明应有税务机关或代收机关的公章或业务专⽤章）；依法免税的单位应提供 相关⽂件证明</w:t>
      </w:r>
    </w:p>
    <w:p>
      <w:pPr>
        <w:pStyle w:val="null3"/>
      </w:pPr>
      <w:r>
        <w:rPr>
          <w:rFonts w:ascii="仿宋_GB2312" w:hAnsi="仿宋_GB2312" w:cs="仿宋_GB2312" w:eastAsia="仿宋_GB2312"/>
        </w:rPr>
        <w:t>7、社会保障资⾦缴纳证明：供应商提供已缴存的2026年1⽉⾄今⾄少⼀个⽉的社会保障资⾦缴存单据或社保机构开具的 社 会保险参保缴费情况证明，依法不需要缴纳社会保障资⾦的单位应提供相关证明材料</w:t>
      </w:r>
    </w:p>
    <w:p>
      <w:pPr>
        <w:pStyle w:val="null3"/>
      </w:pPr>
      <w:r>
        <w:rPr>
          <w:rFonts w:ascii="仿宋_GB2312" w:hAnsi="仿宋_GB2312" w:cs="仿宋_GB2312" w:eastAsia="仿宋_GB2312"/>
        </w:rPr>
        <w:t>8、书⾯声明：供应商在近三年经营活动中没有重⼤违法记录的声明供应商在近三年经营活动中没有重⼤违法记录的声明</w:t>
      </w:r>
    </w:p>
    <w:p>
      <w:pPr>
        <w:pStyle w:val="null3"/>
      </w:pPr>
      <w:r>
        <w:rPr>
          <w:rFonts w:ascii="仿宋_GB2312" w:hAnsi="仿宋_GB2312" w:cs="仿宋_GB2312" w:eastAsia="仿宋_GB2312"/>
        </w:rPr>
        <w:t>9、承诺书：具备履⾏合同所必须的设备和专业技术能⼒的承诺</w:t>
      </w:r>
    </w:p>
    <w:p>
      <w:pPr>
        <w:pStyle w:val="null3"/>
      </w:pPr>
      <w:r>
        <w:rPr>
          <w:rFonts w:ascii="仿宋_GB2312" w:hAnsi="仿宋_GB2312" w:cs="仿宋_GB2312" w:eastAsia="仿宋_GB2312"/>
        </w:rPr>
        <w:t>10、相关信⽤查询：供应商不得为“信⽤中国”⽹站（www.creditchina.gov.cn）中列⼊失信被执⾏⼈和重⼤税收违法失信主体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11、供应商企业关系关联承诺书：单位负责⼈为同⼀⼈或者存在控股、管理关系的不同单位不得同时磋商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铜川高新实验学校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铜川市新区长青南路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15009198007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陕西省西安市碑林区西安市碑林区南二环东段561号，长安大街3号A座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习亚乐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19309194523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采购包1：1,145,558.00元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代理服务费收费标准：《国家发展改革委关于进一步放开建设项目专业服务价格的通知》（发改价格〔2015〕299号）代理服务费不足3000元按3000元收取。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铜川高新实验学校</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铜川高新实验学校</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铜川高新实验学校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联系人：习亚乐</w:t>
      </w:r>
    </w:p>
    <w:p>
      <w:pPr>
        <w:pStyle w:val="null3"/>
      </w:pPr>
      <w:r>
        <w:rPr>
          <w:rFonts w:ascii="仿宋_GB2312" w:hAnsi="仿宋_GB2312" w:cs="仿宋_GB2312" w:eastAsia="仿宋_GB2312"/>
        </w:rPr>
        <w:t>联系电话：19309194523</w:t>
      </w:r>
    </w:p>
    <w:p>
      <w:pPr>
        <w:pStyle w:val="null3"/>
      </w:pPr>
      <w:r>
        <w:rPr>
          <w:rFonts w:ascii="仿宋_GB2312" w:hAnsi="仿宋_GB2312" w:cs="仿宋_GB2312" w:eastAsia="仿宋_GB2312"/>
        </w:rPr>
        <w:t>地址：铜川市新区铁诺小区2号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1,145,558.00</w:t>
      </w:r>
    </w:p>
    <w:p>
      <w:pPr>
        <w:pStyle w:val="null3"/>
      </w:pPr>
      <w:r>
        <w:rPr>
          <w:rFonts w:ascii="仿宋_GB2312" w:hAnsi="仿宋_GB2312" w:cs="仿宋_GB2312" w:eastAsia="仿宋_GB2312"/>
        </w:rPr>
        <w:t>采购包最高限价（元）: 1,145,558.00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2026年校园改造提升项目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1,145,558.00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标的名称：2026年校园改造提升项目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施⼯地点：高新实验学校内</w:t>
            </w:r>
          </w:p>
          <w:p>
            <w:pPr>
              <w:pStyle w:val="null3"/>
            </w:pPr>
            <w:r>
              <w:rPr>
                <w:rFonts w:ascii="仿宋_GB2312" w:hAnsi="仿宋_GB2312" w:cs="仿宋_GB2312" w:eastAsia="仿宋_GB2312"/>
                <w:sz w:val="18"/>
                <w:color w:val="000000"/>
              </w:rPr>
              <w:t>2.</w:t>
            </w:r>
            <w:r>
              <w:rPr>
                <w:rFonts w:ascii="仿宋_GB2312" w:hAnsi="仿宋_GB2312" w:cs="仿宋_GB2312" w:eastAsia="仿宋_GB2312"/>
                <w:sz w:val="18"/>
                <w:color w:val="000000"/>
              </w:rPr>
              <w:t>计划⼯期：</w:t>
            </w:r>
            <w:r>
              <w:rPr>
                <w:rFonts w:ascii="仿宋_GB2312" w:hAnsi="仿宋_GB2312" w:cs="仿宋_GB2312" w:eastAsia="仿宋_GB2312"/>
                <w:sz w:val="18"/>
                <w:color w:val="000000"/>
              </w:rPr>
              <w:t>25</w:t>
            </w:r>
            <w:r>
              <w:rPr>
                <w:rFonts w:ascii="仿宋_GB2312" w:hAnsi="仿宋_GB2312" w:cs="仿宋_GB2312" w:eastAsia="仿宋_GB2312"/>
                <w:sz w:val="18"/>
                <w:color w:val="000000"/>
              </w:rPr>
              <w:t>⽇历天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8"/>
                <w:color w:val="000000"/>
              </w:rPr>
              <w:t>⼯程内容：详⻅⼯程量清单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甲乙双方协商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具有独⽴承担⺠事责任的能⼒的相关证明</w:t>
            </w:r>
          </w:p>
        </w:tc>
        <w:tc>
          <w:tcPr>
            <w:tcW w:type="dxa" w:w="3322"/>
          </w:tcPr>
          <w:p>
            <w:pPr>
              <w:pStyle w:val="null3"/>
            </w:pPr>
            <w:r>
              <w:rPr>
                <w:rFonts w:ascii="仿宋_GB2312" w:hAnsi="仿宋_GB2312" w:cs="仿宋_GB2312" w:eastAsia="仿宋_GB2312"/>
              </w:rPr>
              <w:t>供应商为合法注册的法⼈或其他组织或⾃然⼈，提供营业执照（或事业法 ⼈证）；⾃然⼈提供 ⾝份证明</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授权合法的⼈参加采购</w:t>
            </w:r>
          </w:p>
        </w:tc>
        <w:tc>
          <w:tcPr>
            <w:tcW w:type="dxa" w:w="3322"/>
          </w:tcPr>
          <w:p>
            <w:pPr>
              <w:pStyle w:val="null3"/>
            </w:pPr>
            <w:r>
              <w:rPr>
                <w:rFonts w:ascii="仿宋_GB2312" w:hAnsi="仿宋_GB2312" w:cs="仿宋_GB2312" w:eastAsia="仿宋_GB2312"/>
              </w:rPr>
              <w:t>法定代表⼈授权书及被授权⼈⾝份证（法定代表⼈直接参与，只须提交其⾝份证明）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供应商须具备建设⾏政主管部⻔颁发的建筑⼯程施⼯总承包⼆级及以上资质，同时具有有效的安 全⽣产许可证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拟派项⽬负责⼈资质和专业要求</w:t>
            </w:r>
          </w:p>
        </w:tc>
        <w:tc>
          <w:tcPr>
            <w:tcW w:type="dxa" w:w="3322"/>
          </w:tcPr>
          <w:p>
            <w:pPr>
              <w:pStyle w:val="null3"/>
            </w:pPr>
            <w:r>
              <w:rPr>
                <w:rFonts w:ascii="仿宋_GB2312" w:hAnsi="仿宋_GB2312" w:cs="仿宋_GB2312" w:eastAsia="仿宋_GB2312"/>
              </w:rPr>
              <w:t>拟派本⼯程项⽬经理须具备建筑⼯程专业⼆级及以上注册建造师资格，同时具有合格有效的安全 ⽣产考核合格证（B证）,本单位注册且⽆在建⼯程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供应商提供2024-2025年度任意⼀年经会计事务所或审计机构审计的完整的财务审计报告或在 磋商截⽌时间前三个⽉内其开⼾银⾏出具的资信证明（附开⼾许可证或基本账⼾存款信息）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供应商提供已缴纳的2026年1⽉⾄今⾄少⼀个⽉的纳税证明或完税证明（任意税种，时间以税款 所属 ⽇期为准）证明应有税务机关或代收机关的公章或业务专⽤章）；依法免税的单位应提供 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供应商提供已缴存的2026年1⽉⾄今⾄少⼀个⽉的社会保障资⾦缴存单据或社保机构开具的 社 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书⾯声明</w:t>
            </w:r>
          </w:p>
        </w:tc>
        <w:tc>
          <w:tcPr>
            <w:tcW w:type="dxa" w:w="3322"/>
          </w:tcPr>
          <w:p>
            <w:pPr>
              <w:pStyle w:val="null3"/>
            </w:pPr>
            <w:r>
              <w:rPr>
                <w:rFonts w:ascii="仿宋_GB2312" w:hAnsi="仿宋_GB2312" w:cs="仿宋_GB2312" w:eastAsia="仿宋_GB2312"/>
              </w:rPr>
              <w:t>供应商在近三年经营活动中没有重⼤违法记录的声明供应商在近三年经营活动中没有重⼤违法记录的声明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具备履⾏合同所必须的设备和专业技术能⼒的承诺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相关信⽤查询</w:t>
            </w:r>
          </w:p>
        </w:tc>
        <w:tc>
          <w:tcPr>
            <w:tcW w:type="dxa" w:w="3322"/>
          </w:tcPr>
          <w:p>
            <w:pPr>
              <w:pStyle w:val="null3"/>
            </w:pPr>
            <w:r>
              <w:rPr>
                <w:rFonts w:ascii="仿宋_GB2312" w:hAnsi="仿宋_GB2312" w:cs="仿宋_GB2312" w:eastAsia="仿宋_GB2312"/>
              </w:rPr>
              <w:t>供应商不得为“信⽤中国”⽹站（www.creditchina.gov.cn）中列⼊失信被执⾏⼈和重⼤税收违法失信主体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供应商企业关系关联承诺书</w:t>
            </w:r>
          </w:p>
        </w:tc>
        <w:tc>
          <w:tcPr>
            <w:tcW w:type="dxa" w:w="3322"/>
          </w:tcPr>
          <w:p>
            <w:pPr>
              <w:pStyle w:val="null3"/>
            </w:pPr>
            <w:r>
              <w:rPr>
                <w:rFonts w:ascii="仿宋_GB2312" w:hAnsi="仿宋_GB2312" w:cs="仿宋_GB2312" w:eastAsia="仿宋_GB2312"/>
              </w:rPr>
              <w:t>单位负责⼈为同⼀⼈或者存在控股、管理关系的不同单位不得同时磋商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w:t>
            </w:r>
          </w:p>
        </w:tc>
        <w:tc>
          <w:tcPr>
            <w:tcW w:type="dxa" w:w="3322"/>
          </w:tcPr>
          <w:p>
            <w:pPr>
              <w:pStyle w:val="null3"/>
            </w:pPr>
            <w:r>
              <w:rPr>
                <w:rFonts w:ascii="仿宋_GB2312" w:hAnsi="仿宋_GB2312" w:cs="仿宋_GB2312" w:eastAsia="仿宋_GB2312"/>
              </w:rPr>
              <w:t>响应文件按文件格式加盖公章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 “响应文件格式”的要求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一份响应文件只有一个响应报价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截止开标之日起90日历日</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响应报价有效性</w:t>
            </w:r>
          </w:p>
        </w:tc>
        <w:tc>
          <w:tcPr>
            <w:tcW w:type="dxa" w:w="3322"/>
          </w:tcPr>
          <w:p>
            <w:pPr>
              <w:pStyle w:val="null3"/>
            </w:pPr>
            <w:r>
              <w:rPr>
                <w:rFonts w:ascii="仿宋_GB2312" w:hAnsi="仿宋_GB2312" w:cs="仿宋_GB2312" w:eastAsia="仿宋_GB2312"/>
              </w:rPr>
              <w:t>响应总报价未超出招标人设定的上限控制价为有效报价。 注：除此之外的报价视为无效报价，按废标处理，且不参与评标基准价计算。</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施工⽅案</w:t>
            </w:r>
          </w:p>
        </w:tc>
        <w:tc>
          <w:tcPr>
            <w:tcW w:type="dxa" w:w="2492"/>
          </w:tcPr>
          <w:p>
            <w:pPr>
              <w:pStyle w:val="null3"/>
            </w:pPr>
            <w:r>
              <w:rPr>
                <w:rFonts w:ascii="仿宋_GB2312" w:hAnsi="仿宋_GB2312" w:cs="仿宋_GB2312" w:eastAsia="仿宋_GB2312"/>
              </w:rPr>
              <w:t>根据供应商提供的施⼯⽅案进⾏评审，评审内容包含但不限于：（1）⼯程概况（2）施⼯准备（3）施⼯⽅法（4）相关技术措施。以上内容⽆缺项，专⻔针对本项⽬编制，符合本项⽬实际情况，内容全⾯详细， 且条理清晰、准确、措施合理化能够保障项⽬顺利实施的得20分。每⼩项缺项或者内容⾮针对于本项⽬的扣5分，每⼩项有⼀处缺陷的扣1分，扣完为⽌。（缺陷是指：施⼯⽅案内容不完整、条理不清晰、缺少关健点、⽅案不具体、针对性不强、内容⽆紧扣项⽬实际情况、表述前后不⼀致、现有技术条件下不可能出现的及其他不利于项⽬实施的情形等任意⼀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 ⼯ 质 量 及 施 ⼯ 进 度 保 证 措 施</w:t>
            </w:r>
          </w:p>
        </w:tc>
        <w:tc>
          <w:tcPr>
            <w:tcW w:type="dxa" w:w="2492"/>
          </w:tcPr>
          <w:p>
            <w:pPr>
              <w:pStyle w:val="null3"/>
            </w:pPr>
            <w:r>
              <w:rPr>
                <w:rFonts w:ascii="仿宋_GB2312" w:hAnsi="仿宋_GB2312" w:cs="仿宋_GB2312" w:eastAsia="仿宋_GB2312"/>
              </w:rPr>
              <w:t>根据供应商提供的施⼯质量及施⼯进度保证措施进⾏评审，评审内容包括但不限于：（1）质量⽬标管理体系及质量的检验制度；（2）施⼯进度及技术保证措施。以上内容⽆缺项，专⻔针对本项⽬编制，符合本项⽬实际情况，内容描述全⾯详细，且条理清晰、准确、措施合理化能够保障项⽬顺利实施的得10分。每⼩项缺项或者内容⾮针对于本项⽬的扣5分；每⼩项有⼀处缺陷的扣1分，扣完为⽌。（缺陷是指：施⼯质量及进度保证措施内容不完整、条理不清晰、缺少关键点、措施描述不具体、针对性不强、内容⽆紧扣项⽬实际 情况、表述前后不⼀致、现有技术条件下不可能出现的及其他不利于项⽬实施的情形等任意⼀种情形）。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 全 、 ⽂ 明 施 ⼯ 措 施 及 环 境 保 证 措 施</w:t>
            </w:r>
          </w:p>
        </w:tc>
        <w:tc>
          <w:tcPr>
            <w:tcW w:type="dxa" w:w="2492"/>
          </w:tcPr>
          <w:p>
            <w:pPr>
              <w:pStyle w:val="null3"/>
            </w:pPr>
            <w:r>
              <w:rPr>
                <w:rFonts w:ascii="仿宋_GB2312" w:hAnsi="仿宋_GB2312" w:cs="仿宋_GB2312" w:eastAsia="仿宋_GB2312"/>
              </w:rPr>
              <w:t>评审内容包括但不限于：（1）安全⽂明施⼯⽬标、安全⽣产管理体系、安全标识及施⼯现场的临时管理措施、⽂明施⼯保证措施（2）环境保护管理体系及环保控制措施。以上内容⽆缺项，专⻔针对本项⽬编制，符合本项⽬实际情况，内容全⾯详细，且条理清晰、准确、措施合理化能够保障项⽬顺利实施的得10分。每⼩项缺项或者内容⾮针对于本项⽬的扣5分，每⼩项有⼀处缺陷的扣1分，扣完为⽌。（缺陷是指：安全、⽂明施⼯措施及环境保护措施描述内容描述不完整、条理不清晰、未对安全做出具体明确的解决措施等、缺少关键点、针对性不强、内容⽆紧扣项⽬实际情况、表述前后不⼀致、现有技术条件下不可能出现的及其他不 利于项⽬实施的情形等任意⼀种情形）。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 ⼯ 现 场 扬 尘 、 污 染 防 治 措 施</w:t>
            </w:r>
          </w:p>
        </w:tc>
        <w:tc>
          <w:tcPr>
            <w:tcW w:type="dxa" w:w="2492"/>
          </w:tcPr>
          <w:p>
            <w:pPr>
              <w:pStyle w:val="null3"/>
            </w:pPr>
            <w:r>
              <w:rPr>
                <w:rFonts w:ascii="仿宋_GB2312" w:hAnsi="仿宋_GB2312" w:cs="仿宋_GB2312" w:eastAsia="仿宋_GB2312"/>
              </w:rPr>
              <w:t>评审内容包含但不限于：（1）污染物、杂物及废弃物的处理（2）噪⾳控制、防尘及扬尘的准备⼯作及防治措施。以上内容⽆缺项，专⻔针对本项⽬编制，符合本项⽬实际情况，内容全⾯详细，且条理清晰、准确、措施合理化能够保障项⽬顺利实施的得10分。每⼩项缺项或者内容⾮针对于本项⽬的扣5分，每⼩项有⼀处缺陷的扣1分，扣完为⽌。（缺陷是指：施⼯现场扬尘污染防治措施内容不完整 、条理不清晰、缺少关键点、⽅案不具体、针对性不强、内容⽆紧扣项⽬实际情况、表述前后不⼀致、现有技术条件下不可能出现的及其他不利于项⽬实施的情形等任意⼀种情形）。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项⽬经理及技术负责人</w:t>
            </w:r>
          </w:p>
        </w:tc>
        <w:tc>
          <w:tcPr>
            <w:tcW w:type="dxa" w:w="2492"/>
          </w:tcPr>
          <w:p>
            <w:pPr>
              <w:pStyle w:val="null3"/>
            </w:pPr>
            <w:r>
              <w:rPr>
                <w:rFonts w:ascii="仿宋_GB2312" w:hAnsi="仿宋_GB2312" w:cs="仿宋_GB2312" w:eastAsia="仿宋_GB2312"/>
              </w:rPr>
              <w:t>评审内容包含： （1）拟派技术负责⼈具备⼯程类中级职称，得1分，⾼级职称得2分； （2）项⽬负责⼈具备⼯程类中级职称，得1分，⾼级职称得2分；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 ⽬ 管 理 机 构</w:t>
            </w:r>
          </w:p>
        </w:tc>
        <w:tc>
          <w:tcPr>
            <w:tcW w:type="dxa" w:w="2492"/>
          </w:tcPr>
          <w:p>
            <w:pPr>
              <w:pStyle w:val="null3"/>
            </w:pPr>
            <w:r>
              <w:rPr>
                <w:rFonts w:ascii="仿宋_GB2312" w:hAnsi="仿宋_GB2312" w:cs="仿宋_GB2312" w:eastAsia="仿宋_GB2312"/>
              </w:rPr>
              <w:t>（1）管理机构的配备：计划⽅案能够紧扣项⽬实际情况得3分，有⼀处缺陷的扣1分，扣完为⽌。（2）组织机构的岗位职责，紧扣项⽬实际情况得3分，有⼀处缺陷的扣1分，扣完为⽌。（缺陷是指：条理不清晰、缺少关键点、⽅案不具体、针对性不强、内容⽆紧扣项⽬实际情况、表述前后不⼀致、现有技术条件下不可能出现的及其他不利于项⽬实 施的情形等任意⼀种情形）。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提供近三年（2023年7⽉⾄今）类似项⽬业绩，业绩以中标（成交）通知书或合同加盖供应商红⾊公章的复印件为依据，提供⼀个计2分，满分10分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满⾜磋商⽂件实质性要求且最终报价最低的供应商的价格为磋商基准价，其价格分为满分30分。 磋商报价得分=（磋商基准价/最终磋商报价）×30的公式计算得分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