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版本号：GR26-CS-01520260625001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智能反诈预警服务采购项目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GR26-CS-015</w:t>
      </w:r>
      <w:r>
        <w:br/>
      </w:r>
      <w:r>
        <w:br/>
      </w:r>
      <w:r>
        <w:br/>
      </w:r>
    </w:p>
    <w:p>
      <w:pPr>
        <w:pStyle w:val="null3"/>
        <w:jc w:val="center"/>
        <w:outlineLvl w:val="2"/>
      </w:pPr>
      <w:r>
        <w:rPr>
          <w:rFonts w:ascii="仿宋_GB2312" w:hAnsi="仿宋_GB2312" w:cs="仿宋_GB2312" w:eastAsia="仿宋_GB2312"/>
          <w:sz w:val="28"/>
          <w:b/>
        </w:rPr>
        <w:t>西安市公安局长安分局</w:t>
      </w:r>
    </w:p>
    <w:p>
      <w:pPr>
        <w:pStyle w:val="null3"/>
        <w:jc w:val="center"/>
        <w:outlineLvl w:val="2"/>
      </w:pPr>
      <w:r>
        <w:rPr>
          <w:rFonts w:ascii="仿宋_GB2312" w:hAnsi="仿宋_GB2312" w:cs="仿宋_GB2312" w:eastAsia="仿宋_GB2312"/>
          <w:sz w:val="28"/>
          <w:b/>
        </w:rPr>
        <w:t>伟江项目管理咨询有限公司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伟江项目管理咨询有限公司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西安市公安局长安分局</w:t>
      </w:r>
      <w:r>
        <w:rPr>
          <w:rFonts w:ascii="仿宋_GB2312" w:hAnsi="仿宋_GB2312" w:cs="仿宋_GB2312" w:eastAsia="仿宋_GB2312"/>
        </w:rPr>
        <w:t>委托，拟对</w:t>
      </w:r>
      <w:r>
        <w:rPr>
          <w:rFonts w:ascii="仿宋_GB2312" w:hAnsi="仿宋_GB2312" w:cs="仿宋_GB2312" w:eastAsia="仿宋_GB2312"/>
        </w:rPr>
        <w:t>智能反诈预警服务采购项目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GR26-CS-015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智能反诈预警服务采购项目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本项目为西安市公安局长安分局智能反诈预警服务采购项目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西安市公安局长安分局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西安市长安区韦曲街道西长安街2366号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西安市公安局长安分局经办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029-86750668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伟江项目管理咨询有限公司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西安市新城区龙首北路东段大明宫圣远广场A座8001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吴斯琪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029-81111916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采购包1：415,000.00元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采购代理服务费以采购项目的成交金额作为收费基数，按照国家计委（计价格【2002】1980号）《招标代理服务收费管理暂行办法》规定的服务类收费标准收取。由成交供应商向采购代理机构一次性支付，具体收费金额以采购结果公示为准。</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西安市公安局长安分局</w:t>
      </w:r>
      <w:r>
        <w:rPr>
          <w:rFonts w:ascii="仿宋_GB2312" w:hAnsi="仿宋_GB2312" w:cs="仿宋_GB2312" w:eastAsia="仿宋_GB2312"/>
        </w:rPr>
        <w:t>和</w:t>
      </w:r>
      <w:r>
        <w:rPr>
          <w:rFonts w:ascii="仿宋_GB2312" w:hAnsi="仿宋_GB2312" w:cs="仿宋_GB2312" w:eastAsia="仿宋_GB2312"/>
        </w:rPr>
        <w:t>伟江项目管理咨询有限公司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西安市公安局长安分局</w:t>
      </w:r>
      <w:r>
        <w:rPr>
          <w:rFonts w:ascii="仿宋_GB2312" w:hAnsi="仿宋_GB2312" w:cs="仿宋_GB2312" w:eastAsia="仿宋_GB2312"/>
        </w:rPr>
        <w:t>负责解释。除上述磋商文件内容，其他内容由</w:t>
      </w:r>
      <w:r>
        <w:rPr>
          <w:rFonts w:ascii="仿宋_GB2312" w:hAnsi="仿宋_GB2312" w:cs="仿宋_GB2312" w:eastAsia="仿宋_GB2312"/>
        </w:rPr>
        <w:t>伟江项目管理咨询有限公司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西安市公安局长安分局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伟江项目管理咨询有限公司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以最终签订的合同条款为准</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以最终签订的合同为准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伟江项目管理咨询有限公司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伟江项目管理咨询有限公司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伟江项目管理咨询有限公司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联系人：马建国</w:t>
      </w:r>
    </w:p>
    <w:p>
      <w:pPr>
        <w:pStyle w:val="null3"/>
      </w:pPr>
      <w:r>
        <w:rPr>
          <w:rFonts w:ascii="仿宋_GB2312" w:hAnsi="仿宋_GB2312" w:cs="仿宋_GB2312" w:eastAsia="仿宋_GB2312"/>
        </w:rPr>
        <w:t>联系电话：029-81111916</w:t>
      </w:r>
    </w:p>
    <w:p>
      <w:pPr>
        <w:pStyle w:val="null3"/>
      </w:pPr>
      <w:r>
        <w:rPr>
          <w:rFonts w:ascii="仿宋_GB2312" w:hAnsi="仿宋_GB2312" w:cs="仿宋_GB2312" w:eastAsia="仿宋_GB2312"/>
        </w:rPr>
        <w:t>地址：西安市新城区龙首北路东段大明宫圣远广场A座8001</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本项目为西安市公安局长安分局智能反诈预警服务采购项目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415,000.00</w:t>
      </w:r>
    </w:p>
    <w:p>
      <w:pPr>
        <w:pStyle w:val="null3"/>
      </w:pPr>
      <w:r>
        <w:rPr>
          <w:rFonts w:ascii="仿宋_GB2312" w:hAnsi="仿宋_GB2312" w:cs="仿宋_GB2312" w:eastAsia="仿宋_GB2312"/>
        </w:rPr>
        <w:t>采购包最高限价（元）: 415,000.00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反诈外呼自动止付</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415,000.00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标的名称：反诈外呼自动止付</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pPr>
            <w:r>
              <w:rPr>
                <w:rFonts w:ascii="仿宋_GB2312" w:hAnsi="仿宋_GB2312" w:cs="仿宋_GB2312" w:eastAsia="仿宋_GB2312"/>
                <w:sz w:val="32"/>
                <w:b/>
              </w:rPr>
              <w:t>一、反诈平台要求</w:t>
            </w:r>
          </w:p>
          <w:p>
            <w:pPr>
              <w:pStyle w:val="null3"/>
              <w:ind w:firstLine="638"/>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）为反诈中心提供反诈信息的智能态势感知大脑数据中心，提供反诈信息多渠道多种类的态势感知服务</w:t>
            </w:r>
            <w:r>
              <w:rPr>
                <w:rFonts w:ascii="仿宋_GB2312" w:hAnsi="仿宋_GB2312" w:cs="仿宋_GB2312" w:eastAsia="仿宋_GB2312"/>
                <w:sz w:val="24"/>
              </w:rPr>
              <w:t>；</w:t>
            </w:r>
          </w:p>
          <w:p>
            <w:pPr>
              <w:pStyle w:val="null3"/>
              <w:ind w:firstLine="638"/>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基于云端人工智能技术，自动根据反诈数据源进行</w:t>
            </w:r>
            <w:r>
              <w:rPr>
                <w:rFonts w:ascii="仿宋_GB2312" w:hAnsi="仿宋_GB2312" w:cs="仿宋_GB2312" w:eastAsia="仿宋_GB2312"/>
                <w:sz w:val="24"/>
              </w:rPr>
              <w:t>AI外呼相应</w:t>
            </w:r>
            <w:r>
              <w:rPr>
                <w:rFonts w:ascii="仿宋_GB2312" w:hAnsi="仿宋_GB2312" w:cs="仿宋_GB2312" w:eastAsia="仿宋_GB2312"/>
                <w:sz w:val="24"/>
              </w:rPr>
              <w:t>；</w:t>
            </w:r>
          </w:p>
          <w:p>
            <w:pPr>
              <w:pStyle w:val="null3"/>
              <w:ind w:firstLine="638"/>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）基于人工智能语音交互和智能语义解析智能进行预警交互</w:t>
            </w:r>
            <w:r>
              <w:rPr>
                <w:rFonts w:ascii="仿宋_GB2312" w:hAnsi="仿宋_GB2312" w:cs="仿宋_GB2312" w:eastAsia="仿宋_GB2312"/>
                <w:sz w:val="24"/>
              </w:rPr>
              <w:t>；</w:t>
            </w:r>
          </w:p>
          <w:p>
            <w:pPr>
              <w:pStyle w:val="null3"/>
              <w:ind w:firstLine="638"/>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基于态势感知为受害者提供人工智能预警服务以及反诈中心多级联动协作平台</w:t>
            </w:r>
            <w:r>
              <w:rPr>
                <w:rFonts w:ascii="仿宋_GB2312" w:hAnsi="仿宋_GB2312" w:cs="仿宋_GB2312" w:eastAsia="仿宋_GB2312"/>
                <w:sz w:val="24"/>
              </w:rPr>
              <w:t>；</w:t>
            </w:r>
          </w:p>
          <w:p>
            <w:pPr>
              <w:pStyle w:val="null3"/>
              <w:ind w:firstLine="638"/>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定期对软件平台中话术内容进行更新迭代</w:t>
            </w:r>
            <w:r>
              <w:rPr>
                <w:rFonts w:ascii="仿宋_GB2312" w:hAnsi="仿宋_GB2312" w:cs="仿宋_GB2312" w:eastAsia="仿宋_GB2312"/>
                <w:sz w:val="24"/>
              </w:rPr>
              <w:t>；</w:t>
            </w:r>
          </w:p>
          <w:p>
            <w:pPr>
              <w:pStyle w:val="null3"/>
              <w:ind w:firstLine="638"/>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智能语音机器人系统与运营商通过标准的</w:t>
            </w:r>
            <w:r>
              <w:rPr>
                <w:rFonts w:ascii="仿宋_GB2312" w:hAnsi="仿宋_GB2312" w:cs="仿宋_GB2312" w:eastAsia="仿宋_GB2312"/>
                <w:sz w:val="24"/>
              </w:rPr>
              <w:t>SIP协议实现通信集成</w:t>
            </w:r>
            <w:r>
              <w:rPr>
                <w:rFonts w:ascii="仿宋_GB2312" w:hAnsi="仿宋_GB2312" w:cs="仿宋_GB2312" w:eastAsia="仿宋_GB2312"/>
                <w:sz w:val="24"/>
              </w:rPr>
              <w:t>；</w:t>
            </w:r>
          </w:p>
          <w:p>
            <w:pPr>
              <w:pStyle w:val="null3"/>
              <w:ind w:firstLine="638"/>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智能语音系统</w:t>
            </w:r>
            <w:r>
              <w:rPr>
                <w:rFonts w:ascii="仿宋_GB2312" w:hAnsi="仿宋_GB2312" w:cs="仿宋_GB2312" w:eastAsia="仿宋_GB2312"/>
                <w:sz w:val="24"/>
              </w:rPr>
              <w:t>中文</w:t>
            </w:r>
            <w:r>
              <w:rPr>
                <w:rFonts w:ascii="仿宋_GB2312" w:hAnsi="仿宋_GB2312" w:cs="仿宋_GB2312" w:eastAsia="仿宋_GB2312"/>
                <w:sz w:val="24"/>
              </w:rPr>
              <w:t>普通话语音识别率不低于</w:t>
            </w:r>
            <w:r>
              <w:rPr>
                <w:rFonts w:ascii="仿宋_GB2312" w:hAnsi="仿宋_GB2312" w:cs="仿宋_GB2312" w:eastAsia="仿宋_GB2312"/>
                <w:sz w:val="24"/>
              </w:rPr>
              <w:t>98%</w:t>
            </w:r>
            <w:r>
              <w:rPr>
                <w:rFonts w:ascii="仿宋_GB2312" w:hAnsi="仿宋_GB2312" w:cs="仿宋_GB2312" w:eastAsia="仿宋_GB2312"/>
                <w:sz w:val="24"/>
              </w:rPr>
              <w:t>（须提供相关证明材料，包括但不限于第三方权威机构出具的检测报告、产品截图或厂家产品宣传材料）</w:t>
            </w:r>
            <w:r>
              <w:rPr>
                <w:rFonts w:ascii="仿宋_GB2312" w:hAnsi="仿宋_GB2312" w:cs="仿宋_GB2312" w:eastAsia="仿宋_GB2312"/>
                <w:sz w:val="24"/>
              </w:rPr>
              <w:t>；</w:t>
            </w:r>
          </w:p>
          <w:p>
            <w:pPr>
              <w:pStyle w:val="null3"/>
              <w:ind w:firstLine="638"/>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支持外呼任务新建，任务中支持</w:t>
            </w:r>
            <w:r>
              <w:rPr>
                <w:rFonts w:ascii="仿宋_GB2312" w:hAnsi="仿宋_GB2312" w:cs="仿宋_GB2312" w:eastAsia="仿宋_GB2312"/>
                <w:sz w:val="24"/>
              </w:rPr>
              <w:t>自定义白</w:t>
            </w:r>
            <w:r>
              <w:rPr>
                <w:rFonts w:ascii="仿宋_GB2312" w:hAnsi="仿宋_GB2312" w:cs="仿宋_GB2312" w:eastAsia="仿宋_GB2312"/>
                <w:sz w:val="24"/>
              </w:rPr>
              <w:t>名单号码</w:t>
            </w:r>
            <w:r>
              <w:rPr>
                <w:rFonts w:ascii="仿宋_GB2312" w:hAnsi="仿宋_GB2312" w:cs="仿宋_GB2312" w:eastAsia="仿宋_GB2312"/>
                <w:sz w:val="24"/>
              </w:rPr>
              <w:t>分组进行</w:t>
            </w:r>
            <w:r>
              <w:rPr>
                <w:rFonts w:ascii="仿宋_GB2312" w:hAnsi="仿宋_GB2312" w:cs="仿宋_GB2312" w:eastAsia="仿宋_GB2312"/>
                <w:sz w:val="24"/>
              </w:rPr>
              <w:t>过滤、任务启动方式修改</w:t>
            </w:r>
            <w:r>
              <w:rPr>
                <w:rFonts w:ascii="仿宋_GB2312" w:hAnsi="仿宋_GB2312" w:cs="仿宋_GB2312" w:eastAsia="仿宋_GB2312"/>
                <w:sz w:val="24"/>
              </w:rPr>
              <w:t>；</w:t>
            </w:r>
          </w:p>
          <w:p>
            <w:pPr>
              <w:pStyle w:val="null3"/>
              <w:ind w:firstLine="638"/>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支持根据</w:t>
            </w:r>
            <w:r>
              <w:rPr>
                <w:rFonts w:ascii="仿宋_GB2312" w:hAnsi="仿宋_GB2312" w:cs="仿宋_GB2312" w:eastAsia="仿宋_GB2312"/>
                <w:sz w:val="24"/>
              </w:rPr>
              <w:t>XX天接通／外呼上限，自定义拦截规则，对部分名单号码进行过滤</w:t>
            </w:r>
            <w:r>
              <w:rPr>
                <w:rFonts w:ascii="仿宋_GB2312" w:hAnsi="仿宋_GB2312" w:cs="仿宋_GB2312" w:eastAsia="仿宋_GB2312"/>
                <w:sz w:val="24"/>
              </w:rPr>
              <w:t>；</w:t>
            </w:r>
          </w:p>
          <w:p>
            <w:pPr>
              <w:pStyle w:val="null3"/>
              <w:ind w:firstLine="638"/>
            </w:pP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支持外呼任务自动重拨</w:t>
            </w:r>
            <w:r>
              <w:rPr>
                <w:rFonts w:ascii="仿宋_GB2312" w:hAnsi="仿宋_GB2312" w:cs="仿宋_GB2312" w:eastAsia="仿宋_GB2312"/>
                <w:sz w:val="24"/>
              </w:rPr>
              <w:t>；</w:t>
            </w:r>
          </w:p>
          <w:p>
            <w:pPr>
              <w:pStyle w:val="null3"/>
              <w:ind w:firstLine="638"/>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11）</w:t>
            </w:r>
            <w:r>
              <w:rPr>
                <w:rFonts w:ascii="仿宋_GB2312" w:hAnsi="仿宋_GB2312" w:cs="仿宋_GB2312" w:eastAsia="仿宋_GB2312"/>
                <w:sz w:val="24"/>
              </w:rPr>
              <w:t>支持外呼名单以表格进行导入</w:t>
            </w:r>
            <w:r>
              <w:rPr>
                <w:rFonts w:ascii="仿宋_GB2312" w:hAnsi="仿宋_GB2312" w:cs="仿宋_GB2312" w:eastAsia="仿宋_GB2312"/>
                <w:sz w:val="24"/>
              </w:rPr>
              <w:t>；</w:t>
            </w:r>
          </w:p>
          <w:p>
            <w:pPr>
              <w:pStyle w:val="null3"/>
              <w:ind w:firstLine="638"/>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12）</w:t>
            </w:r>
            <w:r>
              <w:rPr>
                <w:rFonts w:ascii="仿宋_GB2312" w:hAnsi="仿宋_GB2312" w:cs="仿宋_GB2312" w:eastAsia="仿宋_GB2312"/>
                <w:sz w:val="24"/>
              </w:rPr>
              <w:t>支持在任务已呼列表中，一键生成可上传部级平台数据</w:t>
            </w:r>
            <w:r>
              <w:rPr>
                <w:rFonts w:ascii="仿宋_GB2312" w:hAnsi="仿宋_GB2312" w:cs="仿宋_GB2312" w:eastAsia="仿宋_GB2312"/>
                <w:sz w:val="24"/>
              </w:rPr>
              <w:t>；</w:t>
            </w:r>
          </w:p>
          <w:p>
            <w:pPr>
              <w:pStyle w:val="null3"/>
              <w:ind w:firstLine="638"/>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13）</w:t>
            </w:r>
            <w:r>
              <w:rPr>
                <w:rFonts w:ascii="仿宋_GB2312" w:hAnsi="仿宋_GB2312" w:cs="仿宋_GB2312" w:eastAsia="仿宋_GB2312"/>
                <w:sz w:val="24"/>
              </w:rPr>
              <w:t>支持针对任务，进行已呼名单、未呼名单、过滤名单信息展示</w:t>
            </w:r>
            <w:r>
              <w:rPr>
                <w:rFonts w:ascii="仿宋_GB2312" w:hAnsi="仿宋_GB2312" w:cs="仿宋_GB2312" w:eastAsia="仿宋_GB2312"/>
                <w:sz w:val="24"/>
              </w:rPr>
              <w:t>；</w:t>
            </w:r>
          </w:p>
          <w:p>
            <w:pPr>
              <w:pStyle w:val="null3"/>
              <w:ind w:firstLine="638"/>
            </w:pPr>
            <w:r>
              <w:rPr>
                <w:rFonts w:ascii="仿宋_GB2312" w:hAnsi="仿宋_GB2312" w:cs="仿宋_GB2312" w:eastAsia="仿宋_GB2312"/>
                <w:sz w:val="24"/>
              </w:rPr>
              <w:t>（</w:t>
            </w:r>
            <w:r>
              <w:rPr>
                <w:rFonts w:ascii="仿宋_GB2312" w:hAnsi="仿宋_GB2312" w:cs="仿宋_GB2312" w:eastAsia="仿宋_GB2312"/>
                <w:sz w:val="24"/>
              </w:rPr>
              <w:t>14）</w:t>
            </w:r>
            <w:r>
              <w:rPr>
                <w:rFonts w:ascii="仿宋_GB2312" w:hAnsi="仿宋_GB2312" w:cs="仿宋_GB2312" w:eastAsia="仿宋_GB2312"/>
                <w:sz w:val="24"/>
              </w:rPr>
              <w:t>支持近</w:t>
            </w:r>
            <w:r>
              <w:rPr>
                <w:rFonts w:ascii="仿宋_GB2312" w:hAnsi="仿宋_GB2312" w:cs="仿宋_GB2312" w:eastAsia="仿宋_GB2312"/>
                <w:sz w:val="24"/>
              </w:rPr>
              <w:t>90天内通话录音查看，支持导出通话记录（EXCEL）</w:t>
            </w:r>
            <w:r>
              <w:rPr>
                <w:rFonts w:ascii="仿宋_GB2312" w:hAnsi="仿宋_GB2312" w:cs="仿宋_GB2312" w:eastAsia="仿宋_GB2312"/>
                <w:sz w:val="24"/>
              </w:rPr>
              <w:t>；</w:t>
            </w:r>
          </w:p>
          <w:p>
            <w:pPr>
              <w:pStyle w:val="null3"/>
              <w:ind w:firstLine="638"/>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15）</w:t>
            </w:r>
            <w:r>
              <w:rPr>
                <w:rFonts w:ascii="仿宋_GB2312" w:hAnsi="仿宋_GB2312" w:cs="仿宋_GB2312" w:eastAsia="仿宋_GB2312"/>
                <w:sz w:val="24"/>
              </w:rPr>
              <w:t>支持根据不同的诈骗类型进行不同内容的反诈劝阻，话术包含类型：冒充电商物流客服类；冒充公检法及政府机关类；刷单返利类；贷款、代办信用卡类；冒充军警购物诈骗；杀猪盘；虚假购物、服务类；网络婚恋、交友类；虚假征信类；冒充领导、熟人类；网络游戏产品虚假交易类；其他类型诈骗</w:t>
            </w:r>
            <w:r>
              <w:rPr>
                <w:rFonts w:ascii="仿宋_GB2312" w:hAnsi="仿宋_GB2312" w:cs="仿宋_GB2312" w:eastAsia="仿宋_GB2312"/>
                <w:sz w:val="24"/>
              </w:rPr>
              <w:t>；</w:t>
            </w:r>
          </w:p>
          <w:p>
            <w:pPr>
              <w:pStyle w:val="null3"/>
              <w:ind w:firstLine="638"/>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16）</w:t>
            </w:r>
            <w:r>
              <w:rPr>
                <w:rFonts w:ascii="仿宋_GB2312" w:hAnsi="仿宋_GB2312" w:cs="仿宋_GB2312" w:eastAsia="仿宋_GB2312"/>
                <w:sz w:val="24"/>
              </w:rPr>
              <w:t>支持团队成员创建，根据不同的岗位要求，设置不同的</w:t>
            </w:r>
            <w:r>
              <w:rPr>
                <w:rFonts w:ascii="仿宋_GB2312" w:hAnsi="仿宋_GB2312" w:cs="仿宋_GB2312" w:eastAsia="仿宋_GB2312"/>
                <w:sz w:val="24"/>
              </w:rPr>
              <w:t>角色；</w:t>
            </w:r>
          </w:p>
          <w:p>
            <w:pPr>
              <w:pStyle w:val="null3"/>
              <w:ind w:firstLine="638"/>
            </w:pPr>
            <w:r>
              <w:rPr>
                <w:rFonts w:ascii="仿宋_GB2312" w:hAnsi="仿宋_GB2312" w:cs="仿宋_GB2312" w:eastAsia="仿宋_GB2312"/>
                <w:sz w:val="24"/>
              </w:rPr>
              <w:t>（</w:t>
            </w:r>
            <w:r>
              <w:rPr>
                <w:rFonts w:ascii="仿宋_GB2312" w:hAnsi="仿宋_GB2312" w:cs="仿宋_GB2312" w:eastAsia="仿宋_GB2312"/>
                <w:sz w:val="24"/>
              </w:rPr>
              <w:t>17）</w:t>
            </w:r>
            <w:r>
              <w:rPr>
                <w:rFonts w:ascii="仿宋_GB2312" w:hAnsi="仿宋_GB2312" w:cs="仿宋_GB2312" w:eastAsia="仿宋_GB2312"/>
                <w:sz w:val="24"/>
              </w:rPr>
              <w:t>支持</w:t>
            </w:r>
            <w:r>
              <w:rPr>
                <w:rFonts w:ascii="仿宋_GB2312" w:hAnsi="仿宋_GB2312" w:cs="仿宋_GB2312" w:eastAsia="仿宋_GB2312"/>
                <w:sz w:val="24"/>
              </w:rPr>
              <w:t>对所有的</w:t>
            </w:r>
            <w:r>
              <w:rPr>
                <w:rFonts w:ascii="仿宋_GB2312" w:hAnsi="仿宋_GB2312" w:cs="仿宋_GB2312" w:eastAsia="仿宋_GB2312"/>
                <w:sz w:val="24"/>
              </w:rPr>
              <w:t>通话情况</w:t>
            </w:r>
            <w:r>
              <w:rPr>
                <w:rFonts w:ascii="仿宋_GB2312" w:hAnsi="仿宋_GB2312" w:cs="仿宋_GB2312" w:eastAsia="仿宋_GB2312"/>
                <w:sz w:val="24"/>
              </w:rPr>
              <w:t>进行汇总统计</w:t>
            </w:r>
            <w:r>
              <w:rPr>
                <w:rFonts w:ascii="仿宋_GB2312" w:hAnsi="仿宋_GB2312" w:cs="仿宋_GB2312" w:eastAsia="仿宋_GB2312"/>
                <w:sz w:val="24"/>
              </w:rPr>
              <w:t>，支持按日期（近</w:t>
            </w:r>
            <w:r>
              <w:rPr>
                <w:rFonts w:ascii="仿宋_GB2312" w:hAnsi="仿宋_GB2312" w:cs="仿宋_GB2312" w:eastAsia="仿宋_GB2312"/>
                <w:sz w:val="24"/>
              </w:rPr>
              <w:t>90天），支持以客户或通话维度统计，支持按任务名/BOT名、成员/组织筛选</w:t>
            </w:r>
            <w:r>
              <w:rPr>
                <w:rFonts w:ascii="仿宋_GB2312" w:hAnsi="仿宋_GB2312" w:cs="仿宋_GB2312" w:eastAsia="仿宋_GB2312"/>
                <w:sz w:val="24"/>
              </w:rPr>
              <w:t>；</w:t>
            </w:r>
          </w:p>
          <w:p>
            <w:pPr>
              <w:pStyle w:val="null3"/>
              <w:spacing w:before="240" w:after="60"/>
              <w:ind w:firstLine="855"/>
              <w:jc w:val="center"/>
            </w:pPr>
            <w:r>
              <w:rPr>
                <w:rFonts w:ascii="仿宋_GB2312" w:hAnsi="仿宋_GB2312" w:cs="仿宋_GB2312" w:eastAsia="仿宋_GB2312"/>
                <w:sz w:val="32"/>
                <w:b/>
              </w:rPr>
              <w:t>二、</w:t>
            </w:r>
            <w:r>
              <w:rPr>
                <w:rFonts w:ascii="仿宋_GB2312" w:hAnsi="仿宋_GB2312" w:cs="仿宋_GB2312" w:eastAsia="仿宋_GB2312"/>
                <w:sz w:val="32"/>
                <w:b/>
              </w:rPr>
              <w:t>云呼</w:t>
            </w:r>
            <w:r>
              <w:rPr>
                <w:rFonts w:ascii="仿宋_GB2312" w:hAnsi="仿宋_GB2312" w:cs="仿宋_GB2312" w:eastAsia="仿宋_GB2312"/>
                <w:sz w:val="32"/>
                <w:b/>
              </w:rPr>
              <w:t>要求</w:t>
            </w:r>
          </w:p>
          <w:p>
            <w:pPr>
              <w:pStyle w:val="null3"/>
              <w:ind w:firstLine="558"/>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参照安全等保二级标准，充分考虑安全体系和信息安全支撑，从物理、传输、网络、应用等采用多层次的安全保障措施。严格遵循需求方的网络域规划和隔离措施，保证系统内部网络和数据的安全性</w:t>
            </w:r>
            <w:r>
              <w:rPr>
                <w:rFonts w:ascii="仿宋_GB2312" w:hAnsi="仿宋_GB2312" w:cs="仿宋_GB2312" w:eastAsia="仿宋_GB2312"/>
                <w:sz w:val="24"/>
              </w:rPr>
              <w:t>；</w:t>
            </w:r>
          </w:p>
          <w:p>
            <w:pPr>
              <w:pStyle w:val="null3"/>
              <w:ind w:firstLine="638"/>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系统关键模块采用负载均衡或冗余备份的方式，数据传输采用专线方式，确保了数据的安全性以及业务的可靠性。同时能够快速对系统模块故障做出判断，具有高效的切换机制保证所有业务的接续</w:t>
            </w:r>
            <w:r>
              <w:rPr>
                <w:rFonts w:ascii="仿宋_GB2312" w:hAnsi="仿宋_GB2312" w:cs="仿宋_GB2312" w:eastAsia="仿宋_GB2312"/>
                <w:sz w:val="24"/>
              </w:rPr>
              <w:t>；</w:t>
            </w:r>
          </w:p>
          <w:p>
            <w:pPr>
              <w:pStyle w:val="null3"/>
              <w:ind w:firstLine="638"/>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系统通过分权管理以及安全可靠的认证方式，用户不能越级对系统进行操作。系统中的敏感信息在传输过程中使用</w:t>
            </w:r>
            <w:r>
              <w:rPr>
                <w:rFonts w:ascii="仿宋_GB2312" w:hAnsi="仿宋_GB2312" w:cs="仿宋_GB2312" w:eastAsia="仿宋_GB2312"/>
                <w:sz w:val="24"/>
              </w:rPr>
              <w:t>AES加密处理，前台展示时也进行了脱敏处理，同时数据安全基于“最小必需”原则执行权限管控，会根据实际情况及时调整、更新、回收相应权限。所有主机登录均采用密钥授权方式和SSH2加密通道，保障登录授权安全和通道安全</w:t>
            </w:r>
            <w:r>
              <w:rPr>
                <w:rFonts w:ascii="仿宋_GB2312" w:hAnsi="仿宋_GB2312" w:cs="仿宋_GB2312" w:eastAsia="仿宋_GB2312"/>
                <w:sz w:val="24"/>
              </w:rPr>
              <w:t>；</w:t>
            </w:r>
          </w:p>
          <w:p>
            <w:pPr>
              <w:pStyle w:val="null3"/>
              <w:ind w:firstLine="638"/>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在话务系统网络中配置防火墙、网络安全软件、</w:t>
            </w:r>
            <w:r>
              <w:rPr>
                <w:rFonts w:ascii="仿宋_GB2312" w:hAnsi="仿宋_GB2312" w:cs="仿宋_GB2312" w:eastAsia="仿宋_GB2312"/>
                <w:sz w:val="24"/>
              </w:rPr>
              <w:t>WAF、EDR等域名访问安全保障及G01暴力访问监测，实时监控整个网络的运行状态。同时会进行日常安全检测，包括月度漏洞扫描、渗透测试，以及不定期红蓝对抗演练，保证网络安全可靠运行</w:t>
            </w:r>
            <w:r>
              <w:rPr>
                <w:rFonts w:ascii="仿宋_GB2312" w:hAnsi="仿宋_GB2312" w:cs="仿宋_GB2312" w:eastAsia="仿宋_GB2312"/>
                <w:sz w:val="24"/>
              </w:rPr>
              <w:t>；</w:t>
            </w:r>
          </w:p>
          <w:p>
            <w:pPr>
              <w:pStyle w:val="null3"/>
              <w:ind w:firstLine="638"/>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系统采用模块化及扁平化设计，各模块之间采用标准化、归一化的接口，可配置性及可维护性强。用户管理方面采用</w:t>
            </w:r>
            <w:r>
              <w:rPr>
                <w:rFonts w:ascii="仿宋_GB2312" w:hAnsi="仿宋_GB2312" w:cs="仿宋_GB2312" w:eastAsia="仿宋_GB2312"/>
                <w:sz w:val="24"/>
              </w:rPr>
              <w:t>SaaS方式，</w:t>
            </w:r>
            <w:r>
              <w:rPr>
                <w:rFonts w:ascii="仿宋_GB2312" w:hAnsi="仿宋_GB2312" w:cs="仿宋_GB2312" w:eastAsia="仿宋_GB2312"/>
                <w:sz w:val="24"/>
              </w:rPr>
              <w:t>满足</w:t>
            </w:r>
            <w:r>
              <w:rPr>
                <w:rFonts w:ascii="仿宋_GB2312" w:hAnsi="仿宋_GB2312" w:cs="仿宋_GB2312" w:eastAsia="仿宋_GB2312"/>
                <w:sz w:val="24"/>
              </w:rPr>
              <w:t>便捷的远程管理维护能力</w:t>
            </w:r>
            <w:r>
              <w:rPr>
                <w:rFonts w:ascii="仿宋_GB2312" w:hAnsi="仿宋_GB2312" w:cs="仿宋_GB2312" w:eastAsia="仿宋_GB2312"/>
                <w:sz w:val="24"/>
              </w:rPr>
              <w:t>；</w:t>
            </w:r>
          </w:p>
          <w:p>
            <w:pPr>
              <w:pStyle w:val="null3"/>
              <w:ind w:firstLine="638"/>
              <w:jc w:val="both"/>
            </w:pPr>
            <w:r>
              <w:rPr>
                <w:rFonts w:ascii="仿宋_GB2312" w:hAnsi="仿宋_GB2312" w:cs="仿宋_GB2312" w:eastAsia="仿宋_GB2312"/>
                <w:sz w:val="24"/>
              </w:rPr>
              <w:t>（</w:t>
            </w:r>
            <w:r>
              <w:rPr>
                <w:rFonts w:ascii="仿宋_GB2312" w:hAnsi="仿宋_GB2312" w:cs="仿宋_GB2312" w:eastAsia="仿宋_GB2312"/>
                <w:sz w:val="24"/>
              </w:rPr>
              <w:t>6）用户</w:t>
            </w:r>
            <w:r>
              <w:rPr>
                <w:rFonts w:ascii="仿宋_GB2312" w:hAnsi="仿宋_GB2312" w:cs="仿宋_GB2312" w:eastAsia="仿宋_GB2312"/>
                <w:sz w:val="24"/>
              </w:rPr>
              <w:t>管理方</w:t>
            </w:r>
            <w:r>
              <w:rPr>
                <w:rFonts w:ascii="仿宋_GB2312" w:hAnsi="仿宋_GB2312" w:cs="仿宋_GB2312" w:eastAsia="仿宋_GB2312"/>
                <w:sz w:val="24"/>
              </w:rPr>
              <w:t>要求</w:t>
            </w:r>
            <w:r>
              <w:rPr>
                <w:rFonts w:ascii="仿宋_GB2312" w:hAnsi="仿宋_GB2312" w:cs="仿宋_GB2312" w:eastAsia="仿宋_GB2312"/>
                <w:sz w:val="24"/>
              </w:rPr>
              <w:t>友好的人机交互界面，可通过此界面进行业务管理、数据管理和故障诊断等</w:t>
            </w:r>
            <w:r>
              <w:rPr>
                <w:rFonts w:ascii="仿宋_GB2312" w:hAnsi="仿宋_GB2312" w:cs="仿宋_GB2312" w:eastAsia="仿宋_GB2312"/>
                <w:sz w:val="24"/>
              </w:rPr>
              <w:t>；</w:t>
            </w:r>
          </w:p>
          <w:p>
            <w:pPr>
              <w:pStyle w:val="null3"/>
              <w:ind w:firstLine="638"/>
              <w:jc w:val="both"/>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具有完善的告警及日志记录机制，可以记录所有的告警消息，并能够按照故障的严重程度分类，查询告警记录</w:t>
            </w:r>
            <w:r>
              <w:rPr>
                <w:rFonts w:ascii="仿宋_GB2312" w:hAnsi="仿宋_GB2312" w:cs="仿宋_GB2312" w:eastAsia="仿宋_GB2312"/>
                <w:sz w:val="24"/>
              </w:rPr>
              <w:t>；</w:t>
            </w:r>
          </w:p>
          <w:p>
            <w:pPr>
              <w:pStyle w:val="null3"/>
              <w:ind w:firstLine="638"/>
              <w:jc w:val="both"/>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具有完整的系统文档资料，为维护团队管理及维护提供可靠的依据</w:t>
            </w:r>
            <w:r>
              <w:rPr>
                <w:rFonts w:ascii="仿宋_GB2312" w:hAnsi="仿宋_GB2312" w:cs="仿宋_GB2312" w:eastAsia="仿宋_GB2312"/>
                <w:sz w:val="24"/>
              </w:rPr>
              <w:t>；</w:t>
            </w:r>
          </w:p>
          <w:p>
            <w:pPr>
              <w:pStyle w:val="null3"/>
              <w:ind w:firstLine="638"/>
              <w:jc w:val="both"/>
            </w:pP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根据业务需要，可提供灵活的坐席</w:t>
            </w:r>
            <w:r>
              <w:rPr>
                <w:rFonts w:ascii="仿宋_GB2312" w:hAnsi="仿宋_GB2312" w:cs="仿宋_GB2312" w:eastAsia="仿宋_GB2312"/>
                <w:sz w:val="24"/>
              </w:rPr>
              <w:t>/话务并发扩容、号码池管理以及接口对接</w:t>
            </w:r>
            <w:r>
              <w:rPr>
                <w:rFonts w:ascii="仿宋_GB2312" w:hAnsi="仿宋_GB2312" w:cs="仿宋_GB2312" w:eastAsia="仿宋_GB2312"/>
                <w:sz w:val="24"/>
              </w:rPr>
              <w:t>；</w:t>
            </w:r>
          </w:p>
          <w:p>
            <w:pPr>
              <w:pStyle w:val="null3"/>
              <w:ind w:firstLine="638"/>
              <w:jc w:val="both"/>
            </w:pPr>
            <w:r>
              <w:rPr>
                <w:rFonts w:ascii="仿宋_GB2312" w:hAnsi="仿宋_GB2312" w:cs="仿宋_GB2312" w:eastAsia="仿宋_GB2312"/>
                <w:sz w:val="24"/>
              </w:rPr>
              <w:t>并满足</w:t>
            </w:r>
            <w:r>
              <w:rPr>
                <w:rFonts w:ascii="仿宋_GB2312" w:hAnsi="仿宋_GB2312" w:cs="仿宋_GB2312" w:eastAsia="仿宋_GB2312"/>
                <w:sz w:val="24"/>
              </w:rPr>
              <w:t>全模块化设计，可以根据实际需要扩展系统功能模块，满足平台规模和功能的扩容</w:t>
            </w:r>
            <w:r>
              <w:rPr>
                <w:rFonts w:ascii="仿宋_GB2312" w:hAnsi="仿宋_GB2312" w:cs="仿宋_GB2312" w:eastAsia="仿宋_GB2312"/>
                <w:sz w:val="24"/>
              </w:rPr>
              <w:t>；</w:t>
            </w:r>
          </w:p>
          <w:p>
            <w:pPr>
              <w:pStyle w:val="null3"/>
              <w:ind w:firstLine="638"/>
              <w:jc w:val="both"/>
            </w:pP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采用国际标准通讯协议、编码格式和接口标准，提供基于平台的二次开发工具和对外接口，可方便的与第三方系统实现对接</w:t>
            </w:r>
            <w:r>
              <w:rPr>
                <w:rFonts w:ascii="仿宋_GB2312" w:hAnsi="仿宋_GB2312" w:cs="仿宋_GB2312" w:eastAsia="仿宋_GB2312"/>
                <w:sz w:val="24"/>
              </w:rPr>
              <w:t>；</w:t>
            </w:r>
          </w:p>
          <w:p>
            <w:pPr>
              <w:pStyle w:val="null3"/>
              <w:ind w:firstLine="638"/>
              <w:jc w:val="both"/>
            </w:pPr>
            <w:r>
              <w:rPr>
                <w:rFonts w:ascii="仿宋_GB2312" w:hAnsi="仿宋_GB2312" w:cs="仿宋_GB2312" w:eastAsia="仿宋_GB2312"/>
                <w:sz w:val="24"/>
              </w:rPr>
              <w:t>（</w:t>
            </w:r>
            <w:r>
              <w:rPr>
                <w:rFonts w:ascii="仿宋_GB2312" w:hAnsi="仿宋_GB2312" w:cs="仿宋_GB2312" w:eastAsia="仿宋_GB2312"/>
                <w:sz w:val="24"/>
              </w:rPr>
              <w:t>11</w:t>
            </w:r>
            <w:r>
              <w:rPr>
                <w:rFonts w:ascii="仿宋_GB2312" w:hAnsi="仿宋_GB2312" w:cs="仿宋_GB2312" w:eastAsia="仿宋_GB2312"/>
                <w:sz w:val="24"/>
              </w:rPr>
              <w:t>）</w:t>
            </w:r>
            <w:r>
              <w:rPr>
                <w:rFonts w:ascii="仿宋_GB2312" w:hAnsi="仿宋_GB2312" w:cs="仿宋_GB2312" w:eastAsia="仿宋_GB2312"/>
                <w:sz w:val="24"/>
              </w:rPr>
              <w:t>提供丰富的呼转策略配置、多模式自动外呼、智能统一排队路由以及完善的管理、监控、统计和分析功能，实现全方位、全通道客户服务</w:t>
            </w:r>
            <w:r>
              <w:rPr>
                <w:rFonts w:ascii="仿宋_GB2312" w:hAnsi="仿宋_GB2312" w:cs="仿宋_GB2312" w:eastAsia="仿宋_GB2312"/>
                <w:sz w:val="24"/>
              </w:rPr>
              <w:t>；</w:t>
            </w:r>
          </w:p>
          <w:p>
            <w:pPr>
              <w:pStyle w:val="null3"/>
              <w:ind w:firstLine="638"/>
              <w:jc w:val="both"/>
            </w:pPr>
            <w:r>
              <w:rPr>
                <w:rFonts w:ascii="仿宋_GB2312" w:hAnsi="仿宋_GB2312" w:cs="仿宋_GB2312" w:eastAsia="仿宋_GB2312"/>
                <w:sz w:val="24"/>
              </w:rPr>
              <w:t>（</w:t>
            </w:r>
            <w:r>
              <w:rPr>
                <w:rFonts w:ascii="仿宋_GB2312" w:hAnsi="仿宋_GB2312" w:cs="仿宋_GB2312" w:eastAsia="仿宋_GB2312"/>
                <w:sz w:val="24"/>
              </w:rPr>
              <w:t>12</w:t>
            </w:r>
            <w:r>
              <w:rPr>
                <w:rFonts w:ascii="仿宋_GB2312" w:hAnsi="仿宋_GB2312" w:cs="仿宋_GB2312" w:eastAsia="仿宋_GB2312"/>
                <w:sz w:val="24"/>
              </w:rPr>
              <w:t>）</w:t>
            </w:r>
            <w:r>
              <w:rPr>
                <w:rFonts w:ascii="仿宋_GB2312" w:hAnsi="仿宋_GB2312" w:cs="仿宋_GB2312" w:eastAsia="仿宋_GB2312"/>
                <w:sz w:val="24"/>
              </w:rPr>
              <w:t>模块化、分布式系统设计，实现冗余互备与负载均衡同时，还支持平滑扩容升级。</w:t>
            </w:r>
          </w:p>
          <w:p>
            <w:pPr>
              <w:pStyle w:val="null3"/>
              <w:ind w:firstLine="855"/>
            </w:pPr>
            <w:r>
              <w:rPr>
                <w:rFonts w:ascii="仿宋_GB2312" w:hAnsi="仿宋_GB2312" w:cs="仿宋_GB2312" w:eastAsia="仿宋_GB2312"/>
                <w:sz w:val="32"/>
                <w:b/>
              </w:rPr>
              <w:t>三、</w:t>
            </w:r>
            <w:r>
              <w:rPr>
                <w:rFonts w:ascii="仿宋_GB2312" w:hAnsi="仿宋_GB2312" w:cs="仿宋_GB2312" w:eastAsia="仿宋_GB2312"/>
                <w:sz w:val="32"/>
                <w:b/>
              </w:rPr>
              <w:t>AI反诈先知系统要求</w:t>
            </w:r>
          </w:p>
          <w:p>
            <w:pPr>
              <w:pStyle w:val="null3"/>
              <w:ind w:firstLine="558"/>
              <w:jc w:val="both"/>
            </w:pPr>
            <w:r>
              <w:rPr>
                <w:rFonts w:ascii="仿宋_GB2312" w:hAnsi="仿宋_GB2312" w:cs="仿宋_GB2312" w:eastAsia="仿宋_GB2312"/>
                <w:sz w:val="21"/>
              </w:rPr>
              <w:t>★</w:t>
            </w:r>
            <w:r>
              <w:rPr>
                <w:rFonts w:ascii="仿宋_GB2312" w:hAnsi="仿宋_GB2312" w:cs="仿宋_GB2312" w:eastAsia="仿宋_GB2312"/>
                <w:sz w:val="24"/>
              </w:rPr>
              <w:t>系统支持采用</w:t>
            </w:r>
            <w:r>
              <w:rPr>
                <w:rFonts w:ascii="仿宋_GB2312" w:hAnsi="仿宋_GB2312" w:cs="仿宋_GB2312" w:eastAsia="仿宋_GB2312"/>
                <w:sz w:val="24"/>
              </w:rPr>
              <w:t>B/S系统架构（须提供相关证明材料，包括但不限于第三方权威机构出具的检测报告、产品截图或厂家产品宣传材料）；</w:t>
            </w:r>
          </w:p>
          <w:p>
            <w:pPr>
              <w:pStyle w:val="null3"/>
              <w:ind w:firstLine="558"/>
              <w:jc w:val="both"/>
            </w:pPr>
            <w:r>
              <w:rPr>
                <w:rFonts w:ascii="仿宋_GB2312" w:hAnsi="仿宋_GB2312" w:cs="仿宋_GB2312" w:eastAsia="仿宋_GB2312"/>
                <w:sz w:val="21"/>
              </w:rPr>
              <w:t>▲</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系统支持银行卡全账户查询批量自动提交；</w:t>
            </w:r>
          </w:p>
          <w:p>
            <w:pPr>
              <w:pStyle w:val="null3"/>
              <w:ind w:firstLine="558"/>
              <w:jc w:val="both"/>
            </w:pPr>
            <w:r>
              <w:rPr>
                <w:rFonts w:ascii="仿宋_GB2312" w:hAnsi="仿宋_GB2312" w:cs="仿宋_GB2312" w:eastAsia="仿宋_GB2312"/>
                <w:sz w:val="21"/>
              </w:rPr>
              <w:t>▲</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系统支持第三方全账户查询批量自动提交；</w:t>
            </w:r>
          </w:p>
          <w:p>
            <w:pPr>
              <w:pStyle w:val="null3"/>
              <w:ind w:firstLine="638"/>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系统支持银行卡信息下载；</w:t>
            </w:r>
          </w:p>
          <w:p>
            <w:pPr>
              <w:pStyle w:val="null3"/>
              <w:ind w:firstLine="638"/>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系统支持银行卡主体查询批量自动提交；</w:t>
            </w:r>
          </w:p>
          <w:p>
            <w:pPr>
              <w:pStyle w:val="null3"/>
              <w:ind w:firstLine="558"/>
              <w:jc w:val="both"/>
            </w:pPr>
            <w:r>
              <w:rPr>
                <w:rFonts w:ascii="仿宋_GB2312" w:hAnsi="仿宋_GB2312" w:cs="仿宋_GB2312" w:eastAsia="仿宋_GB2312"/>
                <w:sz w:val="21"/>
              </w:rPr>
              <w:t>▲</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系统支持第三方主体查询批量自动提交；</w:t>
            </w:r>
          </w:p>
          <w:p>
            <w:pPr>
              <w:pStyle w:val="null3"/>
              <w:ind w:firstLine="638"/>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系统支持第三方资金查询批量自动提交；</w:t>
            </w:r>
          </w:p>
          <w:p>
            <w:pPr>
              <w:pStyle w:val="null3"/>
              <w:ind w:firstLine="638"/>
              <w:jc w:val="both"/>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系统支持银行卡资金查询批量自动提交；</w:t>
            </w:r>
          </w:p>
          <w:p>
            <w:pPr>
              <w:pStyle w:val="null3"/>
              <w:ind w:firstLine="638"/>
              <w:jc w:val="both"/>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系统支持流水号资金查询批量自动提交；</w:t>
            </w:r>
          </w:p>
          <w:p>
            <w:pPr>
              <w:pStyle w:val="null3"/>
              <w:ind w:firstLine="638"/>
              <w:jc w:val="both"/>
            </w:pP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系统支持智能续止：支持自动计算时间完成智能续止，能够实现</w:t>
            </w:r>
            <w:r>
              <w:rPr>
                <w:rFonts w:ascii="仿宋_GB2312" w:hAnsi="仿宋_GB2312" w:cs="仿宋_GB2312" w:eastAsia="仿宋_GB2312"/>
                <w:sz w:val="24"/>
              </w:rPr>
              <w:t>16天的连续性智能止付；</w:t>
            </w:r>
          </w:p>
          <w:p>
            <w:pPr>
              <w:pStyle w:val="null3"/>
              <w:ind w:firstLine="638"/>
              <w:jc w:val="both"/>
            </w:pP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支持权限控制：支持根据单位级别设置权限管理功能，实现高级单位监控能力；</w:t>
            </w:r>
          </w:p>
          <w:p>
            <w:pPr>
              <w:pStyle w:val="null3"/>
              <w:ind w:firstLine="638"/>
              <w:jc w:val="both"/>
            </w:pPr>
            <w:r>
              <w:rPr>
                <w:rFonts w:ascii="仿宋_GB2312" w:hAnsi="仿宋_GB2312" w:cs="仿宋_GB2312" w:eastAsia="仿宋_GB2312"/>
                <w:sz w:val="24"/>
              </w:rPr>
              <w:t>（</w:t>
            </w:r>
            <w:r>
              <w:rPr>
                <w:rFonts w:ascii="仿宋_GB2312" w:hAnsi="仿宋_GB2312" w:cs="仿宋_GB2312" w:eastAsia="仿宋_GB2312"/>
                <w:sz w:val="24"/>
              </w:rPr>
              <w:t>11）</w:t>
            </w:r>
            <w:r>
              <w:rPr>
                <w:rFonts w:ascii="仿宋_GB2312" w:hAnsi="仿宋_GB2312" w:cs="仿宋_GB2312" w:eastAsia="仿宋_GB2312"/>
                <w:sz w:val="24"/>
              </w:rPr>
              <w:t>支持数据库存储：支持实现业务数据属地生成数据库为后期大数据研判提供数据支持；</w:t>
            </w:r>
          </w:p>
          <w:p>
            <w:pPr>
              <w:pStyle w:val="null3"/>
              <w:ind w:firstLine="638"/>
              <w:jc w:val="both"/>
            </w:pPr>
            <w:r>
              <w:rPr>
                <w:rFonts w:ascii="仿宋_GB2312" w:hAnsi="仿宋_GB2312" w:cs="仿宋_GB2312" w:eastAsia="仿宋_GB2312"/>
                <w:sz w:val="24"/>
              </w:rPr>
              <w:t>（</w:t>
            </w:r>
            <w:r>
              <w:rPr>
                <w:rFonts w:ascii="仿宋_GB2312" w:hAnsi="仿宋_GB2312" w:cs="仿宋_GB2312" w:eastAsia="仿宋_GB2312"/>
                <w:sz w:val="24"/>
              </w:rPr>
              <w:t>12）</w:t>
            </w:r>
            <w:r>
              <w:rPr>
                <w:rFonts w:ascii="仿宋_GB2312" w:hAnsi="仿宋_GB2312" w:cs="仿宋_GB2312" w:eastAsia="仿宋_GB2312"/>
                <w:sz w:val="24"/>
              </w:rPr>
              <w:t>系统支持手动编辑未查找到归属银行的止付数据，进行手动干预</w:t>
            </w:r>
            <w:r>
              <w:rPr>
                <w:rFonts w:ascii="仿宋_GB2312" w:hAnsi="仿宋_GB2312" w:cs="仿宋_GB2312" w:eastAsia="仿宋_GB2312"/>
                <w:sz w:val="24"/>
              </w:rPr>
              <w:t>；</w:t>
            </w:r>
          </w:p>
          <w:p>
            <w:pPr>
              <w:pStyle w:val="null3"/>
              <w:ind w:firstLine="558"/>
              <w:jc w:val="both"/>
            </w:pPr>
            <w:r>
              <w:rPr>
                <w:rFonts w:ascii="仿宋_GB2312" w:hAnsi="仿宋_GB2312" w:cs="仿宋_GB2312" w:eastAsia="仿宋_GB2312"/>
                <w:sz w:val="21"/>
              </w:rPr>
              <w:t>★</w:t>
            </w:r>
            <w:r>
              <w:rPr>
                <w:rFonts w:ascii="仿宋_GB2312" w:hAnsi="仿宋_GB2312" w:cs="仿宋_GB2312" w:eastAsia="仿宋_GB2312"/>
                <w:sz w:val="24"/>
              </w:rPr>
              <w:t>（</w:t>
            </w:r>
            <w:r>
              <w:rPr>
                <w:rFonts w:ascii="仿宋_GB2312" w:hAnsi="仿宋_GB2312" w:cs="仿宋_GB2312" w:eastAsia="仿宋_GB2312"/>
                <w:sz w:val="24"/>
              </w:rPr>
              <w:t>13）</w:t>
            </w:r>
            <w:r>
              <w:rPr>
                <w:rFonts w:ascii="仿宋_GB2312" w:hAnsi="仿宋_GB2312" w:cs="仿宋_GB2312" w:eastAsia="仿宋_GB2312"/>
                <w:sz w:val="24"/>
              </w:rPr>
              <w:t>系统能接入省公安厅涉案资金止付平台（须提供相关证明材料，包括但不限于第三方权威机构出具的检测报告、产品截图或厂家产品宣传材料）；</w:t>
            </w:r>
          </w:p>
          <w:p>
            <w:pPr>
              <w:pStyle w:val="null3"/>
              <w:ind w:firstLine="638"/>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14）</w:t>
            </w:r>
            <w:r>
              <w:rPr>
                <w:rFonts w:ascii="仿宋_GB2312" w:hAnsi="仿宋_GB2312" w:cs="仿宋_GB2312" w:eastAsia="仿宋_GB2312"/>
                <w:sz w:val="24"/>
              </w:rPr>
              <w:t>全量止付可对接机构：银行、机构管理，可对接</w:t>
            </w:r>
            <w:r>
              <w:rPr>
                <w:rFonts w:ascii="仿宋_GB2312" w:hAnsi="仿宋_GB2312" w:cs="仿宋_GB2312" w:eastAsia="仿宋_GB2312"/>
                <w:sz w:val="24"/>
              </w:rPr>
              <w:t>3745家银行，支持客户根据需求对需要的银行进行手动选择，可对接269家三方机构。</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以最终签订的合同为准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进度款，项目验收合格后，达到付款条件起30个工作日内，支付合同总金额的100.0%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以最终签订的合同为准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详见采购需求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供应商资质证明文件.docx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其他符合性审查</w:t>
            </w:r>
          </w:p>
        </w:tc>
        <w:tc>
          <w:tcPr>
            <w:tcW w:type="dxa" w:w="3322"/>
          </w:tcPr>
          <w:p>
            <w:pPr>
              <w:pStyle w:val="null3"/>
            </w:pPr>
            <w:r>
              <w:rPr>
                <w:rFonts w:ascii="仿宋_GB2312" w:hAnsi="仿宋_GB2312" w:cs="仿宋_GB2312" w:eastAsia="仿宋_GB2312"/>
              </w:rPr>
              <w:t>1、提供的资格证明文件是否符合国家法律法规和磋商文件的要求，并且齐全、真实、有效； 2、响应文件是否按照磋商文件要求的格式编写； 3、响应内容是否有重大缺漏项； 4、投标报价是否具有唯一性； 5、响应文件的签署、加盖印章是否合格、有效； 6、投标报价是否未超过采购预算； 7、响应文件是否响应了磋商文件要 求的全部条款、条件和规格要求，并且提供了支持文件，没有重大偏离。</w:t>
            </w:r>
          </w:p>
        </w:tc>
        <w:tc>
          <w:tcPr>
            <w:tcW w:type="dxa" w:w="1661"/>
          </w:tcPr>
          <w:p>
            <w:pPr>
              <w:pStyle w:val="null3"/>
            </w:pPr>
            <w:r>
              <w:rPr>
                <w:rFonts w:ascii="仿宋_GB2312" w:hAnsi="仿宋_GB2312" w:cs="仿宋_GB2312" w:eastAsia="仿宋_GB2312"/>
              </w:rPr>
              <w:t>响应文件封面 技术偏离表.docx 法定代表人证明、法人授权书.docx 商务偏离表.docx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针对本服务项目提供总体服务方案： 1、项目整体背景与服务范围理解； 2、项目需求分析及服务内容； 3、项目详细技术方案。 备注：完整提供上述3项内容的得12分；每有一项未提供扣4分，扣完为止；每有一处有缺陷扣1分，扣完为止。 （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根据本项目服务内容，制定应急方案，方案内容包括但不限于： 1.应急预案详述； 2.应急工作流程； 3.应急措施等内容。 备注：完整提供上述3项内容的得9分；每有一项未提供扣3分，扣完为止；每有一处有缺陷扣1分，扣完为止。 （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针对本项目提供售后服务方案： 1、售后服务措施； 2、故障处理流程、故障解决时长； 3、售后服务响应失效承诺。 备注：完整提供上述3项内容的得6分；每有一项未提供扣2分，扣完为止；每有一处有缺陷扣1分，扣完为止。 （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提供可行的技术培训方案，方案内容包括但不限于： 1.培训总体计划； 2.实施培训方式、培训内容等； 3.培训效果考核。 备注：完整提供上述3项内容的得6分；每有一项未提供扣2分，扣完为止；每有一处有缺陷扣1分，扣完为止。 （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保密管理方案</w:t>
            </w:r>
          </w:p>
        </w:tc>
        <w:tc>
          <w:tcPr>
            <w:tcW w:type="dxa" w:w="2492"/>
          </w:tcPr>
          <w:p>
            <w:pPr>
              <w:pStyle w:val="null3"/>
            </w:pPr>
            <w:r>
              <w:rPr>
                <w:rFonts w:ascii="仿宋_GB2312" w:hAnsi="仿宋_GB2312" w:cs="仿宋_GB2312" w:eastAsia="仿宋_GB2312"/>
              </w:rPr>
              <w:t>针对本项目提供保密专项措施方案： 1、信息与数据安全保密管理制度； 2、人员权限管控与保密行为约束； 3、保密风险防范与违规追责管理机制。 备注：完整提供上述3项内容的得6分；每有一项未提供扣2分，扣完为止；每有一处有缺陷扣1分，扣完为止。 （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人员组织方案</w:t>
            </w:r>
          </w:p>
        </w:tc>
        <w:tc>
          <w:tcPr>
            <w:tcW w:type="dxa" w:w="2492"/>
          </w:tcPr>
          <w:p>
            <w:pPr>
              <w:pStyle w:val="null3"/>
            </w:pPr>
            <w:r>
              <w:rPr>
                <w:rFonts w:ascii="仿宋_GB2312" w:hAnsi="仿宋_GB2312" w:cs="仿宋_GB2312" w:eastAsia="仿宋_GB2312"/>
              </w:rPr>
              <w:t>人员配备及管理方案： 1.项目经理1人，具备计算机技术与软件专业技术资格证书（信息系统项目管理）中级及以上得2分； 2.团队人员不少于5人（不含项目经理），要求均具备通讯工程师或相关专业中级及以上职称，完全满足得10分，每少一人扣2分，不满足或未提供不得分。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企业能力</w:t>
            </w:r>
          </w:p>
        </w:tc>
        <w:tc>
          <w:tcPr>
            <w:tcW w:type="dxa" w:w="2492"/>
          </w:tcPr>
          <w:p>
            <w:pPr>
              <w:pStyle w:val="null3"/>
            </w:pPr>
            <w:r>
              <w:rPr>
                <w:rFonts w:ascii="仿宋_GB2312" w:hAnsi="仿宋_GB2312" w:cs="仿宋_GB2312" w:eastAsia="仿宋_GB2312"/>
              </w:rPr>
              <w:t>具备基础电信业务许可证，并提供证明材料。满足得10分，未提供不得分。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技术评审</w:t>
            </w:r>
          </w:p>
        </w:tc>
        <w:tc>
          <w:tcPr>
            <w:tcW w:type="dxa" w:w="2492"/>
          </w:tcPr>
          <w:p>
            <w:pPr>
              <w:pStyle w:val="null3"/>
            </w:pPr>
            <w:r>
              <w:rPr>
                <w:rFonts w:ascii="仿宋_GB2312" w:hAnsi="仿宋_GB2312" w:cs="仿宋_GB2312" w:eastAsia="仿宋_GB2312"/>
              </w:rPr>
              <w:t>所投产品技术参数和功能点要求应完全满足或高于磋商文件技术参数要求，标“▲”有一项不满足扣2分，扣完为止。（赋分以佐证材料提供的技术参数为准，佐证材料包括但不限于第三方权威机构出具的产品检测报告、产品功能截图或产品宣传材料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供应商提供2023年1月1日至今同类项目业绩，每提供一个业绩证明计2分，满分6分。 备注：业绩以合同为依据，时间以签订合同时间为准。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价格最低的磋商报价为评审基准价，其价格分为满分。其他供应商的价格统一按照下列公式计算： 最终磋商报价得分=(评标基准价／磋商报价)×100×价格权重 (因落实政府采购政策进行价格调整的，以调整后的价格计算评标基准价和磋商报价）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详见附件：供应商资质证明文件.docx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详见附件：法定代表人证明、法人授权书.docx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详见附件：合同参考格式.docx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