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版本号：JXZB2026-07-1320260810004</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2026年新城区图书采购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JXZB2026-07-13</w:t>
      </w:r>
      <w:r>
        <w:br/>
      </w:r>
      <w:r>
        <w:br/>
      </w:r>
      <w:r>
        <w:br/>
      </w:r>
    </w:p>
    <w:p>
      <w:pPr>
        <w:pStyle w:val="null3"/>
        <w:jc w:val="center"/>
        <w:outlineLvl w:val="2"/>
      </w:pPr>
      <w:r>
        <w:rPr>
          <w:rFonts w:ascii="仿宋_GB2312" w:hAnsi="仿宋_GB2312" w:cs="仿宋_GB2312" w:eastAsia="仿宋_GB2312"/>
          <w:sz w:val="28"/>
          <w:b/>
        </w:rPr>
        <w:t>西安市新城区文化和旅游体育局</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西安市新城区文化和旅游体育局</w:t>
      </w:r>
      <w:r>
        <w:rPr>
          <w:rFonts w:ascii="仿宋_GB2312" w:hAnsi="仿宋_GB2312" w:cs="仿宋_GB2312" w:eastAsia="仿宋_GB2312"/>
        </w:rPr>
        <w:t>委托，拟对</w:t>
      </w:r>
      <w:r>
        <w:rPr>
          <w:rFonts w:ascii="仿宋_GB2312" w:hAnsi="仿宋_GB2312" w:cs="仿宋_GB2312" w:eastAsia="仿宋_GB2312"/>
        </w:rPr>
        <w:t>2026年新城区图书采购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JXZB2026-07-13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2026年新城区图书采购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本项目拟为西安市新城区图书馆采购2026年度纸质图书一批，所采图书须为正规出版社出版的正版图书。供应商须按采购人要求完成图书编目加工、芯片上架、配送等配套服务。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采购包1（采购包一）：属于专门面向中小企业采购。</w:t>
      </w:r>
    </w:p>
    <w:p>
      <w:pPr>
        <w:pStyle w:val="null3"/>
      </w:pPr>
      <w:r>
        <w:rPr>
          <w:rFonts w:ascii="仿宋_GB2312" w:hAnsi="仿宋_GB2312" w:cs="仿宋_GB2312" w:eastAsia="仿宋_GB2312"/>
        </w:rPr>
        <w:t>采购包2（采购包二）：属于专门面向中小企业采购。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企业法人提供营业执照、组织机构代码证、税务登记证(或统一社会信用代码的营业执照);事业法人应提供事业单位法人证;其他组织应提供合法证明文件</w:t>
      </w:r>
    </w:p>
    <w:p>
      <w:pPr>
        <w:pStyle w:val="null3"/>
      </w:pPr>
      <w:r>
        <w:rPr>
          <w:rFonts w:ascii="仿宋_GB2312" w:hAnsi="仿宋_GB2312" w:cs="仿宋_GB2312" w:eastAsia="仿宋_GB2312"/>
        </w:rPr>
        <w:t>2、授权委托书：提供法定代表人授权书及被授权人身份证原件(法定代表人真接参加投标，须提供法定代表人身份证明及 身份证原件)</w:t>
      </w:r>
    </w:p>
    <w:p>
      <w:pPr>
        <w:pStyle w:val="null3"/>
      </w:pPr>
      <w:r>
        <w:rPr>
          <w:rFonts w:ascii="仿宋_GB2312" w:hAnsi="仿宋_GB2312" w:cs="仿宋_GB2312" w:eastAsia="仿宋_GB2312"/>
        </w:rPr>
        <w:t>3、财务报告：须提供经会计事务所或审计机构出具的2024年或2025年完整的财务审计报告(注:带二维码清晰可查验:提供的财务审计报告慧在注册会计师行业统一监管平台(http://acc.mof.8oy.cn/)可查询并提供网站查询戴图)公司成立不足一年的提供成立以来的财务报表:至少包括资产负债表、利润表、现金流量表或开标前三个月内基本账户银行出具的资信证明(资信证明的开具内容至少包舍主体信息、资信状况和证明说明)及基本账户开户许可证(或开户行基本信息》。事业单位或其他机构只费提供本单位相关财务报表(至少包括资产负债表、利润表、现金流量表)</w:t>
      </w:r>
    </w:p>
    <w:p>
      <w:pPr>
        <w:pStyle w:val="null3"/>
      </w:pPr>
      <w:r>
        <w:rPr>
          <w:rFonts w:ascii="仿宋_GB2312" w:hAnsi="仿宋_GB2312" w:cs="仿宋_GB2312" w:eastAsia="仿宋_GB2312"/>
        </w:rPr>
        <w:t>4、出版物经营许可证：供应商须具备合法有效的《出版物经营许可证》</w:t>
      </w:r>
    </w:p>
    <w:p>
      <w:pPr>
        <w:pStyle w:val="null3"/>
      </w:pPr>
      <w:r>
        <w:rPr>
          <w:rFonts w:ascii="仿宋_GB2312" w:hAnsi="仿宋_GB2312" w:cs="仿宋_GB2312" w:eastAsia="仿宋_GB2312"/>
        </w:rPr>
        <w:t>5、纳税证明：提供2025年7月至今任意一个月的纳税证明或完税证明(任意税种)，依法免税的单位应提供相关证明材料</w:t>
      </w:r>
    </w:p>
    <w:p>
      <w:pPr>
        <w:pStyle w:val="null3"/>
      </w:pPr>
      <w:r>
        <w:rPr>
          <w:rFonts w:ascii="仿宋_GB2312" w:hAnsi="仿宋_GB2312" w:cs="仿宋_GB2312" w:eastAsia="仿宋_GB2312"/>
        </w:rPr>
        <w:t>6、社保缴纳证明：提供2025年7月至今任意一个月的社会保障资金缴存单据或社保机构开具的社会保险参保激费情况证明，依法不需要激纳社会保障资金的单位应提供相关证明材料</w:t>
      </w:r>
    </w:p>
    <w:p>
      <w:pPr>
        <w:pStyle w:val="null3"/>
      </w:pPr>
      <w:r>
        <w:rPr>
          <w:rFonts w:ascii="仿宋_GB2312" w:hAnsi="仿宋_GB2312" w:cs="仿宋_GB2312" w:eastAsia="仿宋_GB2312"/>
        </w:rPr>
        <w:t>7、企业信用：供应商未被“信用中国”网站列入"重大税收违法失信主体名单”;未被“中国执行信息公开网”列入“失信被执行人”;未被“中国政府采购网”网站列入“政府采购严重违法失信行为记录名单”:来被“国家企业信用信息公示系统”网站“列入严重违法失信名单(黑名单)信息”</w:t>
      </w:r>
    </w:p>
    <w:p>
      <w:pPr>
        <w:pStyle w:val="null3"/>
      </w:pPr>
      <w:r>
        <w:rPr>
          <w:rFonts w:ascii="仿宋_GB2312" w:hAnsi="仿宋_GB2312" w:cs="仿宋_GB2312" w:eastAsia="仿宋_GB2312"/>
        </w:rPr>
        <w:t>8、书面声明：参加本次政府采购活动前三年内在经营活动中没有重大违纪的书面声明</w:t>
      </w:r>
    </w:p>
    <w:p>
      <w:pPr>
        <w:pStyle w:val="null3"/>
      </w:pPr>
      <w:r>
        <w:rPr>
          <w:rFonts w:ascii="仿宋_GB2312" w:hAnsi="仿宋_GB2312" w:cs="仿宋_GB2312" w:eastAsia="仿宋_GB2312"/>
        </w:rPr>
        <w:t>9、承诺：提供具有履行合同所必需的设备和专业技术能力的承诺</w:t>
      </w:r>
    </w:p>
    <w:p>
      <w:pPr>
        <w:pStyle w:val="null3"/>
      </w:pPr>
      <w:r>
        <w:rPr>
          <w:rFonts w:ascii="仿宋_GB2312" w:hAnsi="仿宋_GB2312" w:cs="仿宋_GB2312" w:eastAsia="仿宋_GB2312"/>
        </w:rPr>
        <w:t>10、控股关系：单位负责人为同一人或者存在真接控股，管理关系的不同找标人，不得参加同一合同项下的政府采购活动</w:t>
      </w:r>
    </w:p>
    <w:p>
      <w:pPr>
        <w:pStyle w:val="null3"/>
      </w:pPr>
      <w:r>
        <w:rPr>
          <w:rFonts w:ascii="仿宋_GB2312" w:hAnsi="仿宋_GB2312" w:cs="仿宋_GB2312" w:eastAsia="仿宋_GB2312"/>
        </w:rPr>
        <w:t>11、非联合体：本项目不接受联合体磋商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企业法人提供营业执照、组织机构代码证、税务登记证(或统一社会信用代码的营业执照);事业法人应提供事业单位法人证;其他组织应提供合法证明文件</w:t>
      </w:r>
    </w:p>
    <w:p>
      <w:pPr>
        <w:pStyle w:val="null3"/>
      </w:pPr>
      <w:r>
        <w:rPr>
          <w:rFonts w:ascii="仿宋_GB2312" w:hAnsi="仿宋_GB2312" w:cs="仿宋_GB2312" w:eastAsia="仿宋_GB2312"/>
        </w:rPr>
        <w:t>2、授权委托书：提供法定代表人授权书及被授权人身份证原件(法定代表人真接参加投标，须提供法定代表人身份证明及 身份证原件)</w:t>
      </w:r>
    </w:p>
    <w:p>
      <w:pPr>
        <w:pStyle w:val="null3"/>
      </w:pPr>
      <w:r>
        <w:rPr>
          <w:rFonts w:ascii="仿宋_GB2312" w:hAnsi="仿宋_GB2312" w:cs="仿宋_GB2312" w:eastAsia="仿宋_GB2312"/>
        </w:rPr>
        <w:t>3、财务报告：须提供经会计事务所或审计机构出具的2024年或2025年完整的财务审计报告(注:带二维码清晰可查验:提供的财务审计报告慧在注册会计师行业统一监管平台(http://acc.mof.8oy.cn/)可查询并提供网站查询戴图)公司成立不足一年的提供成立以来的财务报表:至少包括资产负债表、利润表、现金流量表或开标前三个月内基本账户银行出具的资信证明(资信证明的开具内容至少包舍主体信息、资信状况和证明说明)及基本账户开户许可证(或开户行基本信息》。事业单位或其他机构只费提供本单位相关财务报表(至少包括资产负债表、利润表、现金流量表)</w:t>
      </w:r>
    </w:p>
    <w:p>
      <w:pPr>
        <w:pStyle w:val="null3"/>
      </w:pPr>
      <w:r>
        <w:rPr>
          <w:rFonts w:ascii="仿宋_GB2312" w:hAnsi="仿宋_GB2312" w:cs="仿宋_GB2312" w:eastAsia="仿宋_GB2312"/>
        </w:rPr>
        <w:t>4、出版物经营许可证：供应商须具备合法有效的《出版物经营许可证》</w:t>
      </w:r>
    </w:p>
    <w:p>
      <w:pPr>
        <w:pStyle w:val="null3"/>
      </w:pPr>
      <w:r>
        <w:rPr>
          <w:rFonts w:ascii="仿宋_GB2312" w:hAnsi="仿宋_GB2312" w:cs="仿宋_GB2312" w:eastAsia="仿宋_GB2312"/>
        </w:rPr>
        <w:t>5、纳税证明：提供2025年7月至今任意一个月的纳税证明或完税证明(任意税种)，依法免税的单位应提供相关证明材料</w:t>
      </w:r>
    </w:p>
    <w:p>
      <w:pPr>
        <w:pStyle w:val="null3"/>
      </w:pPr>
      <w:r>
        <w:rPr>
          <w:rFonts w:ascii="仿宋_GB2312" w:hAnsi="仿宋_GB2312" w:cs="仿宋_GB2312" w:eastAsia="仿宋_GB2312"/>
        </w:rPr>
        <w:t>6、社保缴纳证明：提供2025年7月至今任意一个月的社会保障资金缴存单据或社保机构开具的社会保险参保激费情况证明，依法不需要激纳社会保障资金的单位应提供相关证明材料</w:t>
      </w:r>
    </w:p>
    <w:p>
      <w:pPr>
        <w:pStyle w:val="null3"/>
      </w:pPr>
      <w:r>
        <w:rPr>
          <w:rFonts w:ascii="仿宋_GB2312" w:hAnsi="仿宋_GB2312" w:cs="仿宋_GB2312" w:eastAsia="仿宋_GB2312"/>
        </w:rPr>
        <w:t>7、企业信用：供应商未被“信用中国”网站列入"重大税收违法失信主体名单”;未被“中国执行信息公开网”列入“失信被执行人”;未被“中国政府采购网”网站列入“政府采购严重违法失信行为记录名单”:来被“国家企业信用信息公示系统”网站“列入严重违法失信名单(黑名单)信息”</w:t>
      </w:r>
    </w:p>
    <w:p>
      <w:pPr>
        <w:pStyle w:val="null3"/>
      </w:pPr>
      <w:r>
        <w:rPr>
          <w:rFonts w:ascii="仿宋_GB2312" w:hAnsi="仿宋_GB2312" w:cs="仿宋_GB2312" w:eastAsia="仿宋_GB2312"/>
        </w:rPr>
        <w:t>8、书面声明：参加本次政府采购活动前三年内在经营活动中没有重大违纪的书面声明</w:t>
      </w:r>
    </w:p>
    <w:p>
      <w:pPr>
        <w:pStyle w:val="null3"/>
      </w:pPr>
      <w:r>
        <w:rPr>
          <w:rFonts w:ascii="仿宋_GB2312" w:hAnsi="仿宋_GB2312" w:cs="仿宋_GB2312" w:eastAsia="仿宋_GB2312"/>
        </w:rPr>
        <w:t>9、承诺：提供具有履行合同所必需的设备和专业技术能力的承诺</w:t>
      </w:r>
    </w:p>
    <w:p>
      <w:pPr>
        <w:pStyle w:val="null3"/>
      </w:pPr>
      <w:r>
        <w:rPr>
          <w:rFonts w:ascii="仿宋_GB2312" w:hAnsi="仿宋_GB2312" w:cs="仿宋_GB2312" w:eastAsia="仿宋_GB2312"/>
        </w:rPr>
        <w:t>10、控股关系：单位负责人为同一人或者存在真接控股，管理关系的不同找标人，不得参加同一合同项下的政府采购活动</w:t>
      </w:r>
    </w:p>
    <w:p>
      <w:pPr>
        <w:pStyle w:val="null3"/>
      </w:pPr>
      <w:r>
        <w:rPr>
          <w:rFonts w:ascii="仿宋_GB2312" w:hAnsi="仿宋_GB2312" w:cs="仿宋_GB2312" w:eastAsia="仿宋_GB2312"/>
        </w:rPr>
        <w:t>11、非联合体：本项目不接受联合体磋商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西安市新城区文化和旅游体育局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西安市新城区解放路25号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西安市新城去文化和旅游体育局经办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87407045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陕西省西安市碑林区陕西省西安市碑林区南二环路79号广丰国际大厦II区906室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雷芳娟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18802907639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代理服务费收费标准：成交供应商在领取《成交通知书》之前，向采购代理机构一次付清代理服务费。 采购代理服务费的金额依据《招标代理服务收费管理暂行办法》 计价格[2002]1980号文、《国家发展改革委关于降低部分建设项目收费标准规范收费行为等有关问题的通知》 发改价格[2011]534 号文，以中标价为基数,按货物类标准计取代理服务费，不足伍仟元按伍仟元收取。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西安市新城区文化和旅游体育局</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西安市新城区文化和旅游体育局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西安市新城区文化和旅游体育局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详情见合同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联系人：雷芳娟</w:t>
      </w:r>
    </w:p>
    <w:p>
      <w:pPr>
        <w:pStyle w:val="null3"/>
      </w:pPr>
      <w:r>
        <w:rPr>
          <w:rFonts w:ascii="仿宋_GB2312" w:hAnsi="仿宋_GB2312" w:cs="仿宋_GB2312" w:eastAsia="仿宋_GB2312"/>
        </w:rPr>
        <w:t>联系电话：18802907639</w:t>
      </w:r>
    </w:p>
    <w:p>
      <w:pPr>
        <w:pStyle w:val="null3"/>
      </w:pPr>
      <w:r>
        <w:rPr>
          <w:rFonts w:ascii="仿宋_GB2312" w:hAnsi="仿宋_GB2312" w:cs="仿宋_GB2312" w:eastAsia="仿宋_GB2312"/>
        </w:rPr>
        <w:t>地址：陕西省西安市碑林区陕西省西安市碑林区南二环路79号广丰国际大厦东区906室</w:t>
      </w:r>
    </w:p>
    <w:p>
      <w:pPr>
        <w:pStyle w:val="null3"/>
      </w:pPr>
      <w:r>
        <w:rPr>
          <w:rFonts w:ascii="仿宋_GB2312" w:hAnsi="仿宋_GB2312" w:cs="仿宋_GB2312" w:eastAsia="仿宋_GB2312"/>
        </w:rPr>
        <w:t>邮编：710048</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为新城区图书馆配备图书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文学类及综合类图书。采购品类以文学、综合读物为主，数量约6000余本。</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图书须为正版，含编目加工、芯片上架及配送至总分馆等服务。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社会科学类及自然科学类图书。采购品类以社会科学、自然科学类为主，数量约3000余本。</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图书须为正版，含编目加工、芯片上架及配送至总分馆等服务。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标的名称：文学类及综合类图书。采购品类以文学、综合读物为主，数量约6000余本。</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按甲方合同要求的数量、质量、印刷、目录</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标的名称：社会科学类及自然科学类图书。采购品类以社会科学、自然科学类为主，数量约3000余本。</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按甲方合同要求的数量、质量、印刷、目录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初步定于8月30日供货，也可根据实际情况而定。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2026年8月30日，具体根据实际情况</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新城区图书馆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新城区图书馆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进度款，达到甲方要求的质量数量要求后，经甲方验收合格签字确认后付款，达到付款条件起30个工作日内，支付合同总金额的100.0%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进度款，按甲方要求的数量、质量送到指定地点，甲方验收合格，签字确认，达到付款条件起30个工作日内，支付合同总金额的100.0%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按合同约定交货，经甲方确认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详情见合同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详情见合同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详情见合同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详情见合同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详情见合同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1.为保障图书采购的针对性与专业性，本项目招标阶段暂不提供具体采购书单。 2.履约流程：中标后，中标供应商须严格按照甲方实际下达的采购需求（包括但不限于图书类别、受众群体、数量预算等），在甲方要求时间内提供详细书单供甲方审核。书单经甲方书面（或邮件）确认无误后，双方签订具体供货确认单，供应商据此进行供货。 3.选书标准与要求：供应商提供的书单须满足以下基本要求：书目结构合理，覆盖核心出版社及畅销/经典书目，无劣质滞销书；图书必须为正版、全新、未拆封，每本图书需提供书名、ISBN、出版社、定价、出版年份等。 4.报价形式：综合折扣。实洋=码洋×综合折扣；综合折扣在合同执行过程中，不得以任何理由变更；所提供的报价是包干价，包括运费、税费、招标代理服务费、售后服务费、图书加工费、相应图书加工材料费及人工费等全部内容。 5.凡因供应商对招标文件阅读不深、理解不透、误解、疏漏、或因市场行情了解不清造成的后果和风险均由供应商自负。 6.本项目各采购包最高限价综合折扣为：采购包1：85%；采购包2：85%；磋商报价不得高于最高限价综合折扣。 7.供应商按合同包号报名及领取招标文件,可参与多个包投标,但最终最多只能中标一个包。磋商小组按照合同包1、合同包2依次开展评审工作。投标人若在前一个包评审中排序第一，其后各包只参与评审，不参加排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具有独立承担民事责任能力的法人、其他组织或自然人，企业法人提供营业执照、组织机构代码证、税务登记证(或统一社会信用代码的营业执照);事业法人应提供事业单位法人证;其他组织应提供合法证明文件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提供法定代表人授权书及被授权人身份证原件(法定代表人真接参加投标，须提供法定代表人身份证明及 身份证原件)</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须提供经会计事务所或审计机构出具的2024年或2025年完整的财务审计报告(注:带二维码清晰可查验:提供的财务审计报告慧在注册会计师行业统一监管平台(http://acc.mof.8oy.cn/)可查询并提供网站查询戴图)公司成立不足一年的提供成立以来的财务报表:至少包括资产负债表、利润表、现金流量表或开标前三个月内基本账户银行出具的资信证明(资信证明的开具内容至少包舍主体信息、资信状况和证明说明)及基本账户开户许可证(或开户行基本信息》。事业单位或其他机构只费提供本单位相关财务报表(至少包括资产负债表、利润表、现金流量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供应商须具备合法有效的《出版物经营许可证》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提供2025年7月至今任意一个月的纳税证明或完税证明(任意税种)，依法免税的单位应提供相关证明材料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提供2025年7月至今任意一个月的社会保障资金缴存单据或社保机构开具的社会保险参保激费情况证明，依法不需要激纳社会保障资金的单位应提供相关证明材料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来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单位负责人为同一人或者存在真接控股，管理关系的不同找标人，不得参加同一合同项下的政府采购活动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具有独立承担民事责任能力的法人、其他组织或自然人，企业法人提供营业执照、组织机构代码证、税务登记证(或统一社会信用代码的营业执照);事业法人应提供事业单位法人证;其他组织应提供合法证明文件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提供法定代表人授权书及被授权人身份证原件(法定代表人真接参加投标，须提供法定代表人身份证明及 身份证原件)</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须提供经会计事务所或审计机构出具的2024年或2025年完整的财务审计报告(注:带二维码清晰可查验:提供的财务审计报告慧在注册会计师行业统一监管平台(http://acc.mof.8oy.cn/)可查询并提供网站查询戴图)公司成立不足一年的提供成立以来的财务报表:至少包括资产负债表、利润表、现金流量表或开标前三个月内基本账户银行出具的资信证明(资信证明的开具内容至少包舍主体信息、资信状况和证明说明)及基本账户开户许可证(或开户行基本信息》。事业单位或其他机构只费提供本单位相关财务报表(至少包括资产负债表、利润表、现金流量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供应商须具备合法有效的《出版物经营许可证》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提供2025年7月至今任意一个月的纳税证明或完税证明(任意税种)，依法免税的单位应提供相关证明材料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提供2025年7月至今任意一个月的社会保障资金缴存单据或社保机构开具的社会保险参保激费情况证明，依法不需要激纳社会保障资金的单位应提供相关证明材料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来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单位负责人为同一人或者存在真接控股，管理关系的不同找标人，不得参加同一合同项下的政府采购活动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磋商响应文件中项目名称、项目编号、包号与本项目一致，无遗漏</w:t>
            </w:r>
          </w:p>
        </w:tc>
        <w:tc>
          <w:tcPr>
            <w:tcW w:type="dxa" w:w="3322"/>
          </w:tcPr>
          <w:p>
            <w:pPr>
              <w:pStyle w:val="null3"/>
            </w:pPr>
            <w:r>
              <w:rPr>
                <w:rFonts w:ascii="仿宋_GB2312" w:hAnsi="仿宋_GB2312" w:cs="仿宋_GB2312" w:eastAsia="仿宋_GB2312"/>
              </w:rPr>
              <w:t>磋商响应文件中项目名称、项目编号、包号与本项目一致，无遗漏</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磋商响应文件签署、盖章及磋商有效期符合磋商文件要求</w:t>
            </w:r>
          </w:p>
        </w:tc>
        <w:tc>
          <w:tcPr>
            <w:tcW w:type="dxa" w:w="3322"/>
          </w:tcPr>
          <w:p>
            <w:pPr>
              <w:pStyle w:val="null3"/>
            </w:pPr>
            <w:r>
              <w:rPr>
                <w:rFonts w:ascii="仿宋_GB2312" w:hAnsi="仿宋_GB2312" w:cs="仿宋_GB2312" w:eastAsia="仿宋_GB2312"/>
              </w:rPr>
              <w:t>磋商响应文件签署、盖章及磋商有效期符合磋商文件要求</w:t>
            </w:r>
          </w:p>
        </w:tc>
        <w:tc>
          <w:tcPr>
            <w:tcW w:type="dxa" w:w="1661"/>
          </w:tcPr>
          <w:p>
            <w:pPr>
              <w:pStyle w:val="null3"/>
            </w:pPr>
            <w:r>
              <w:rPr>
                <w:rFonts w:ascii="仿宋_GB2312" w:hAnsi="仿宋_GB2312" w:cs="仿宋_GB2312" w:eastAsia="仿宋_GB2312"/>
              </w:rPr>
              <w:t>响应函 法定代表人授权书.docx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磋商报价符合唯一性要求</w:t>
            </w:r>
          </w:p>
        </w:tc>
        <w:tc>
          <w:tcPr>
            <w:tcW w:type="dxa" w:w="3322"/>
          </w:tcPr>
          <w:p>
            <w:pPr>
              <w:pStyle w:val="null3"/>
            </w:pPr>
            <w:r>
              <w:rPr>
                <w:rFonts w:ascii="仿宋_GB2312" w:hAnsi="仿宋_GB2312" w:cs="仿宋_GB2312" w:eastAsia="仿宋_GB2312"/>
              </w:rPr>
              <w:t>磋商报价符合唯一性要求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磋商内容未出现漏项或数量与要求不符</w:t>
            </w:r>
          </w:p>
        </w:tc>
        <w:tc>
          <w:tcPr>
            <w:tcW w:type="dxa" w:w="3322"/>
          </w:tcPr>
          <w:p>
            <w:pPr>
              <w:pStyle w:val="null3"/>
            </w:pPr>
            <w:r>
              <w:rPr>
                <w:rFonts w:ascii="仿宋_GB2312" w:hAnsi="仿宋_GB2312" w:cs="仿宋_GB2312" w:eastAsia="仿宋_GB2312"/>
              </w:rPr>
              <w:t>磋商内容未出现漏项或数量与要求不符</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磋商报价未超出采购预算或采购最高限价的</w:t>
            </w:r>
          </w:p>
        </w:tc>
        <w:tc>
          <w:tcPr>
            <w:tcW w:type="dxa" w:w="3322"/>
          </w:tcPr>
          <w:p>
            <w:pPr>
              <w:pStyle w:val="null3"/>
            </w:pPr>
            <w:r>
              <w:rPr>
                <w:rFonts w:ascii="仿宋_GB2312" w:hAnsi="仿宋_GB2312" w:cs="仿宋_GB2312" w:eastAsia="仿宋_GB2312"/>
              </w:rPr>
              <w:t>磋商报价未超出采购预算或采购最高限价的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无效磋商检查</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磋商响应文件中项目名称、项目编号、包号与本项目一致，无遗漏</w:t>
            </w:r>
          </w:p>
        </w:tc>
        <w:tc>
          <w:tcPr>
            <w:tcW w:type="dxa" w:w="3322"/>
          </w:tcPr>
          <w:p>
            <w:pPr>
              <w:pStyle w:val="null3"/>
            </w:pPr>
            <w:r>
              <w:rPr>
                <w:rFonts w:ascii="仿宋_GB2312" w:hAnsi="仿宋_GB2312" w:cs="仿宋_GB2312" w:eastAsia="仿宋_GB2312"/>
              </w:rPr>
              <w:t>磋商响应文件中项目名称、项目编号、包号与本项目一致，无遗漏</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磋商响应文件签署、盖章及磋商有效期符合磋商文件要求</w:t>
            </w:r>
          </w:p>
        </w:tc>
        <w:tc>
          <w:tcPr>
            <w:tcW w:type="dxa" w:w="3322"/>
          </w:tcPr>
          <w:p>
            <w:pPr>
              <w:pStyle w:val="null3"/>
            </w:pPr>
            <w:r>
              <w:rPr>
                <w:rFonts w:ascii="仿宋_GB2312" w:hAnsi="仿宋_GB2312" w:cs="仿宋_GB2312" w:eastAsia="仿宋_GB2312"/>
              </w:rPr>
              <w:t>磋商响应文件签署、盖章及磋商有效期符合磋商文件要求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磋商报价符合唯一性要求</w:t>
            </w:r>
          </w:p>
        </w:tc>
        <w:tc>
          <w:tcPr>
            <w:tcW w:type="dxa" w:w="3322"/>
          </w:tcPr>
          <w:p>
            <w:pPr>
              <w:pStyle w:val="null3"/>
            </w:pPr>
            <w:r>
              <w:rPr>
                <w:rFonts w:ascii="仿宋_GB2312" w:hAnsi="仿宋_GB2312" w:cs="仿宋_GB2312" w:eastAsia="仿宋_GB2312"/>
              </w:rPr>
              <w:t>磋商报价符合唯一性要求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磋商内容未出现漏项或数量与要求不符</w:t>
            </w:r>
          </w:p>
        </w:tc>
        <w:tc>
          <w:tcPr>
            <w:tcW w:type="dxa" w:w="3322"/>
          </w:tcPr>
          <w:p>
            <w:pPr>
              <w:pStyle w:val="null3"/>
            </w:pPr>
            <w:r>
              <w:rPr>
                <w:rFonts w:ascii="仿宋_GB2312" w:hAnsi="仿宋_GB2312" w:cs="仿宋_GB2312" w:eastAsia="仿宋_GB2312"/>
              </w:rPr>
              <w:t>磋商内容未出现漏项或数量与要求不符</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磋商报价未超出采购预算或采购最高限价的</w:t>
            </w:r>
          </w:p>
        </w:tc>
        <w:tc>
          <w:tcPr>
            <w:tcW w:type="dxa" w:w="3322"/>
          </w:tcPr>
          <w:p>
            <w:pPr>
              <w:pStyle w:val="null3"/>
            </w:pPr>
            <w:r>
              <w:rPr>
                <w:rFonts w:ascii="仿宋_GB2312" w:hAnsi="仿宋_GB2312" w:cs="仿宋_GB2312" w:eastAsia="仿宋_GB2312"/>
              </w:rPr>
              <w:t>磋商报价未超出采购预算或采购最高限价的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无效磋商检查</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制定的供货方案，内容包含①时间计划及保障措施②质量保证措施③换货与退货方案④供货人员组织安排。方案制定内容齐全，各类措施健全，完全满足采购需求并符合本项目实施特点得12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针对本项目制定的图书加工方案，内容包含①加工流程和保障措施、②人员配备。方案制定内容齐全，各类措施健全，完全满足采购需求并符合本项目实施特点得5分；每有一项未提供扣2.5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的实际需求提供售后服务方案，内容包含①总体售后服务方案②售后人员安排③售后服务响应时间。方案制定内容齐全，各类措施健全，完全满足采购需求并符合本项目实施特点得6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评审内容包含：①图书经营品种满足采集供应、②无条件退补、错发、漏发、增订承诺、③承诺出版物为全新的国家批准的正式的最新出版物、无知识产权纠纷，无盗版④到书率及到书周期。 备注：按项核查内容完整性与合规性，每项内容完整、符合项目要求得3分，满分12分；单项内容缺失、不合理、与项目需求不匹配则该项不得分。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评审内容包含:①人员配置、②图书包装方案、③保证图书按时送货、④发货调配方案。 每一项内容全面详细、阐述条理清晰得1.5分，满分6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根据项目实际需求，提供应急方案方案，内容包含①产品运输出现问题时的应急补救措施②产品出现质量问题时的应急补救措施。 方案制定内容齐全，各类措施健全，完全满足采购需求并符合本项目实施特点得4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图书进货渠道证明</w:t>
            </w:r>
          </w:p>
        </w:tc>
        <w:tc>
          <w:tcPr>
            <w:tcW w:type="dxa" w:w="2492"/>
          </w:tcPr>
          <w:p>
            <w:pPr>
              <w:pStyle w:val="null3"/>
            </w:pPr>
            <w:r>
              <w:rPr>
                <w:rFonts w:ascii="仿宋_GB2312" w:hAnsi="仿宋_GB2312" w:cs="仿宋_GB2312" w:eastAsia="仿宋_GB2312"/>
              </w:rPr>
              <w:t>提供技术要求中与出版社的合作证明文件（包括但不限于销售协议或代理协议或有效期内的出版社授权等），每提供1个出版社证明材料计1分，满分15分，相同出版社的只算1份。未提供来源渠道证明文件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供应商提供2023年7月1日至今同类项目业绩（以合同签订时间为准），每提供1个有效业绩得2分，最高得10分。 备注：提供合同复印件加盖供应商公章。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技术标响应方案.docx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满足磋商文件要求且投标价格（综合折扣）最低的投标报价为评标基准价，其价格分为满分30分。其他供应商的价格分统一按照下列公式计算：投标报价得分=（评标基准价/投标报价）×30。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制定的供货方案，内容包含①时间计划及保障措施②质量保证措施③换货与退货方案④供货人员组织安排。方案制定内容齐全，各类措施健全，完全满足采购需求并符合本项目实施特点得12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针对本项目制定的图书加工方案，内容包含①加工流程和保障措施、②人员配备。方案制定内容齐全，各类措施健全，完全满足采购需求并符合本项目实施特点得5分；每有一项未提供扣2.5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的实际需求提供售后服务方案，内容包含①总体售后服务方案②售后人员安排③售后服务响应时间。方案制定内容齐全，各类措施健全，完全满足采购需求并符合本项目实施特点得6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评审内容包含：①图书经营品种满足采集供应、②无条件退补、错发、漏发、增订承诺、③承诺出版物为全新的国家批准的正式的最新出版物、无知识产权纠纷，无盗版④到书率及到书周期。 备注：按项核查内容完整性与合规性，每项内容完整、符合项目要求得3分，满分12分；单项内容缺失、不合理、与项目需求不匹配则该项不得分。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评审内容包含:①人员配置、②图书包装方案、③保证图书按时送货、④发货调配方案。 每一项内容全面详细、阐述条理清晰得1.5分，满分6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根据项目实际需求，提供应急方案方案，内容包含①产品运输出现问题时的应急补救措施②产品出现质量问题时的应急补救措施。 方案制定内容齐全，各类措施健全，完全满足采购需求并符合本项目实施特点得4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图书进货渠道证明</w:t>
            </w:r>
          </w:p>
        </w:tc>
        <w:tc>
          <w:tcPr>
            <w:tcW w:type="dxa" w:w="2492"/>
          </w:tcPr>
          <w:p>
            <w:pPr>
              <w:pStyle w:val="null3"/>
            </w:pPr>
            <w:r>
              <w:rPr>
                <w:rFonts w:ascii="仿宋_GB2312" w:hAnsi="仿宋_GB2312" w:cs="仿宋_GB2312" w:eastAsia="仿宋_GB2312"/>
              </w:rPr>
              <w:t>提供技术要求中与出版社的合作证明文件（包括但不限于销售协议或代理协议或有效期内的出版社授权等），每提供1个出版社证明材料计1分，满分15分，相同出版社的只算1份。未提供来源渠道证明文件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供应商提供2023年7月1日至今同类项目业绩（以合同签订时间为准），每提供1个有效业绩得2分，最高得10分。 备注：提供合同复印件加盖供应商公章。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技术标响应方案.docx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满足磋商文件要求且投标价格（综合折扣）最低的投标报价为评标基准价，其价格分为满分30分。其他供应商的价格分统一按照下列公式计算：投标报价得分=（评标基准价/投标报价）×30。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详见附件：技术标响应方案.docx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详见附件：技术标响应方案.docx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