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D245E">
      <w:pPr>
        <w:pStyle w:val="6"/>
        <w:jc w:val="center"/>
        <w:outlineLvl w:val="2"/>
        <w:rPr>
          <w:rFonts w:hint="default" w:ascii="仿宋_GB2312" w:hAnsi="仿宋_GB2312" w:eastAsia="仿宋_GB2312" w:cs="仿宋_GB2312"/>
          <w:b/>
          <w:sz w:val="52"/>
          <w:szCs w:val="52"/>
        </w:rPr>
      </w:pPr>
    </w:p>
    <w:p w14:paraId="574AA19A">
      <w:pPr>
        <w:pStyle w:val="6"/>
        <w:jc w:val="center"/>
        <w:outlineLvl w:val="2"/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</w:pPr>
      <w:r>
        <w:rPr>
          <w:rFonts w:ascii="仿宋_GB2312" w:hAnsi="仿宋_GB2312" w:eastAsia="仿宋_GB2312" w:cs="仿宋_GB2312"/>
          <w:b/>
          <w:sz w:val="52"/>
          <w:szCs w:val="52"/>
        </w:rPr>
        <w:t>西安市珍稀濒危植物专项调查与监测管护项目</w:t>
      </w:r>
      <w:r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sz w:val="52"/>
          <w:szCs w:val="52"/>
          <w:lang w:val="en-US" w:eastAsia="zh-CN"/>
        </w:rPr>
        <w:t>二次</w:t>
      </w:r>
      <w:r>
        <w:rPr>
          <w:rFonts w:hint="eastAsia" w:ascii="仿宋_GB2312" w:hAnsi="仿宋_GB2312" w:eastAsia="仿宋_GB2312" w:cs="仿宋_GB2312"/>
          <w:b/>
          <w:sz w:val="52"/>
          <w:szCs w:val="52"/>
          <w:lang w:eastAsia="zh-CN"/>
        </w:rPr>
        <w:t>）</w:t>
      </w:r>
    </w:p>
    <w:p w14:paraId="5233F65E">
      <w:pPr>
        <w:keepNext/>
        <w:keepLines/>
        <w:spacing w:after="120" w:line="360" w:lineRule="auto"/>
        <w:jc w:val="center"/>
        <w:outlineLvl w:val="0"/>
        <w:rPr>
          <w:rFonts w:ascii="仿宋" w:hAnsi="仿宋" w:eastAsia="仿宋" w:cs="仿宋"/>
          <w:b/>
          <w:bCs/>
          <w:sz w:val="44"/>
          <w:szCs w:val="44"/>
          <w:lang w:val="zh-TW" w:eastAsia="zh-TW" w:bidi="zh-TW"/>
        </w:rPr>
      </w:pPr>
    </w:p>
    <w:p w14:paraId="3C0B1748">
      <w:pPr>
        <w:keepNext/>
        <w:keepLines/>
        <w:spacing w:after="120" w:line="360" w:lineRule="auto"/>
        <w:jc w:val="center"/>
        <w:outlineLvl w:val="0"/>
        <w:rPr>
          <w:rFonts w:ascii="仿宋" w:hAnsi="仿宋" w:eastAsia="仿宋" w:cs="仿宋"/>
          <w:b/>
          <w:bCs/>
          <w:color w:val="000000"/>
          <w:sz w:val="72"/>
          <w:szCs w:val="72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服</w:t>
      </w:r>
      <w:r>
        <w:rPr>
          <w:rFonts w:hint="eastAsia" w:ascii="仿宋" w:hAnsi="仿宋" w:eastAsia="仿宋" w:cs="仿宋"/>
          <w:b/>
          <w:bCs/>
          <w:sz w:val="72"/>
          <w:szCs w:val="72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务</w:t>
      </w:r>
      <w:r>
        <w:rPr>
          <w:rFonts w:hint="eastAsia" w:ascii="仿宋" w:hAnsi="仿宋" w:eastAsia="仿宋" w:cs="仿宋"/>
          <w:b/>
          <w:bCs/>
          <w:sz w:val="72"/>
          <w:szCs w:val="72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合</w:t>
      </w:r>
      <w:r>
        <w:rPr>
          <w:rFonts w:hint="eastAsia" w:ascii="仿宋" w:hAnsi="仿宋" w:eastAsia="仿宋" w:cs="仿宋"/>
          <w:b/>
          <w:bCs/>
          <w:sz w:val="72"/>
          <w:szCs w:val="72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同</w:t>
      </w:r>
      <w:bookmarkEnd w:id="0"/>
    </w:p>
    <w:p w14:paraId="1030DE67">
      <w:pPr>
        <w:pStyle w:val="3"/>
        <w:jc w:val="center"/>
        <w:rPr>
          <w:rFonts w:eastAsia="仿宋"/>
        </w:rPr>
      </w:pPr>
      <w:r>
        <w:rPr>
          <w:rFonts w:hint="eastAsia" w:eastAsia="仿宋"/>
          <w:lang w:val="zh-TW" w:eastAsia="zh-TW"/>
        </w:rPr>
        <w:t>（</w:t>
      </w:r>
      <w:r>
        <w:rPr>
          <w:rFonts w:hint="eastAsia" w:eastAsia="仿宋"/>
        </w:rPr>
        <w:t>项目</w:t>
      </w:r>
      <w:r>
        <w:rPr>
          <w:rFonts w:hint="eastAsia" w:eastAsia="仿宋"/>
          <w:lang w:val="zh-TW" w:eastAsia="zh-TW"/>
        </w:rPr>
        <w:t>编号：</w:t>
      </w:r>
      <w:r>
        <w:rPr>
          <w:rFonts w:hint="eastAsia" w:eastAsia="仿宋"/>
        </w:rPr>
        <w:t>HYTF-202607060.1B1）</w:t>
      </w:r>
    </w:p>
    <w:p w14:paraId="0580538E">
      <w:pPr>
        <w:pStyle w:val="3"/>
        <w:rPr>
          <w:rFonts w:eastAsia="仿宋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bidi="en-US"/>
        </w:rPr>
        <w:t xml:space="preserve">           </w:t>
      </w:r>
    </w:p>
    <w:p w14:paraId="40337250">
      <w:pPr>
        <w:spacing w:after="460" w:line="360" w:lineRule="auto"/>
        <w:ind w:left="1360" w:firstLine="20"/>
        <w:jc w:val="left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0886F700">
      <w:pPr>
        <w:spacing w:after="460" w:line="360" w:lineRule="auto"/>
        <w:jc w:val="left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1D823FC9">
      <w:pPr>
        <w:spacing w:after="480" w:line="360" w:lineRule="auto"/>
        <w:ind w:left="200" w:firstLine="621" w:firstLineChars="207"/>
        <w:jc w:val="left"/>
        <w:rPr>
          <w:rFonts w:ascii="仿宋" w:hAnsi="仿宋" w:eastAsia="仿宋" w:cs="仿宋"/>
          <w:sz w:val="30"/>
          <w:szCs w:val="30"/>
          <w:lang w:bidi="zh-TW"/>
        </w:rPr>
      </w:pPr>
      <w:bookmarkStart w:id="1" w:name="bookmark4"/>
      <w:bookmarkStart w:id="2" w:name="bookmark3"/>
      <w:bookmarkStart w:id="3" w:name="bookmark5"/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甲方：</w:t>
      </w:r>
    </w:p>
    <w:p w14:paraId="33C5F1EE">
      <w:pPr>
        <w:spacing w:after="480" w:line="360" w:lineRule="auto"/>
        <w:ind w:left="200" w:firstLine="621" w:firstLineChars="207"/>
        <w:jc w:val="left"/>
        <w:rPr>
          <w:rFonts w:ascii="仿宋" w:hAnsi="仿宋" w:eastAsia="仿宋" w:cs="仿宋"/>
          <w:sz w:val="30"/>
          <w:szCs w:val="30"/>
          <w:u w:val="single"/>
          <w:lang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 xml:space="preserve"> </w:t>
      </w:r>
    </w:p>
    <w:p w14:paraId="7AE7E648">
      <w:pPr>
        <w:spacing w:line="360" w:lineRule="auto"/>
        <w:ind w:left="1571" w:leftChars="748" w:firstLine="1776" w:firstLineChars="592"/>
        <w:jc w:val="left"/>
        <w:rPr>
          <w:rFonts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 w:bidi="en-US"/>
        </w:rPr>
        <w:t>2026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 xml:space="preserve">月 </w:t>
      </w:r>
    </w:p>
    <w:p w14:paraId="4FDB5950">
      <w:pPr>
        <w:spacing w:line="360" w:lineRule="auto"/>
        <w:ind w:left="1571" w:leftChars="748" w:firstLine="1776" w:firstLineChars="592"/>
        <w:jc w:val="left"/>
        <w:rPr>
          <w:rFonts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中国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西安</w:t>
      </w:r>
    </w:p>
    <w:p w14:paraId="6285FB28">
      <w:pPr>
        <w:spacing w:line="360" w:lineRule="auto"/>
        <w:jc w:val="left"/>
        <w:rPr>
          <w:rFonts w:ascii="仿宋" w:hAnsi="仿宋" w:eastAsia="仿宋" w:cs="仿宋"/>
          <w:color w:val="000000"/>
          <w:kern w:val="0"/>
          <w:sz w:val="24"/>
          <w:lang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en-US"/>
        </w:rPr>
        <w:br w:type="page"/>
      </w:r>
    </w:p>
    <w:bookmarkEnd w:id="1"/>
    <w:bookmarkEnd w:id="2"/>
    <w:bookmarkEnd w:id="3"/>
    <w:p w14:paraId="392A3EE6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甲方（采购人名称全称）：</w:t>
      </w:r>
    </w:p>
    <w:p w14:paraId="7CB886F5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乙方（供应商名称全称）：</w:t>
      </w:r>
    </w:p>
    <w:p w14:paraId="010AAC6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Hans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西安市珍稀濒危植物专项调查与监测管护项目</w:t>
      </w:r>
      <w:r>
        <w:rPr>
          <w:rFonts w:hint="eastAsia" w:ascii="仿宋" w:hAnsi="仿宋" w:eastAsia="仿宋" w:cs="仿宋"/>
          <w:sz w:val="24"/>
          <w:lang w:eastAsia="zh-CN" w:bidi="zh-TW"/>
        </w:rPr>
        <w:t>（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二次</w:t>
      </w:r>
      <w:bookmarkStart w:id="4" w:name="_GoBack"/>
      <w:bookmarkEnd w:id="4"/>
      <w:r>
        <w:rPr>
          <w:rFonts w:hint="eastAsia" w:ascii="仿宋" w:hAnsi="仿宋" w:eastAsia="仿宋" w:cs="仿宋"/>
          <w:sz w:val="24"/>
          <w:lang w:eastAsia="zh-CN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按照</w:t>
      </w:r>
      <w:r>
        <w:rPr>
          <w:rFonts w:hint="eastAsia" w:ascii="仿宋" w:hAnsi="仿宋" w:eastAsia="仿宋" w:cs="仿宋"/>
          <w:sz w:val="24"/>
          <w:lang w:val="zh-TW" w:eastAsia="zh-Hans" w:bidi="zh-TW"/>
        </w:rPr>
        <w:t>政府采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购程序组织</w:t>
      </w:r>
      <w:r>
        <w:rPr>
          <w:rFonts w:hint="eastAsia" w:ascii="仿宋" w:hAnsi="仿宋" w:eastAsia="仿宋" w:cs="仿宋"/>
          <w:sz w:val="24"/>
          <w:lang w:bidi="zh-TW"/>
        </w:rPr>
        <w:t>公开招标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，确定乙方为</w:t>
      </w:r>
      <w:r>
        <w:rPr>
          <w:rFonts w:hint="eastAsia" w:ascii="仿宋" w:hAnsi="仿宋" w:eastAsia="仿宋" w:cs="仿宋"/>
          <w:sz w:val="24"/>
          <w:lang w:bidi="zh-TW"/>
        </w:rPr>
        <w:t>中标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供应商。依据</w:t>
      </w:r>
      <w:r>
        <w:rPr>
          <w:rFonts w:hint="eastAsia" w:ascii="仿宋" w:hAnsi="仿宋" w:eastAsia="仿宋" w:cs="仿宋"/>
          <w:sz w:val="24"/>
          <w:lang w:val="zh-TW" w:eastAsia="zh-Hans" w:bidi="zh-TW"/>
        </w:rPr>
        <w:t>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中华人民共和国政府</w:t>
      </w:r>
      <w:r>
        <w:rPr>
          <w:rFonts w:hint="eastAsia" w:ascii="仿宋" w:hAnsi="仿宋" w:eastAsia="仿宋" w:cs="仿宋"/>
          <w:sz w:val="24"/>
          <w:lang w:val="zh-TW" w:eastAsia="zh-Hans" w:bidi="zh-TW"/>
        </w:rPr>
        <w:t>采购法》、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《</w:t>
      </w:r>
      <w:r>
        <w:rPr>
          <w:rFonts w:hint="eastAsia" w:ascii="仿宋" w:hAnsi="仿宋" w:eastAsia="仿宋" w:cs="仿宋"/>
          <w:sz w:val="24"/>
          <w:lang w:val="zh-TW" w:eastAsia="zh-Hans" w:bidi="zh-TW"/>
        </w:rPr>
        <w:t>中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华人民共和国民法典》以及</w:t>
      </w:r>
      <w:r>
        <w:rPr>
          <w:rFonts w:hint="eastAsia" w:ascii="仿宋" w:hAnsi="仿宋" w:eastAsia="仿宋" w:cs="仿宋"/>
          <w:sz w:val="24"/>
          <w:lang w:bidi="zh-TW"/>
        </w:rPr>
        <w:t>招标</w:t>
      </w:r>
      <w:r>
        <w:rPr>
          <w:rFonts w:hint="eastAsia" w:ascii="仿宋" w:hAnsi="仿宋" w:eastAsia="仿宋" w:cs="仿宋"/>
          <w:sz w:val="24"/>
          <w:lang w:val="zh-TW" w:eastAsia="zh-Hans" w:bidi="zh-TW"/>
        </w:rPr>
        <w:t>文件、</w:t>
      </w:r>
      <w:r>
        <w:rPr>
          <w:rFonts w:hint="eastAsia" w:ascii="仿宋" w:hAnsi="仿宋" w:eastAsia="仿宋" w:cs="仿宋"/>
          <w:sz w:val="24"/>
          <w:lang w:bidi="zh-TW"/>
        </w:rPr>
        <w:t>中标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通知书，经甲、乙双方协商，达成如下合同条款</w:t>
      </w:r>
      <w:r>
        <w:rPr>
          <w:rFonts w:hint="eastAsia" w:ascii="仿宋" w:hAnsi="仿宋" w:eastAsia="仿宋" w:cs="仿宋"/>
          <w:sz w:val="24"/>
          <w:lang w:val="zh-TW" w:eastAsia="zh-Hans" w:bidi="zh-TW"/>
        </w:rPr>
        <w:t>。</w:t>
      </w:r>
    </w:p>
    <w:p w14:paraId="60D16016">
      <w:pPr>
        <w:spacing w:after="100"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一、合同标的物内容及数量（以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投标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文件正本和澄清表〈函〉为准）</w:t>
      </w:r>
    </w:p>
    <w:tbl>
      <w:tblPr>
        <w:tblStyle w:val="4"/>
        <w:tblW w:w="8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76"/>
        <w:gridCol w:w="1174"/>
        <w:gridCol w:w="1174"/>
        <w:gridCol w:w="1174"/>
        <w:gridCol w:w="1174"/>
        <w:gridCol w:w="848"/>
        <w:gridCol w:w="977"/>
        <w:gridCol w:w="977"/>
      </w:tblGrid>
      <w:tr w14:paraId="197F1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8" w:hRule="exact"/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7B2729F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序号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BFF35C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服务名称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6B6A4AA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服务内容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74B600E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计量单位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6D1170F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服务时间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D6ED57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数量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526ADF7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单价</w:t>
            </w:r>
          </w:p>
          <w:p w14:paraId="75FB66E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（元）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5AC26B6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总价</w:t>
            </w:r>
          </w:p>
          <w:p w14:paraId="25FAFC6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（元）</w:t>
            </w:r>
          </w:p>
        </w:tc>
      </w:tr>
      <w:tr w14:paraId="14C23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4" w:hRule="exact"/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025B05C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1</w:t>
            </w:r>
          </w:p>
        </w:tc>
        <w:tc>
          <w:tcPr>
            <w:tcW w:w="1174" w:type="dxa"/>
            <w:shd w:val="clear" w:color="auto" w:fill="auto"/>
          </w:tcPr>
          <w:p w14:paraId="56F7C0FE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2858C33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24566ECA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6B479EC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48" w:type="dxa"/>
            <w:shd w:val="clear" w:color="auto" w:fill="auto"/>
          </w:tcPr>
          <w:p w14:paraId="297EA75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3DE2868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505A148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7923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4" w:hRule="exact"/>
          <w:jc w:val="center"/>
        </w:trPr>
        <w:tc>
          <w:tcPr>
            <w:tcW w:w="676" w:type="dxa"/>
            <w:shd w:val="clear" w:color="auto" w:fill="auto"/>
            <w:vAlign w:val="bottom"/>
          </w:tcPr>
          <w:p w14:paraId="5C85EE8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2</w:t>
            </w:r>
          </w:p>
        </w:tc>
        <w:tc>
          <w:tcPr>
            <w:tcW w:w="1174" w:type="dxa"/>
            <w:shd w:val="clear" w:color="auto" w:fill="auto"/>
          </w:tcPr>
          <w:p w14:paraId="0A07358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037EA2F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39D94E8D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0E824A39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48" w:type="dxa"/>
            <w:shd w:val="clear" w:color="auto" w:fill="auto"/>
          </w:tcPr>
          <w:p w14:paraId="4E0CEDB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0FE024B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7C769BA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3190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4" w:hRule="exact"/>
          <w:jc w:val="center"/>
        </w:trPr>
        <w:tc>
          <w:tcPr>
            <w:tcW w:w="676" w:type="dxa"/>
            <w:shd w:val="clear" w:color="auto" w:fill="auto"/>
            <w:vAlign w:val="bottom"/>
          </w:tcPr>
          <w:p w14:paraId="6DE6CCA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3</w:t>
            </w:r>
          </w:p>
        </w:tc>
        <w:tc>
          <w:tcPr>
            <w:tcW w:w="1174" w:type="dxa"/>
            <w:shd w:val="clear" w:color="auto" w:fill="auto"/>
          </w:tcPr>
          <w:p w14:paraId="3F5E0AF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7CF757C7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6CE2EEA6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017F7D0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48" w:type="dxa"/>
            <w:shd w:val="clear" w:color="auto" w:fill="auto"/>
          </w:tcPr>
          <w:p w14:paraId="4B578B7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2BD5CE47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14C0642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59FD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" w:hRule="exact"/>
          <w:jc w:val="center"/>
        </w:trPr>
        <w:tc>
          <w:tcPr>
            <w:tcW w:w="676" w:type="dxa"/>
            <w:shd w:val="clear" w:color="auto" w:fill="auto"/>
            <w:vAlign w:val="center"/>
          </w:tcPr>
          <w:p w14:paraId="6A89780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4</w:t>
            </w:r>
          </w:p>
        </w:tc>
        <w:tc>
          <w:tcPr>
            <w:tcW w:w="1174" w:type="dxa"/>
            <w:shd w:val="clear" w:color="auto" w:fill="auto"/>
          </w:tcPr>
          <w:p w14:paraId="48E6FEC4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1DA0015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0EE4D38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6F7E59AE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48" w:type="dxa"/>
            <w:shd w:val="clear" w:color="auto" w:fill="auto"/>
          </w:tcPr>
          <w:p w14:paraId="665A6BD7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5D0A996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4C29D42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9D8B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2" w:hRule="exact"/>
          <w:jc w:val="center"/>
        </w:trPr>
        <w:tc>
          <w:tcPr>
            <w:tcW w:w="676" w:type="dxa"/>
            <w:shd w:val="clear" w:color="auto" w:fill="auto"/>
            <w:vAlign w:val="bottom"/>
          </w:tcPr>
          <w:p w14:paraId="321D533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5</w:t>
            </w:r>
          </w:p>
        </w:tc>
        <w:tc>
          <w:tcPr>
            <w:tcW w:w="1174" w:type="dxa"/>
            <w:shd w:val="clear" w:color="auto" w:fill="auto"/>
          </w:tcPr>
          <w:p w14:paraId="325293C4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6DD68E7B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3A68D1B7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22A0E139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48" w:type="dxa"/>
            <w:shd w:val="clear" w:color="auto" w:fill="auto"/>
          </w:tcPr>
          <w:p w14:paraId="6A3F34CA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646CBF8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4C722AC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47C4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4" w:hRule="exact"/>
          <w:jc w:val="center"/>
        </w:trPr>
        <w:tc>
          <w:tcPr>
            <w:tcW w:w="676" w:type="dxa"/>
            <w:shd w:val="clear" w:color="auto" w:fill="auto"/>
            <w:vAlign w:val="bottom"/>
          </w:tcPr>
          <w:p w14:paraId="6B432D0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6</w:t>
            </w:r>
          </w:p>
        </w:tc>
        <w:tc>
          <w:tcPr>
            <w:tcW w:w="1174" w:type="dxa"/>
            <w:shd w:val="clear" w:color="auto" w:fill="auto"/>
          </w:tcPr>
          <w:p w14:paraId="6225EB8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1074B0E2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40682E4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270B9AE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48" w:type="dxa"/>
            <w:shd w:val="clear" w:color="auto" w:fill="auto"/>
          </w:tcPr>
          <w:p w14:paraId="5198115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1C4A5336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38D376A8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3E4F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" w:hRule="exact"/>
          <w:jc w:val="center"/>
        </w:trPr>
        <w:tc>
          <w:tcPr>
            <w:tcW w:w="676" w:type="dxa"/>
            <w:shd w:val="clear" w:color="auto" w:fill="auto"/>
            <w:vAlign w:val="bottom"/>
          </w:tcPr>
          <w:p w14:paraId="06A6936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7</w:t>
            </w:r>
          </w:p>
        </w:tc>
        <w:tc>
          <w:tcPr>
            <w:tcW w:w="1174" w:type="dxa"/>
            <w:shd w:val="clear" w:color="auto" w:fill="auto"/>
          </w:tcPr>
          <w:p w14:paraId="21C3BD7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27565D7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470E363C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0815A42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48" w:type="dxa"/>
            <w:shd w:val="clear" w:color="auto" w:fill="auto"/>
          </w:tcPr>
          <w:p w14:paraId="7D8A7049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17E2FE77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55DD524D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3FFF2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2" w:hRule="exact"/>
          <w:jc w:val="center"/>
        </w:trPr>
        <w:tc>
          <w:tcPr>
            <w:tcW w:w="676" w:type="dxa"/>
            <w:shd w:val="clear" w:color="auto" w:fill="auto"/>
            <w:vAlign w:val="bottom"/>
          </w:tcPr>
          <w:p w14:paraId="496689B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...</w:t>
            </w:r>
          </w:p>
        </w:tc>
        <w:tc>
          <w:tcPr>
            <w:tcW w:w="1174" w:type="dxa"/>
            <w:shd w:val="clear" w:color="auto" w:fill="auto"/>
          </w:tcPr>
          <w:p w14:paraId="4AA90B0A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0418AC30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1F7994CF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2E1736D4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48" w:type="dxa"/>
            <w:shd w:val="clear" w:color="auto" w:fill="auto"/>
          </w:tcPr>
          <w:p w14:paraId="5EED6D8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375C1D2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76DD1F0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4070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" w:hRule="exact"/>
          <w:jc w:val="center"/>
        </w:trPr>
        <w:tc>
          <w:tcPr>
            <w:tcW w:w="676" w:type="dxa"/>
            <w:shd w:val="clear" w:color="auto" w:fill="auto"/>
            <w:vAlign w:val="bottom"/>
          </w:tcPr>
          <w:p w14:paraId="3BE7E3D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N</w:t>
            </w:r>
          </w:p>
        </w:tc>
        <w:tc>
          <w:tcPr>
            <w:tcW w:w="1174" w:type="dxa"/>
            <w:shd w:val="clear" w:color="auto" w:fill="auto"/>
          </w:tcPr>
          <w:p w14:paraId="32A8C261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123BEA17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693B0BA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174" w:type="dxa"/>
            <w:shd w:val="clear" w:color="auto" w:fill="auto"/>
          </w:tcPr>
          <w:p w14:paraId="338D247D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48" w:type="dxa"/>
            <w:shd w:val="clear" w:color="auto" w:fill="auto"/>
          </w:tcPr>
          <w:p w14:paraId="3CF8D5DE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7AA89D43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77" w:type="dxa"/>
            <w:shd w:val="clear" w:color="auto" w:fill="auto"/>
          </w:tcPr>
          <w:p w14:paraId="7EA3A6C8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3F8D7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4" w:hRule="exact"/>
          <w:jc w:val="center"/>
        </w:trPr>
        <w:tc>
          <w:tcPr>
            <w:tcW w:w="676" w:type="dxa"/>
            <w:shd w:val="clear" w:color="auto" w:fill="auto"/>
            <w:vAlign w:val="bottom"/>
          </w:tcPr>
          <w:p w14:paraId="7B81B1E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合计</w:t>
            </w:r>
          </w:p>
        </w:tc>
        <w:tc>
          <w:tcPr>
            <w:tcW w:w="7498" w:type="dxa"/>
            <w:gridSpan w:val="7"/>
            <w:shd w:val="clear" w:color="auto" w:fill="auto"/>
          </w:tcPr>
          <w:p w14:paraId="3531D915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13B5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1" w:hRule="exact"/>
          <w:jc w:val="center"/>
        </w:trPr>
        <w:tc>
          <w:tcPr>
            <w:tcW w:w="676" w:type="dxa"/>
            <w:shd w:val="clear" w:color="auto" w:fill="auto"/>
          </w:tcPr>
          <w:p w14:paraId="7071959F">
            <w:pPr>
              <w:spacing w:before="120" w:line="360" w:lineRule="auto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备注</w:t>
            </w:r>
          </w:p>
        </w:tc>
        <w:tc>
          <w:tcPr>
            <w:tcW w:w="7498" w:type="dxa"/>
            <w:gridSpan w:val="7"/>
            <w:shd w:val="clear" w:color="auto" w:fill="auto"/>
          </w:tcPr>
          <w:p w14:paraId="55EE6174">
            <w:pPr>
              <w:spacing w:line="360" w:lineRule="auto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</w:tbl>
    <w:p w14:paraId="13BE5B10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（上表仅供参考,应根据项目具体内容修改填写，详细服务内容及明细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标准可附附件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或详见响应文件，需说明清楚）</w:t>
      </w:r>
    </w:p>
    <w:p w14:paraId="6E16AF70">
      <w:pPr>
        <w:spacing w:after="80" w:line="360" w:lineRule="auto"/>
        <w:ind w:firstLine="241" w:firstLineChars="100"/>
        <w:jc w:val="left"/>
        <w:rPr>
          <w:rFonts w:ascii="仿宋" w:hAnsi="仿宋" w:eastAsia="仿宋" w:cs="仿宋"/>
          <w:sz w:val="24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服务条件及内容要求</w:t>
      </w:r>
    </w:p>
    <w:p w14:paraId="32D631C4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TW"/>
        </w:rPr>
        <w:t>（</w:t>
      </w:r>
      <w:r>
        <w:rPr>
          <w:rFonts w:hint="eastAsia" w:ascii="仿宋" w:hAnsi="仿宋" w:eastAsia="仿宋" w:cs="仿宋"/>
          <w:sz w:val="24"/>
        </w:rPr>
        <w:t>一</w:t>
      </w:r>
      <w:r>
        <w:rPr>
          <w:rFonts w:hint="eastAsia" w:ascii="仿宋" w:hAnsi="仿宋" w:eastAsia="仿宋" w:cs="仿宋"/>
          <w:sz w:val="24"/>
          <w:lang w:val="zh-TW"/>
        </w:rPr>
        <w:t>）</w:t>
      </w:r>
      <w:r>
        <w:rPr>
          <w:rFonts w:hint="eastAsia" w:ascii="仿宋" w:hAnsi="仿宋" w:eastAsia="仿宋" w:cs="仿宋"/>
          <w:sz w:val="24"/>
        </w:rPr>
        <w:t xml:space="preserve">服务期限：    </w:t>
      </w:r>
    </w:p>
    <w:p w14:paraId="472AAB02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（二）服务内容：详见采购内容及需求。</w:t>
      </w:r>
    </w:p>
    <w:p w14:paraId="66018238">
      <w:pPr>
        <w:spacing w:line="360" w:lineRule="auto"/>
        <w:ind w:firstLine="241" w:firstLineChars="1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6FEE9F9B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元）。</w:t>
      </w:r>
    </w:p>
    <w:p w14:paraId="4D23B866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2391195E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（三）合同总价不受市场价格变化因素的影响，一次性包死。</w:t>
      </w:r>
    </w:p>
    <w:p w14:paraId="487FB9A0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2630D11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合同款的支付：</w:t>
      </w:r>
    </w:p>
    <w:p w14:paraId="2E049EE7">
      <w:pPr>
        <w:spacing w:line="360" w:lineRule="auto"/>
        <w:ind w:firstLine="480" w:firstLineChars="200"/>
        <w:jc w:val="left"/>
        <w:rPr>
          <w:rFonts w:hint="default" w:ascii="仿宋" w:hAnsi="仿宋" w:eastAsia="仿宋" w:cs="仿宋"/>
          <w:sz w:val="24"/>
          <w:highlight w:val="none"/>
          <w:lang w:eastAsia="zh-CN" w:bidi="zh-TW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1、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合同签订后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，达到付款条件起20个工作日内，支付合同总金额的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0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.0%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。</w:t>
      </w:r>
    </w:p>
    <w:p w14:paraId="26D81EE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lang w:eastAsia="zh-CN" w:bidi="zh-TW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2、2026年12月31日前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，达到付款条件起20个工作日内，支付合同总金额的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1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0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.0%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。</w:t>
      </w:r>
    </w:p>
    <w:p w14:paraId="14D5FD93">
      <w:pPr>
        <w:spacing w:line="360" w:lineRule="auto"/>
        <w:ind w:firstLine="480" w:firstLineChars="200"/>
        <w:jc w:val="left"/>
        <w:rPr>
          <w:rFonts w:hint="default" w:ascii="仿宋" w:hAnsi="仿宋" w:eastAsia="仿宋" w:cs="仿宋"/>
          <w:sz w:val="24"/>
          <w:highlight w:val="none"/>
          <w:lang w:eastAsia="zh-CN" w:bidi="zh-TW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3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服务期满一年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，达到付款条件起20个工作日内，支付合同总金额的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25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.0%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。</w:t>
      </w:r>
    </w:p>
    <w:p w14:paraId="1CAC2C62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lang w:eastAsia="zh-CN" w:bidi="zh-TW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4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服务期满经采购人全部验收合格后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，达到付款条件起20个工作日内，支付合同总金额的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25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.0%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。</w:t>
      </w:r>
    </w:p>
    <w:p w14:paraId="39145686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方式：银行转账。</w:t>
      </w:r>
    </w:p>
    <w:p w14:paraId="093855C4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结算方式：采购人结算，在付款前，必须开具等额发票给采购人。</w:t>
      </w:r>
    </w:p>
    <w:p w14:paraId="470B0EFA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7F31C6DA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甲方的权利和义务</w:t>
      </w:r>
    </w:p>
    <w:p w14:paraId="651EBE9F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4E0D818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2、负责检查监督乙方管理工作的实施及制度的执行情况。</w:t>
      </w:r>
    </w:p>
    <w:p w14:paraId="6C23AB0E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3、根据本合同规定，按时向乙方支付应付服务费用。</w:t>
      </w:r>
    </w:p>
    <w:p w14:paraId="03892C37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4、国家法律、法规所规定由甲方承担的其它责任。</w:t>
      </w:r>
    </w:p>
    <w:p w14:paraId="38B1199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（二）乙方的权利和义务</w:t>
      </w:r>
    </w:p>
    <w:p w14:paraId="070E4CA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1、对本合同规定的委托服务范围内的项目享有管理权及服务义务。</w:t>
      </w:r>
    </w:p>
    <w:p w14:paraId="2FF144E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2、根据本合同的规定向甲方收取相关服务费用，并有权在本项目管理范围内管理及合理使用。</w:t>
      </w:r>
    </w:p>
    <w:p w14:paraId="6136B439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3、及时向甲方通告本项目服务范围内有关服务的重大事项，及时配合处理投诉。</w:t>
      </w:r>
    </w:p>
    <w:p w14:paraId="1B58D2AC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4、在服务过程中接受项目行业管理部门及政府有关部门的指导，接受甲方的监督。</w:t>
      </w:r>
    </w:p>
    <w:p w14:paraId="224CE840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5、国家法律、法规所规定由乙方承担的其它责任。</w:t>
      </w:r>
    </w:p>
    <w:p w14:paraId="1BDDA6B6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6、乙方应按国家技术规范、标准、规程和甲方的需求展开工作。</w:t>
      </w:r>
    </w:p>
    <w:p w14:paraId="22F15048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7、乙方在进行服务过程中，需遵守甲方的规章制度，接受甲方的安排与协调。</w:t>
      </w:r>
    </w:p>
    <w:p w14:paraId="704267BE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8、如因乙方原因导致服务工作无法开展，乙方应承担相应的责任，并采取积极的补救措施。</w:t>
      </w:r>
    </w:p>
    <w:p w14:paraId="6FDC2CF1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9、在服务工作开展过程中，如出现意外事故，由乙方自行承担。</w:t>
      </w:r>
    </w:p>
    <w:p w14:paraId="06B8570F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六、质量保证</w:t>
      </w:r>
    </w:p>
    <w:p w14:paraId="07E6BAB4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乙方所供服务必须执行下列条款：</w:t>
      </w:r>
    </w:p>
    <w:p w14:paraId="1E3D9900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（一）服务方案和方式科学、可行，人员配置合理，全面满足要求。</w:t>
      </w:r>
    </w:p>
    <w:p w14:paraId="22949618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（二）符合国家有关服务规范要求，确保各项服务达到最佳运行效果。</w:t>
      </w:r>
    </w:p>
    <w:p w14:paraId="31C2E8F4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（三）乙方提供的服务，若发生侵权而产生的一切后果，由乙方负责。甲方保留索赔权。</w:t>
      </w:r>
    </w:p>
    <w:p w14:paraId="123BA41E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（四）服务承诺内容：以响应文件承诺为准。</w:t>
      </w:r>
    </w:p>
    <w:p w14:paraId="5CC170E7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七、验收</w:t>
      </w:r>
    </w:p>
    <w:p w14:paraId="1C68D82D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1）初步验收：按照合同规定完成建设内容，由采购人组织验收，通过初验后，对于初验中遗留的问题，做好遗留问题记录并调整。 </w:t>
      </w:r>
    </w:p>
    <w:p w14:paraId="41A45B82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2）档案专项验收条件：通过最终验收，完成所有整改，项目档案移交完成进行档案专项验收。配合采购人对档案问题进行整改。</w:t>
      </w:r>
    </w:p>
    <w:p w14:paraId="31CB4A9F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3）竣工验收条件：通过最终验收及档案专项验收。配合采购人对竣工验收的问题进行整改。</w:t>
      </w:r>
    </w:p>
    <w:p w14:paraId="1D50597D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4）验收依据：</w:t>
      </w:r>
    </w:p>
    <w:p w14:paraId="64ADF8AB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ascii="仿宋" w:hAnsi="仿宋" w:eastAsia="仿宋" w:cs="仿宋"/>
          <w:sz w:val="24"/>
          <w:lang w:bidi="zh-TW"/>
        </w:rPr>
        <w:t>①</w:t>
      </w:r>
      <w:r>
        <w:rPr>
          <w:rFonts w:hint="eastAsia" w:ascii="仿宋" w:hAnsi="仿宋" w:eastAsia="仿宋" w:cs="仿宋"/>
          <w:sz w:val="24"/>
          <w:lang w:bidi="zh-TW"/>
        </w:rPr>
        <w:t>、招标文件、投标文件、澄清表（函）；</w:t>
      </w:r>
    </w:p>
    <w:p w14:paraId="1043BA5A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ascii="仿宋" w:hAnsi="仿宋" w:eastAsia="仿宋" w:cs="仿宋"/>
          <w:sz w:val="24"/>
          <w:lang w:bidi="zh-TW"/>
        </w:rPr>
        <w:t>②</w:t>
      </w:r>
      <w:r>
        <w:rPr>
          <w:rFonts w:hint="eastAsia" w:ascii="仿宋" w:hAnsi="仿宋" w:eastAsia="仿宋" w:cs="仿宋"/>
          <w:sz w:val="24"/>
          <w:lang w:bidi="zh-TW"/>
        </w:rPr>
        <w:t xml:space="preserve">、本合同及附件文本； </w:t>
      </w:r>
    </w:p>
    <w:p w14:paraId="791B2E03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ascii="仿宋" w:hAnsi="仿宋" w:eastAsia="仿宋" w:cs="仿宋"/>
          <w:sz w:val="24"/>
          <w:lang w:bidi="zh-TW"/>
        </w:rPr>
        <w:t>③</w:t>
      </w:r>
      <w:r>
        <w:rPr>
          <w:rFonts w:hint="eastAsia" w:ascii="仿宋" w:hAnsi="仿宋" w:eastAsia="仿宋" w:cs="仿宋"/>
          <w:sz w:val="24"/>
          <w:lang w:bidi="zh-TW"/>
        </w:rPr>
        <w:t>、国家相应的标准、规范。</w:t>
      </w:r>
    </w:p>
    <w:p w14:paraId="2949AF49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、违约责任</w:t>
      </w:r>
    </w:p>
    <w:p w14:paraId="2F4CF605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 （1）按《中华人民共和国民法典》中的相关条款执行。</w:t>
      </w:r>
    </w:p>
    <w:p w14:paraId="73992B24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（2）未按合同要求提供的系统质量不能满足合同技术要求，采购人有权终止合同和对供应商的违约行为进行追究。</w:t>
      </w:r>
    </w:p>
    <w:p w14:paraId="27C49634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（3）中标人未按合同约定的日期完工，每逾期一日，向采购人支付逾期合同款的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 xml:space="preserve"> %的违约金，但不超过合同总金额的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%。中标人支付逾期交付违约金并不免除其交付的责任。</w:t>
      </w:r>
    </w:p>
    <w:p w14:paraId="3514E452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条款</w:t>
      </w:r>
    </w:p>
    <w:p w14:paraId="4ECCB5B4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lang w:bidi="zh-TW"/>
        </w:rPr>
        <w:t>情况，甲方有权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索赔。</w:t>
      </w:r>
    </w:p>
    <w:p w14:paraId="62B4398F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320D11B1">
      <w:pPr>
        <w:spacing w:line="360" w:lineRule="auto"/>
        <w:ind w:firstLine="480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影响本条款的效力。</w:t>
      </w:r>
    </w:p>
    <w:p w14:paraId="7BB55E49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十、争议解决</w:t>
      </w:r>
    </w:p>
    <w:p w14:paraId="415D7774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种方式解决：</w:t>
      </w:r>
    </w:p>
    <w:p w14:paraId="43C2DDB7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1、提交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西安仲裁委员会仲裁；</w:t>
      </w:r>
    </w:p>
    <w:p w14:paraId="56930446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甲方所在地人民法院起诉。</w:t>
      </w:r>
    </w:p>
    <w:p w14:paraId="2F3B43F2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效力。</w:t>
      </w:r>
    </w:p>
    <w:p w14:paraId="55F9FB9A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、合同变更</w:t>
      </w:r>
    </w:p>
    <w:p w14:paraId="033B27E6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lang w:bidi="zh-TW"/>
        </w:rPr>
        <w:t>需求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lang w:bidi="zh-TW"/>
        </w:rPr>
        <w:t>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lang w:bidi="zh-TW"/>
        </w:rPr>
        <w:t>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否则视为违约）。</w:t>
      </w:r>
    </w:p>
    <w:p w14:paraId="7723C1AF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、合同生效</w:t>
      </w:r>
    </w:p>
    <w:p w14:paraId="58354B13">
      <w:pPr>
        <w:spacing w:after="100"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sz w:val="24"/>
          <w:lang w:bidi="zh-TW"/>
        </w:rPr>
        <w:t>双方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签字并盖章后生效，</w:t>
      </w:r>
      <w:r>
        <w:rPr>
          <w:rFonts w:hint="eastAsia" w:ascii="仿宋" w:hAnsi="仿宋" w:eastAsia="仿宋" w:cs="仿宋"/>
          <w:sz w:val="24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失效（合同的服务承诺则长期有效）。</w:t>
      </w:r>
    </w:p>
    <w:p w14:paraId="5BBF26C4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十三、其他事项</w:t>
      </w:r>
    </w:p>
    <w:p w14:paraId="719B8DDA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kern w:val="0"/>
          <w:sz w:val="24"/>
        </w:rPr>
        <w:t>财政局</w:t>
      </w:r>
      <w:r>
        <w:rPr>
          <w:rFonts w:hint="eastAsia" w:ascii="仿宋" w:hAnsi="仿宋" w:eastAsia="仿宋" w:cs="仿宋"/>
          <w:sz w:val="24"/>
          <w:lang w:bidi="zh-TW"/>
        </w:rPr>
        <w:t>在合同的履行期间以及履行期后，可以随时检查项目的执行情况，对采购标准、釆购内容进行调查核实，并对发现的问题进行处理。</w:t>
      </w:r>
    </w:p>
    <w:p w14:paraId="5C056743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招标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文件、</w:t>
      </w:r>
      <w:r>
        <w:rPr>
          <w:rFonts w:hint="eastAsia" w:ascii="仿宋" w:hAnsi="仿宋" w:eastAsia="仿宋" w:cs="仿宋"/>
          <w:sz w:val="24"/>
          <w:lang w:bidi="zh-TW"/>
        </w:rPr>
        <w:t>投标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文件、澄清表（函）、</w:t>
      </w:r>
      <w:r>
        <w:rPr>
          <w:rFonts w:hint="eastAsia" w:ascii="仿宋" w:hAnsi="仿宋" w:eastAsia="仿宋" w:cs="仿宋"/>
          <w:sz w:val="24"/>
          <w:lang w:bidi="zh-TW"/>
        </w:rPr>
        <w:t>中标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3F687B4E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天内书面通知对方，以减轻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09A9E4D6">
      <w:pPr>
        <w:spacing w:line="360" w:lineRule="auto"/>
        <w:ind w:firstLine="480" w:firstLineChars="20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tbl>
      <w:tblPr>
        <w:tblStyle w:val="4"/>
        <w:tblpPr w:leftFromText="181" w:rightFromText="181" w:vertAnchor="text" w:horzAnchor="margin" w:tblpXSpec="center" w:tblpY="24"/>
        <w:tblOverlap w:val="never"/>
        <w:tblW w:w="8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1"/>
        <w:gridCol w:w="3968"/>
      </w:tblGrid>
      <w:tr w14:paraId="7E93C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411" w:type="dxa"/>
          </w:tcPr>
          <w:p w14:paraId="459AE292">
            <w:pPr>
              <w:overflowPunct w:val="0"/>
              <w:topLinePunct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3968" w:type="dxa"/>
          </w:tcPr>
          <w:p w14:paraId="508B3AD0">
            <w:pPr>
              <w:overflowPunct w:val="0"/>
              <w:topLinePunct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00124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411" w:type="dxa"/>
            <w:vAlign w:val="center"/>
          </w:tcPr>
          <w:p w14:paraId="1D2633F6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采购人全称</w:t>
            </w:r>
          </w:p>
          <w:p w14:paraId="3CCB4D2C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3968" w:type="dxa"/>
            <w:vAlign w:val="center"/>
          </w:tcPr>
          <w:p w14:paraId="27B5EBFC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中标供应商全称</w:t>
            </w:r>
          </w:p>
          <w:p w14:paraId="2947CFF0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20B97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4411" w:type="dxa"/>
          </w:tcPr>
          <w:p w14:paraId="0D8F7EE9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3968" w:type="dxa"/>
          </w:tcPr>
          <w:p w14:paraId="17C91EC5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24610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4411" w:type="dxa"/>
          </w:tcPr>
          <w:p w14:paraId="4596373F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3968" w:type="dxa"/>
          </w:tcPr>
          <w:p w14:paraId="68370D6A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6E13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4411" w:type="dxa"/>
          </w:tcPr>
          <w:p w14:paraId="32BF4B81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法定代表人或被授权人（签字或盖章）： </w:t>
            </w:r>
          </w:p>
        </w:tc>
        <w:tc>
          <w:tcPr>
            <w:tcW w:w="3968" w:type="dxa"/>
          </w:tcPr>
          <w:p w14:paraId="22FBE475">
            <w:pPr>
              <w:overflowPunct w:val="0"/>
              <w:topLinePunct/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法定代表人或被授权人（签字或盖章）：</w:t>
            </w:r>
          </w:p>
        </w:tc>
      </w:tr>
      <w:tr w14:paraId="29444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4411" w:type="dxa"/>
          </w:tcPr>
          <w:p w14:paraId="4191FC6E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3968" w:type="dxa"/>
          </w:tcPr>
          <w:p w14:paraId="14FE5569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6C9FD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4411" w:type="dxa"/>
          </w:tcPr>
          <w:p w14:paraId="35C6DB32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3968" w:type="dxa"/>
          </w:tcPr>
          <w:p w14:paraId="566E861E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16E03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411" w:type="dxa"/>
          </w:tcPr>
          <w:p w14:paraId="493FD0FD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3968" w:type="dxa"/>
          </w:tcPr>
          <w:p w14:paraId="55E7CE38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4103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411" w:type="dxa"/>
          </w:tcPr>
          <w:p w14:paraId="48A7CD06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3968" w:type="dxa"/>
          </w:tcPr>
          <w:p w14:paraId="096EA5C3">
            <w:pPr>
              <w:overflowPunct w:val="0"/>
              <w:topLinePunct/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3159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379" w:type="dxa"/>
            <w:gridSpan w:val="2"/>
          </w:tcPr>
          <w:p w14:paraId="43776A82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6FB13FA7">
      <w:pPr>
        <w:pStyle w:val="6"/>
        <w:rPr>
          <w:rFonts w:hint="default"/>
        </w:rPr>
      </w:pPr>
    </w:p>
    <w:p w14:paraId="571BB26A"/>
    <w:p w14:paraId="7CE91940">
      <w:pPr>
        <w:pStyle w:val="6"/>
        <w:rPr>
          <w:rFonts w:hint="default"/>
        </w:rPr>
      </w:pPr>
    </w:p>
    <w:p w14:paraId="6394AB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936C4"/>
    <w:rsid w:val="44B609C8"/>
    <w:rsid w:val="664D59C9"/>
    <w:rsid w:val="6817628E"/>
    <w:rsid w:val="6D3936C4"/>
    <w:rsid w:val="7355410F"/>
    <w:rsid w:val="7B08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line="640" w:lineRule="exact"/>
      <w:ind w:firstLine="645"/>
    </w:pPr>
    <w:rPr>
      <w:rFonts w:ascii="KaiTi_GB2312" w:eastAsia="KaiTi_GB2312"/>
      <w:sz w:val="32"/>
      <w:szCs w:val="3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2572</Words>
  <Characters>2615</Characters>
  <Lines>0</Lines>
  <Paragraphs>0</Paragraphs>
  <TotalTime>1</TotalTime>
  <ScaleCrop>false</ScaleCrop>
  <LinksUpToDate>false</LinksUpToDate>
  <CharactersWithSpaces>2709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2026-07-28T08:21:00Z</dcterms:created>
  <dc:creator>四方衡裕</dc:creator>
  <cp:lastModifiedBy>四方衡裕</cp:lastModifiedBy>
  <dcterms:modified xsi:type="dcterms:W3CDTF">2026-08-19T03:42:37Z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E952A6DFE41644ED9AB0CE69650DB232_11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