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版本号：SXGS2026-ZC-004.1B120260820001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2026年西安商务领域“诚信兴商”系列活动(二次)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SXGS2026-ZC-004.1B1</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陕西亘上项目管理咨询有限公司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陕西亘上项目管理咨询有限公司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2026年西安商务领域“诚信兴商”系列活动(二次)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SXGS2026-ZC-004.1B1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2026年西安商务领域“诚信兴商”系列活动(二次)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落实总书记关于社会信用体系建设的重要指示精神，全面落实国家、省、市关于社会信用体系建设的工作安排，持续推动商务领域信用体系建设高质量发展，进一步弘扬诚信文化，优化营商环境，激发消费活力，根据《中共中央办公厅 国务院办公厅关于推进社会信用体系建设高质量发展促进形成新发展格局的意见》（中办发〔2022〕25号）、《商务信用体系建设三年行动计划（2024-2026年）》（商办建函〔2024〕356号）、商务部等12部门《关于开展2025年“诚信兴商宣传月”活动的通知》（商建函〔2025〕238号）及《商务部办公厅关于开展“信用消费进万家”主题日活动的通知》（商办秩函〔2016〕752号）等文件精神，结合西安市“诚信兴商”系列活动五年来的成功经验，拟开展2026年西安商务领域“诚信兴商”系列活动。按照年度预算安排，采购第三方服务商负责本次活动策划执行服务。 自2021年以来，西安市已连续五年围绕“诚信兴商”主题开展系列活动，累计挖掘培育百余个诚信经营优秀案例，其中3个入选全国典型案例，已成为“信用西安”建设的重要品牌活动。2026年是《商务信用体系建设三年行动计划（2024-2026年）》的收官之年，西安市将持续巩固提升商务领域信用体系建设成果，进一步创新活动形式、丰富活动内涵、扩大活动覆盖面，策划实施一系列务实管用、企业受益的诚信建设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采购包1（2026年西安商务领域“诚信兴商”系列活动）：属于专门面向中小企业采购。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状况报告：提供2025年度的财务审计报告审计报告须具有注册会计师行业统一监管平台(http://acc.mof.gov.cn)赋予的二维码；或其开标前半年内基本存款账户开户银行出具的资信证明（出具基本存款账户信息）；</w:t>
      </w:r>
    </w:p>
    <w:p>
      <w:pPr>
        <w:pStyle w:val="null3"/>
      </w:pPr>
      <w:r>
        <w:rPr>
          <w:rFonts w:ascii="仿宋_GB2312" w:hAnsi="仿宋_GB2312" w:cs="仿宋_GB2312" w:eastAsia="仿宋_GB2312"/>
        </w:rPr>
        <w:t>3、税收缴纳证明：提供响应文件截止时间前一年内任意一个月的纳税证明或完税证明，纳税证明或完税证明上应有税务机关的公章或业务专用章。依法免税的单位应提供相关证明材料；</w:t>
      </w:r>
    </w:p>
    <w:p>
      <w:pPr>
        <w:pStyle w:val="null3"/>
      </w:pPr>
      <w:r>
        <w:rPr>
          <w:rFonts w:ascii="仿宋_GB2312" w:hAnsi="仿宋_GB2312" w:cs="仿宋_GB2312" w:eastAsia="仿宋_GB2312"/>
        </w:rPr>
        <w:t>4、社会保障资金：提供响应文件截止时间前一年内任意一个月的社会保障资金缴存单据或社保机构开具的社会保险参保缴费情况证明，单据或证明上应有社保机构的公章或业务专用章。依法不需要缴纳社会保障资金的单位应提供相关证明材料；</w:t>
      </w:r>
    </w:p>
    <w:p>
      <w:pPr>
        <w:pStyle w:val="null3"/>
      </w:pPr>
      <w:r>
        <w:rPr>
          <w:rFonts w:ascii="仿宋_GB2312" w:hAnsi="仿宋_GB2312" w:cs="仿宋_GB2312" w:eastAsia="仿宋_GB2312"/>
        </w:rPr>
        <w:t>5、身份证明：非法定代表人参加投标时，须提供法定代表人授权委托书（附法定代表人、被授权人身份证复印件）,被授权人身份证及授权代表在投标文件递交截止之日前在投标单位近3个月内任意一个月的社保证明；法定代表人直接参加磋商，须提供法定代表人身份证明；</w:t>
      </w:r>
    </w:p>
    <w:p>
      <w:pPr>
        <w:pStyle w:val="null3"/>
      </w:pPr>
      <w:r>
        <w:rPr>
          <w:rFonts w:ascii="仿宋_GB2312" w:hAnsi="仿宋_GB2312" w:cs="仿宋_GB2312" w:eastAsia="仿宋_GB2312"/>
        </w:rPr>
        <w:t>6、无重大违法记录：提供参加政府采购活动前3年内在经营活动中没有重大违法记录的书面声明（成立时间至提交响应文件截止时间不足三年的可提供成立至今的书面声明）;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7、履约能力承诺：提供具有履行合同所必需的设备和专业技术能力的承诺函；</w:t>
      </w:r>
    </w:p>
    <w:p>
      <w:pPr>
        <w:pStyle w:val="null3"/>
      </w:pPr>
      <w:r>
        <w:rPr>
          <w:rFonts w:ascii="仿宋_GB2312" w:hAnsi="仿宋_GB2312" w:cs="仿宋_GB2312" w:eastAsia="仿宋_GB2312"/>
        </w:rPr>
        <w:t>8、信用中国：供应商不得被列入“中国执行信息公开网”（http://zxgk.court.gov.cn）失信被执行人，不得被列入“信用中国”网站（www.creditchina.gov.cn）重大税收违法失信主体，不得被列入“中国政府采购网”（www.ccgp.gov.cn）政府采购严重违法失信行为记录名单中被财政部门禁止参加政府采购活动；</w:t>
      </w:r>
    </w:p>
    <w:p>
      <w:pPr>
        <w:pStyle w:val="null3"/>
      </w:pPr>
      <w:r>
        <w:rPr>
          <w:rFonts w:ascii="仿宋_GB2312" w:hAnsi="仿宋_GB2312" w:cs="仿宋_GB2312" w:eastAsia="仿宋_GB2312"/>
        </w:rPr>
        <w:t>9、不接受联合体投标：本项目不接受联合体投标，单位负责人为同一人或者存在直接控股、管理关系的不同供应商，不得参加同一合同项下的政府采购活动.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029-67096478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陕西亘上项目管理咨询有限公司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陕西省西安市未央区未央路荣豪大厦12层1222室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029-87363598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办法》（计价格[2002]1980号）国家发展和改革委员会办公厅颁发的《关于招标代理服务收费有关问题的通知》（发改办价格[2003]857号）的有关规定执行。不足3300元按3300元收取。 中标单位在领取成交通知书前，须向采购代理机构一次性支付招标代理服务费。 开户名称：陕西亘上项目管理咨询有限公司； 开户银行：中国建设银行股份有限公司西安广安路支行 银行账号：61050173960009555555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陕西亘上项目管理咨询有限公司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陕西亘上项目管理咨询有限公司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陕西亘上项目管理咨询有限公司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不得侵权：成交单位保证其在履行合同过程中向使用或采购人提交的调研报告、理论课题研究报告以及其他文件、资料均不存在侵犯其他任何第三方知识产权或权益的情形。</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按磋商文件、磋商响应文件等服务指标进行逐项验收，各项指标均应符合验收标准及要求。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陕西亘上项目管理咨询有限公司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陕西亘上项目管理咨询有限公司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陕西亘上项目管理咨询有限公司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联系电话：029-87363598</w:t>
      </w:r>
    </w:p>
    <w:p>
      <w:pPr>
        <w:pStyle w:val="null3"/>
      </w:pPr>
      <w:r>
        <w:rPr>
          <w:rFonts w:ascii="仿宋_GB2312" w:hAnsi="仿宋_GB2312" w:cs="仿宋_GB2312" w:eastAsia="仿宋_GB2312"/>
        </w:rPr>
        <w:t>地址：陕西省西安市未央区未央路荣豪大厦12层1222室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为深入贯彻落实总书记关于社会信用体系建设的重要指示精神，全面落实国家、省、市关于社会信用体系建设的工作安排，持续推动商务领域信用体系建设高质量发展，进一步弘扬诚信文化，优化营商环境，激发消费活力，根据《中共中央办公厅 国务院办公厅关于推进社会信用体系建设高质量发展促进形成新发展格局的意见》（中办发〔2022〕25号）、《商务信用体系建设三年行动计划（2024-2026年）》（商办建函〔2024〕356号）、商务部等12部门《关于开展2025年“诚信兴商宣传月”活动的通知》（商建函〔2025〕238号）及《商务部办公厅关于开展“信用消费进万家”主题日活动的通知》（商办秩函〔2016〕752号）等文件精神，结合西安市“诚信兴商”系列活动五年来的成功经验，拟开展2026年西安商务领域“诚信兴商”系列活动。按照年度预算安排，采购第三方服务商负责本次活动策划执行服务。 自2021年以来，西安市已连续五年围绕“诚信兴商”主题开展系列活动，累计挖掘培育百余个诚信经营优秀案例，其中3个入选全国典型案例，已成为“信用西安”建设的重要品牌活动。2026年是《商务信用体系建设三年行动计划（2024-2026年）》的收官之年，西安市将持续巩固提升商务领域信用体系建设成果，进一步创新活动形式、丰富活动内涵、扩大活动覆盖面，策划实施一系列务实管用、企业受益的诚信建设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2026年西安商务领域“诚信兴商”系列活动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标的名称：2026年西安商务领域“诚信兴商”系列活动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一、项目概况</w:t>
            </w:r>
          </w:p>
          <w:p>
            <w:pPr>
              <w:pStyle w:val="null3"/>
              <w:ind w:firstLine="560"/>
              <w:jc w:val="both"/>
            </w:pPr>
            <w:r>
              <w:rPr>
                <w:rFonts w:ascii="仿宋_GB2312" w:hAnsi="仿宋_GB2312" w:cs="仿宋_GB2312" w:eastAsia="仿宋_GB2312"/>
                <w:sz w:val="28"/>
              </w:rPr>
              <w:t>为深入贯彻落实总书记关于社会信用体系建设的重要指示精神，全面落实国家、省、市关于社会信用体系建设的工作安排，持续推动商务领域信用体系建设高质量发展，进一步弘扬诚信文化，优化营商环境，激发消费活力，根据《中共中央办公厅 国务院办公厅关于推进社会信用体系建设高质量发展促进形成新发展格局的意见》（中办发〔2022〕25号）、《商务信用体系建设三年行动计划（2024-2026年）》（商办建函〔2024〕356号）、商务部等12部门《关于开展2025年“诚信兴商宣传月”活动的通知》（商建函〔2025〕238号）及《商务部办公厅关于开展“信用消费进万家”主题日活动的通知》（商办秩函〔2016〕752号）等文件精神，结合西安市“诚信兴商”系列活动五年来的成功经验，拟开展2026年西安商务领域“诚信兴商”系列活动。按照年度预算安排，采购第三方服务商负责本次活动策划执行服务。</w:t>
            </w:r>
          </w:p>
          <w:p>
            <w:pPr>
              <w:pStyle w:val="null3"/>
              <w:ind w:firstLine="560"/>
              <w:jc w:val="both"/>
            </w:pPr>
            <w:r>
              <w:rPr>
                <w:rFonts w:ascii="仿宋_GB2312" w:hAnsi="仿宋_GB2312" w:cs="仿宋_GB2312" w:eastAsia="仿宋_GB2312"/>
                <w:sz w:val="28"/>
              </w:rPr>
              <w:t>自2021年以来，西安市已连续五年围绕“诚信兴商”主题开展系列活动，累计挖掘培育百余个诚信经营优秀案例，其中3个入选全国典型案例，已成为“信用西安”建设的重要品牌活动。2026年是《商务信用体系建设三年行动计划（2024-2026年）》的收官之年，西安市将持续巩固提升商务领域信用体系建设成果，进一步创新活动形式、丰富活动内涵、扩大活动覆盖面，策划实施一系列务实管用、企业受益的诚信建设活动。</w:t>
            </w:r>
          </w:p>
          <w:p>
            <w:pPr>
              <w:pStyle w:val="null3"/>
            </w:pPr>
            <w:r>
              <w:rPr>
                <w:rFonts w:ascii="仿宋_GB2312" w:hAnsi="仿宋_GB2312" w:cs="仿宋_GB2312" w:eastAsia="仿宋_GB2312"/>
                <w:sz w:val="28"/>
                <w:b/>
              </w:rPr>
              <w:t>二、服务内容（包括工作区域、工作内容等）</w:t>
            </w:r>
          </w:p>
          <w:p>
            <w:pPr>
              <w:pStyle w:val="null3"/>
              <w:ind w:firstLine="562"/>
              <w:jc w:val="both"/>
            </w:pPr>
            <w:r>
              <w:rPr>
                <w:rFonts w:ascii="仿宋_GB2312" w:hAnsi="仿宋_GB2312" w:cs="仿宋_GB2312" w:eastAsia="仿宋_GB2312"/>
                <w:sz w:val="28"/>
                <w:b/>
              </w:rPr>
              <w:t>（一）工作区域</w:t>
            </w:r>
          </w:p>
          <w:p>
            <w:pPr>
              <w:pStyle w:val="null3"/>
              <w:ind w:firstLine="560"/>
              <w:jc w:val="both"/>
            </w:pPr>
            <w:r>
              <w:rPr>
                <w:rFonts w:ascii="仿宋_GB2312" w:hAnsi="仿宋_GB2312" w:cs="仿宋_GB2312" w:eastAsia="仿宋_GB2312"/>
                <w:sz w:val="28"/>
              </w:rPr>
              <w:t>西安市（含各区县、开发区）</w:t>
            </w:r>
          </w:p>
          <w:p>
            <w:pPr>
              <w:pStyle w:val="null3"/>
              <w:ind w:firstLine="562"/>
              <w:jc w:val="both"/>
            </w:pPr>
            <w:r>
              <w:rPr>
                <w:rFonts w:ascii="仿宋_GB2312" w:hAnsi="仿宋_GB2312" w:cs="仿宋_GB2312" w:eastAsia="仿宋_GB2312"/>
                <w:sz w:val="28"/>
                <w:b/>
              </w:rPr>
              <w:t>（二）工作内容</w:t>
            </w:r>
          </w:p>
          <w:p>
            <w:pPr>
              <w:pStyle w:val="null3"/>
              <w:ind w:firstLine="560"/>
              <w:jc w:val="both"/>
            </w:pPr>
            <w:r>
              <w:rPr>
                <w:rFonts w:ascii="仿宋_GB2312" w:hAnsi="仿宋_GB2312" w:cs="仿宋_GB2312" w:eastAsia="仿宋_GB2312"/>
                <w:sz w:val="28"/>
              </w:rPr>
              <w:t>围绕“六个一”活动框架，开展以下服务：</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一场诚信案例撰写辅导培训会。组织申报企业及重点商贸企业开展诚信案例撰写专题培训，邀请信用管理、企业传播等领域专家，围绕案例选题方向、撰写规范、亮点提炼、数据支撑等方面进行系统讲解，帮助企业提升案例申报质量。</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一场诚信合规法治讲座。面向申报企业及重点商贸企业开展诚信合规法治讲座，邀请法律实务专家、信用监管领域专业人士授课，围绕《民法典》合同编及诚信原则、《消费者权益保护法》及预付卡管理规定、信用监管体系与信用修复流程、商贸流通领域典型违法案例等内容进行系统讲解。</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一场“信用赋能”银企对接活动。组织金融机构与商贸企业开展专场对接活动，邀请银行等金融机构现场介绍信用贷款产品及融资条件，解读“信易贷”平台操作流程与信用融资政策，组织有融资需求的企业与金融机构面对面交流洽谈。</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一场西安商业诚信交流活动。举办西安商业诚信交流活动，负责场地租赁、舞台搭建、灯光音响、主持礼仪、会场布置等。活动设置领导致辞、宣传月启动仪式、典型案例名单发布、企业代表经验分享、专家主题演讲、诚信倡议发布等环节。</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一场诚信兴商促消费推广活动。在会场平行区域设置“诚信兴商”专题展示区，负责展位搭建、展示区布置等，邀请典型案例企业及历届优秀案例企业参展，集中展示名优商品、开展品质服务体验和诚信消费互动。</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一场“诚信兴商”典型案例区县宣讲活动。在市级诚信交流活动及促消费推广活动结束后，组织本年度典型案例企业代表赴区县开展集中宣讲，负责活动场地、会务物料等。面向区县、开发区商务主管部门及辖区重点商贸企业，以政策宣贯、案例分享、交流互动相结合的方式，推动典型案例的诚信经验从市级发布向区县基层延伸传播。</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专家走访调研。组织专家团队对本年度新申报企业进行实地走访调研，核实企业申报材料的真实性与完整性，了解企业在信用管理、消费者权益保护等方面的具体做法，针对存在轻微信用瑕疵的企业提供信用修复指导。</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典型案例宣传视频制作。对典型案例企业进行宣传视频拍摄、剪辑及制作（约10家）。</w:t>
            </w:r>
          </w:p>
          <w:p>
            <w:pPr>
              <w:pStyle w:val="null3"/>
              <w:ind w:firstLine="560"/>
              <w:jc w:val="both"/>
            </w:pPr>
            <w:r>
              <w:rPr>
                <w:rFonts w:ascii="仿宋_GB2312" w:hAnsi="仿宋_GB2312" w:cs="仿宋_GB2312" w:eastAsia="仿宋_GB2312"/>
                <w:sz w:val="28"/>
              </w:rPr>
              <w:t>9.</w:t>
            </w:r>
            <w:r>
              <w:rPr>
                <w:rFonts w:ascii="仿宋_GB2312" w:hAnsi="仿宋_GB2312" w:cs="仿宋_GB2312" w:eastAsia="仿宋_GB2312"/>
                <w:sz w:val="28"/>
              </w:rPr>
              <w:t>典型案例集编印。《2026年西安诚信兴商典型案例集》排版设计及印刷。</w:t>
            </w:r>
          </w:p>
          <w:p>
            <w:pPr>
              <w:pStyle w:val="null3"/>
              <w:ind w:firstLine="560"/>
              <w:jc w:val="both"/>
            </w:pPr>
            <w:r>
              <w:rPr>
                <w:rFonts w:ascii="仿宋_GB2312" w:hAnsi="仿宋_GB2312" w:cs="仿宋_GB2312" w:eastAsia="仿宋_GB2312"/>
                <w:sz w:val="28"/>
              </w:rPr>
              <w:t>10.</w:t>
            </w:r>
            <w:r>
              <w:rPr>
                <w:rFonts w:ascii="仿宋_GB2312" w:hAnsi="仿宋_GB2312" w:cs="仿宋_GB2312" w:eastAsia="仿宋_GB2312"/>
                <w:sz w:val="28"/>
              </w:rPr>
              <w:t>活动主视觉设计。活动主背景、展示区门头、宣传物料等全套设计。</w:t>
            </w:r>
          </w:p>
          <w:p>
            <w:pPr>
              <w:pStyle w:val="null3"/>
              <w:ind w:firstLine="560"/>
              <w:jc w:val="both"/>
            </w:pPr>
            <w:r>
              <w:rPr>
                <w:rFonts w:ascii="仿宋_GB2312" w:hAnsi="仿宋_GB2312" w:cs="仿宋_GB2312" w:eastAsia="仿宋_GB2312"/>
                <w:sz w:val="28"/>
              </w:rPr>
              <w:t>11.</w:t>
            </w:r>
            <w:r>
              <w:rPr>
                <w:rFonts w:ascii="仿宋_GB2312" w:hAnsi="仿宋_GB2312" w:cs="仿宋_GB2312" w:eastAsia="仿宋_GB2312"/>
                <w:sz w:val="28"/>
              </w:rPr>
              <w:t>全程影像记录。活动照片直播、航拍、拍照、短视频快剪、影像后期等。</w:t>
            </w:r>
          </w:p>
          <w:p>
            <w:pPr>
              <w:pStyle w:val="null3"/>
            </w:pPr>
            <w:r>
              <w:rPr>
                <w:rFonts w:ascii="仿宋_GB2312" w:hAnsi="仿宋_GB2312" w:cs="仿宋_GB2312" w:eastAsia="仿宋_GB2312"/>
                <w:sz w:val="28"/>
                <w:b/>
              </w:rPr>
              <w:t>三、技术要求（如有，一般适合于技术服务项目）</w:t>
            </w:r>
          </w:p>
          <w:p>
            <w:pPr>
              <w:pStyle w:val="null3"/>
              <w:jc w:val="both"/>
            </w:pPr>
            <w:r>
              <w:rPr>
                <w:rFonts w:ascii="仿宋_GB2312" w:hAnsi="仿宋_GB2312" w:cs="仿宋_GB2312" w:eastAsia="仿宋_GB2312"/>
                <w:sz w:val="28"/>
                <w:color w:val="000000"/>
              </w:rPr>
              <w:t>满足政府采购政策资格。</w:t>
            </w:r>
          </w:p>
          <w:p>
            <w:pPr>
              <w:pStyle w:val="null3"/>
            </w:pPr>
            <w:r>
              <w:rPr>
                <w:rFonts w:ascii="仿宋_GB2312" w:hAnsi="仿宋_GB2312" w:cs="仿宋_GB2312" w:eastAsia="仿宋_GB2312"/>
                <w:sz w:val="28"/>
                <w:b/>
              </w:rPr>
              <w:t>四、服务要求（如对人员配置、专业设备、服务标准等）</w:t>
            </w:r>
          </w:p>
          <w:p>
            <w:pPr>
              <w:pStyle w:val="null3"/>
              <w:pBdr>
                <w:top w:val="none" w:color="000000" w:sz="4"/>
                <w:left w:val="none" w:color="000000" w:sz="4"/>
                <w:bottom w:val="none" w:color="000000" w:sz="4"/>
                <w:right w:val="none" w:color="000000" w:sz="4"/>
              </w:pBdr>
              <w:spacing w:before="240"/>
              <w:ind w:left="420"/>
              <w:jc w:val="both"/>
            </w:pPr>
            <w:r>
              <w:rPr>
                <w:rFonts w:ascii="仿宋_GB2312" w:hAnsi="仿宋_GB2312" w:cs="仿宋_GB2312" w:eastAsia="仿宋_GB2312"/>
                <w:sz w:val="28"/>
                <w:color w:val="000000"/>
              </w:rPr>
              <w:t xml:space="preserve">  1.具备与项目相匹配的专家团队和专业能力；</w:t>
            </w:r>
          </w:p>
          <w:p>
            <w:pPr>
              <w:pStyle w:val="null3"/>
              <w:pBdr>
                <w:top w:val="none" w:color="000000" w:sz="4"/>
                <w:left w:val="none" w:color="000000" w:sz="4"/>
                <w:bottom w:val="none" w:color="000000" w:sz="4"/>
                <w:right w:val="none" w:color="000000" w:sz="4"/>
              </w:pBdr>
              <w:spacing w:before="240"/>
              <w:ind w:left="420"/>
              <w:jc w:val="both"/>
            </w:pPr>
            <w:r>
              <w:rPr>
                <w:rFonts w:ascii="仿宋_GB2312" w:hAnsi="仿宋_GB2312" w:cs="仿宋_GB2312" w:eastAsia="仿宋_GB2312"/>
                <w:sz w:val="28"/>
                <w:color w:val="000000"/>
              </w:rPr>
              <w:t xml:space="preserve">  2.材料真实性承诺书；</w:t>
            </w:r>
          </w:p>
          <w:p>
            <w:pPr>
              <w:pStyle w:val="null3"/>
              <w:pBdr>
                <w:top w:val="none" w:color="000000" w:sz="4"/>
                <w:left w:val="none" w:color="000000" w:sz="4"/>
                <w:bottom w:val="none" w:color="000000" w:sz="4"/>
                <w:right w:val="none" w:color="000000" w:sz="4"/>
              </w:pBdr>
              <w:spacing w:before="240"/>
              <w:ind w:left="420"/>
              <w:jc w:val="both"/>
            </w:pPr>
            <w:r>
              <w:rPr>
                <w:rFonts w:ascii="仿宋_GB2312" w:hAnsi="仿宋_GB2312" w:cs="仿宋_GB2312" w:eastAsia="仿宋_GB2312"/>
                <w:sz w:val="28"/>
                <w:color w:val="000000"/>
              </w:rPr>
              <w:t xml:space="preserve">  3.</w:t>
            </w:r>
            <w:r>
              <w:rPr>
                <w:rFonts w:ascii="仿宋_GB2312" w:hAnsi="仿宋_GB2312" w:cs="仿宋_GB2312" w:eastAsia="仿宋_GB2312"/>
                <w:sz w:val="28"/>
                <w:color w:val="000000"/>
              </w:rPr>
              <w:t>不得侵权</w:t>
            </w:r>
          </w:p>
          <w:p>
            <w:pPr>
              <w:pStyle w:val="null3"/>
              <w:pBdr>
                <w:top w:val="none" w:color="000000" w:sz="4"/>
                <w:left w:val="none" w:color="000000" w:sz="4"/>
                <w:bottom w:val="none" w:color="000000" w:sz="4"/>
                <w:right w:val="none" w:color="000000" w:sz="4"/>
              </w:pBdr>
              <w:spacing w:before="240"/>
              <w:ind w:left="420"/>
              <w:jc w:val="both"/>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成交单位保证其在履行合同过程中向使用或采购人提交的调研报告、理论课题研究报告以及其他文件、资料均不存在侵犯其他任何第三方知识产权或权益的情形。</w:t>
            </w:r>
          </w:p>
          <w:p>
            <w:pPr>
              <w:pStyle w:val="null3"/>
              <w:ind w:firstLine="549"/>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保密义务</w:t>
            </w:r>
          </w:p>
          <w:p>
            <w:pPr>
              <w:pStyle w:val="null3"/>
              <w:ind w:firstLine="549"/>
              <w:jc w:val="both"/>
            </w:pPr>
            <w:r>
              <w:rPr>
                <w:rFonts w:ascii="仿宋_GB2312" w:hAnsi="仿宋_GB2312" w:cs="仿宋_GB2312" w:eastAsia="仿宋_GB2312"/>
                <w:sz w:val="28"/>
                <w:color w:val="000000"/>
              </w:rPr>
              <w:t>双方均应对因本合同的履行过程中而获知的对方的政府秘密、商业秘密以及其他未公开的信息等负有保密义务。未经对方书面允许，不得泄露，且不得用于本合同约定以外的目的。</w:t>
            </w:r>
          </w:p>
          <w:p>
            <w:pPr>
              <w:pStyle w:val="null3"/>
            </w:pPr>
            <w:r>
              <w:rPr>
                <w:rFonts w:ascii="仿宋_GB2312" w:hAnsi="仿宋_GB2312" w:cs="仿宋_GB2312" w:eastAsia="仿宋_GB2312"/>
                <w:sz w:val="28"/>
                <w:b/>
              </w:rPr>
              <w:t>五、商务要求（如服务期限、款项结算等）</w:t>
            </w:r>
          </w:p>
          <w:p>
            <w:pPr>
              <w:pStyle w:val="null3"/>
              <w:jc w:val="both"/>
            </w:pPr>
            <w:r>
              <w:rPr>
                <w:rFonts w:ascii="仿宋_GB2312" w:hAnsi="仿宋_GB2312" w:cs="仿宋_GB2312" w:eastAsia="仿宋_GB2312"/>
                <w:sz w:val="28"/>
              </w:rPr>
              <w:t>（一）服务期限</w:t>
            </w:r>
          </w:p>
          <w:p>
            <w:pPr>
              <w:pStyle w:val="null3"/>
              <w:ind w:firstLine="549"/>
              <w:jc w:val="both"/>
            </w:pPr>
            <w:r>
              <w:rPr>
                <w:rFonts w:ascii="仿宋_GB2312" w:hAnsi="仿宋_GB2312" w:cs="仿宋_GB2312" w:eastAsia="仿宋_GB2312"/>
                <w:sz w:val="28"/>
                <w:color w:val="000000"/>
              </w:rPr>
              <w:t>自合同签订之日起至全部活动结束验收合格之日止</w:t>
            </w:r>
          </w:p>
          <w:p>
            <w:pPr>
              <w:pStyle w:val="null3"/>
              <w:jc w:val="both"/>
            </w:pPr>
            <w:r>
              <w:rPr>
                <w:rFonts w:ascii="仿宋_GB2312" w:hAnsi="仿宋_GB2312" w:cs="仿宋_GB2312" w:eastAsia="仿宋_GB2312"/>
                <w:sz w:val="28"/>
              </w:rPr>
              <w:t>（二）款项结算</w:t>
            </w:r>
          </w:p>
          <w:p>
            <w:pPr>
              <w:pStyle w:val="null3"/>
              <w:ind w:firstLine="549"/>
              <w:jc w:val="both"/>
            </w:pPr>
            <w:r>
              <w:rPr>
                <w:rFonts w:ascii="仿宋_GB2312" w:hAnsi="仿宋_GB2312" w:cs="仿宋_GB2312" w:eastAsia="仿宋_GB2312"/>
                <w:sz w:val="28"/>
                <w:color w:val="000000"/>
              </w:rPr>
              <w:t>支付方式为分2批次支付，合同签订15个工作日内，甲方支付合同总价款60%的服务费；乙方完成合同约定全部服务内容并通过履约验收后，支付剩余合同总价款的40%服务费。</w:t>
            </w:r>
          </w:p>
          <w:p>
            <w:pPr>
              <w:pStyle w:val="null3"/>
            </w:pPr>
            <w:r>
              <w:rPr>
                <w:rFonts w:ascii="仿宋_GB2312" w:hAnsi="仿宋_GB2312" w:cs="仿宋_GB2312" w:eastAsia="仿宋_GB2312"/>
                <w:sz w:val="28"/>
                <w:b/>
              </w:rPr>
              <w:t>六、其他（如有要求，请写明）</w:t>
            </w:r>
          </w:p>
          <w:p>
            <w:pPr>
              <w:pStyle w:val="null3"/>
              <w:jc w:val="both"/>
            </w:pPr>
            <w:r>
              <w:rPr>
                <w:rFonts w:ascii="仿宋_GB2312" w:hAnsi="仿宋_GB2312" w:cs="仿宋_GB2312" w:eastAsia="仿宋_GB2312"/>
                <w:sz w:val="28"/>
                <w:color w:val="000000"/>
              </w:rPr>
              <w:t>（一）进度要求</w:t>
            </w:r>
          </w:p>
          <w:p>
            <w:pPr>
              <w:pStyle w:val="null3"/>
              <w:jc w:val="both"/>
            </w:pPr>
            <w:r>
              <w:rPr>
                <w:rFonts w:ascii="仿宋_GB2312" w:hAnsi="仿宋_GB2312" w:cs="仿宋_GB2312" w:eastAsia="仿宋_GB2312"/>
                <w:sz w:val="28"/>
                <w:color w:val="000000"/>
              </w:rPr>
              <w:t>各阶段具体时间根据实际工作进展动态调整，2026年11月20日前完成全部服务内容。</w:t>
            </w:r>
          </w:p>
          <w:p>
            <w:pPr>
              <w:pStyle w:val="null3"/>
              <w:jc w:val="both"/>
            </w:pPr>
            <w:r>
              <w:rPr>
                <w:rFonts w:ascii="仿宋_GB2312" w:hAnsi="仿宋_GB2312" w:cs="仿宋_GB2312" w:eastAsia="仿宋_GB2312"/>
                <w:sz w:val="28"/>
                <w:color w:val="000000"/>
              </w:rPr>
              <w:t>（二）成果交付要求</w:t>
            </w:r>
          </w:p>
          <w:p>
            <w:pPr>
              <w:pStyle w:val="null3"/>
              <w:jc w:val="both"/>
            </w:pPr>
            <w:r>
              <w:rPr>
                <w:rFonts w:ascii="仿宋_GB2312" w:hAnsi="仿宋_GB2312" w:cs="仿宋_GB2312" w:eastAsia="仿宋_GB2312"/>
                <w:sz w:val="28"/>
                <w:color w:val="000000"/>
              </w:rPr>
              <w:t>需达到采购人对项目的具体要求。</w:t>
            </w:r>
          </w:p>
          <w:p>
            <w:pPr>
              <w:pStyle w:val="null3"/>
              <w:jc w:val="both"/>
            </w:pPr>
            <w:r>
              <w:rPr>
                <w:rFonts w:ascii="仿宋_GB2312" w:hAnsi="仿宋_GB2312" w:cs="仿宋_GB2312" w:eastAsia="仿宋_GB2312"/>
                <w:sz w:val="28"/>
                <w:color w:val="000000"/>
              </w:rPr>
              <w:t>（三）质量验收标准或规范</w:t>
            </w:r>
          </w:p>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、完成合同约定的全部活动内容及成果交付后，按照成交供应商所提供的资料进行验收。</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、最终验收：自合同签订之日起至完成全部项目内容，需按照采购人确定的时间完成交付并验收合格，验收合格后，填写验收单。</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、验收和评价方式</w:t>
            </w:r>
          </w:p>
          <w:p>
            <w:pPr>
              <w:pStyle w:val="null3"/>
              <w:jc w:val="both"/>
            </w:pPr>
            <w:r>
              <w:rPr>
                <w:rFonts w:ascii="仿宋_GB2312" w:hAnsi="仿宋_GB2312" w:cs="仿宋_GB2312" w:eastAsia="仿宋_GB2312"/>
                <w:sz w:val="28"/>
                <w:color w:val="000000"/>
              </w:rPr>
              <w:t xml:space="preserve">3.1  </w:t>
            </w:r>
            <w:r>
              <w:rPr>
                <w:rFonts w:ascii="仿宋_GB2312" w:hAnsi="仿宋_GB2312" w:cs="仿宋_GB2312" w:eastAsia="仿宋_GB2312"/>
                <w:sz w:val="28"/>
                <w:color w:val="000000"/>
              </w:rPr>
              <w:t>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pPr>
              <w:pStyle w:val="null3"/>
              <w:jc w:val="both"/>
            </w:pPr>
            <w:r>
              <w:rPr>
                <w:rFonts w:ascii="仿宋_GB2312" w:hAnsi="仿宋_GB2312" w:cs="仿宋_GB2312" w:eastAsia="仿宋_GB2312"/>
                <w:sz w:val="28"/>
                <w:color w:val="000000"/>
              </w:rPr>
              <w:t xml:space="preserve">3.2  </w:t>
            </w:r>
            <w:r>
              <w:rPr>
                <w:rFonts w:ascii="仿宋_GB2312" w:hAnsi="仿宋_GB2312" w:cs="仿宋_GB2312" w:eastAsia="仿宋_GB2312"/>
                <w:sz w:val="28"/>
                <w:color w:val="000000"/>
              </w:rPr>
              <w:t>若发现乙方有弄虚作假的，及在项目实施阶段故意或随意夸大服务，本项目合同解除，乙方赔偿甲方相应的损失。</w:t>
            </w:r>
          </w:p>
          <w:p>
            <w:pPr>
              <w:pStyle w:val="null3"/>
              <w:jc w:val="both"/>
            </w:pPr>
            <w:r>
              <w:rPr>
                <w:rFonts w:ascii="仿宋_GB2312" w:hAnsi="仿宋_GB2312" w:cs="仿宋_GB2312" w:eastAsia="仿宋_GB2312"/>
                <w:sz w:val="28"/>
                <w:color w:val="000000"/>
              </w:rPr>
              <w:t xml:space="preserve">3.3  </w:t>
            </w:r>
            <w:r>
              <w:rPr>
                <w:rFonts w:ascii="仿宋_GB2312" w:hAnsi="仿宋_GB2312" w:cs="仿宋_GB2312" w:eastAsia="仿宋_GB2312"/>
                <w:sz w:val="28"/>
                <w:color w:val="000000"/>
              </w:rPr>
              <w:t>验收标准：按磋商文件、磋商响应文件等服务指标进行逐项验收，各项指标均应符合验收标准及要求。</w:t>
            </w:r>
          </w:p>
          <w:p>
            <w:pPr>
              <w:pStyle w:val="null3"/>
              <w:jc w:val="both"/>
            </w:pPr>
            <w:r>
              <w:rPr>
                <w:rFonts w:ascii="仿宋_GB2312" w:hAnsi="仿宋_GB2312" w:cs="仿宋_GB2312" w:eastAsia="仿宋_GB2312"/>
                <w:sz w:val="28"/>
                <w:color w:val="000000"/>
              </w:rPr>
              <w:t xml:space="preserve">3.4  </w:t>
            </w:r>
            <w:r>
              <w:rPr>
                <w:rFonts w:ascii="仿宋_GB2312" w:hAnsi="仿宋_GB2312" w:cs="仿宋_GB2312" w:eastAsia="仿宋_GB2312"/>
                <w:sz w:val="28"/>
                <w:color w:val="000000"/>
              </w:rPr>
              <w:t>验收合格后，填写验收单，双方盖章、签字生效。</w:t>
            </w:r>
          </w:p>
          <w:p>
            <w:pPr>
              <w:pStyle w:val="null3"/>
              <w:jc w:val="both"/>
            </w:pPr>
            <w:r>
              <w:rPr>
                <w:rFonts w:ascii="仿宋_GB2312" w:hAnsi="仿宋_GB2312" w:cs="仿宋_GB2312" w:eastAsia="仿宋_GB2312"/>
                <w:sz w:val="28"/>
                <w:color w:val="000000"/>
              </w:rPr>
              <w:t xml:space="preserve">3.5  </w:t>
            </w:r>
            <w:r>
              <w:rPr>
                <w:rFonts w:ascii="仿宋_GB2312" w:hAnsi="仿宋_GB2312" w:cs="仿宋_GB2312" w:eastAsia="仿宋_GB2312"/>
                <w:sz w:val="28"/>
                <w:color w:val="000000"/>
              </w:rPr>
              <w:t>验收依据</w:t>
            </w:r>
          </w:p>
          <w:p>
            <w:pPr>
              <w:pStyle w:val="null3"/>
              <w:jc w:val="both"/>
            </w:pPr>
            <w:r>
              <w:rPr>
                <w:rFonts w:ascii="仿宋_GB2312" w:hAnsi="仿宋_GB2312" w:cs="仿宋_GB2312" w:eastAsia="仿宋_GB2312"/>
                <w:sz w:val="28"/>
                <w:color w:val="000000"/>
              </w:rPr>
              <w:t xml:space="preserve">3.5.1  </w:t>
            </w:r>
            <w:r>
              <w:rPr>
                <w:rFonts w:ascii="仿宋_GB2312" w:hAnsi="仿宋_GB2312" w:cs="仿宋_GB2312" w:eastAsia="仿宋_GB2312"/>
                <w:sz w:val="28"/>
                <w:color w:val="000000"/>
              </w:rPr>
              <w:t>合同文本。</w:t>
            </w:r>
          </w:p>
          <w:p>
            <w:pPr>
              <w:pStyle w:val="null3"/>
              <w:jc w:val="both"/>
            </w:pPr>
            <w:r>
              <w:rPr>
                <w:rFonts w:ascii="仿宋_GB2312" w:hAnsi="仿宋_GB2312" w:cs="仿宋_GB2312" w:eastAsia="仿宋_GB2312"/>
                <w:sz w:val="28"/>
              </w:rPr>
              <w:t xml:space="preserve">3.5.2  </w:t>
            </w:r>
            <w:r>
              <w:rPr>
                <w:rFonts w:ascii="仿宋_GB2312" w:hAnsi="仿宋_GB2312" w:cs="仿宋_GB2312" w:eastAsia="仿宋_GB2312"/>
                <w:sz w:val="28"/>
              </w:rPr>
              <w:t>磋商响应文件、磋商文件、澄清函。</w:t>
            </w:r>
          </w:p>
          <w:p>
            <w:pPr>
              <w:pStyle w:val="null3"/>
              <w:jc w:val="both"/>
            </w:pPr>
            <w:r>
              <w:rPr>
                <w:rFonts w:ascii="仿宋_GB2312" w:hAnsi="仿宋_GB2312" w:cs="仿宋_GB2312" w:eastAsia="仿宋_GB2312"/>
                <w:sz w:val="28"/>
              </w:rPr>
              <w:t xml:space="preserve">3.5.3  </w:t>
            </w:r>
            <w:r>
              <w:rPr>
                <w:rFonts w:ascii="仿宋_GB2312" w:hAnsi="仿宋_GB2312" w:cs="仿宋_GB2312" w:eastAsia="仿宋_GB2312"/>
                <w:sz w:val="28"/>
              </w:rPr>
              <w:t>国家和行业制定的相应的标准和规范。</w:t>
            </w:r>
          </w:p>
          <w:p>
            <w:pPr>
              <w:pStyle w:val="null3"/>
              <w:jc w:val="both"/>
            </w:pPr>
            <w:r>
              <w:rPr>
                <w:rFonts w:ascii="仿宋_GB2312" w:hAnsi="仿宋_GB2312" w:cs="仿宋_GB2312" w:eastAsia="仿宋_GB2312"/>
                <w:sz w:val="28"/>
                <w:color w:val="000000"/>
              </w:rPr>
              <w:t>（四）</w:t>
            </w:r>
            <w:r>
              <w:rPr>
                <w:rFonts w:ascii="仿宋_GB2312" w:hAnsi="仿宋_GB2312" w:cs="仿宋_GB2312" w:eastAsia="仿宋_GB2312"/>
                <w:sz w:val="28"/>
              </w:rPr>
              <w:t>违约责任</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、按《民法典》中的相关条款执行。</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、由于不可抗力因素造成无法按照原计划提供服务，双方互不追究违约责任。</w:t>
            </w:r>
          </w:p>
          <w:p>
            <w:pPr>
              <w:pStyle w:val="null3"/>
            </w:pPr>
            <w:r>
              <w:rPr>
                <w:rFonts w:ascii="仿宋_GB2312" w:hAnsi="仿宋_GB2312" w:cs="仿宋_GB2312" w:eastAsia="仿宋_GB2312"/>
                <w:sz w:val="28"/>
              </w:rPr>
              <w:t>4</w:t>
            </w:r>
            <w:r>
              <w:rPr>
                <w:rFonts w:ascii="仿宋_GB2312" w:hAnsi="仿宋_GB2312" w:cs="仿宋_GB2312" w:eastAsia="仿宋_GB2312"/>
                <w:sz w:val="28"/>
              </w:rPr>
              <w:t>、如有异议另行协商。</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自合同签订之日起至全部活动结束验收合格之日止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西安市（含各区县、开发区）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按磋商文件、磋商响应文件等服务指标进行逐项验收，各项指标均应符合验收标准及要求。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进度款，支付方式为分2批次支付，自合同签订后，达到付款条件起15个工作日内，支付合同总金额的60.0%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进度款，乙方完成合同约定全部服务内容并通过履约验收后，达到付款条件起15个工作日内，支付合同总金额的40.0%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3、由于不可抗力因素造成无法按照原计划提供服务，双方互不追究违约责任。 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提供2025年度的财务审计报告审计报告须具有注册会计师行业统一监管平台(http://acc.mof.gov.cn)赋予的二维码；或其开标前半年内基本存款账户开户银行出具的资信证明（出具基本存款账户信息）；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提供响应文件截止时间前一年内任意一个月的纳税证明或完税证明，纳税证明或完税证明上应有税务机关的公章或业务专用章。依法免税的单位应提供相关证明材料；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w:t>
            </w:r>
          </w:p>
        </w:tc>
        <w:tc>
          <w:tcPr>
            <w:tcW w:type="dxa" w:w="3322"/>
          </w:tcPr>
          <w:p>
            <w:pPr>
              <w:pStyle w:val="null3"/>
            </w:pPr>
            <w:r>
              <w:rPr>
                <w:rFonts w:ascii="仿宋_GB2312" w:hAnsi="仿宋_GB2312" w:cs="仿宋_GB2312" w:eastAsia="仿宋_GB2312"/>
              </w:rPr>
              <w:t>提供响应文件截止时间前一年内任意一个月的社会保障资金缴存单据或社保机构开具的社会保险参保缴费情况证明，单据或证明上应有社保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非法定代表人参加投标时，须提供法定代表人授权委托书（附法定代表人、被授权人身份证复印件）,被授权人身份证及授权代表在投标文件递交截止之日前在投标单位近3个月内任意一个月的社保证明；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被列入“中国政府采购网”（www.ccgp.gov.cn）政府采购严重违法失信行为记录名单中被财政部门禁止参加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在磋商响应文件中按照要求响应</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在磋商响应文件中指定落款处，按文件要求盖章或签字</w:t>
            </w:r>
          </w:p>
        </w:tc>
        <w:tc>
          <w:tcPr>
            <w:tcW w:type="dxa" w:w="1661"/>
          </w:tcPr>
          <w:p>
            <w:pPr>
              <w:pStyle w:val="null3"/>
            </w:pPr>
            <w:r>
              <w:rPr>
                <w:rFonts w:ascii="仿宋_GB2312" w:hAnsi="仿宋_GB2312" w:cs="仿宋_GB2312" w:eastAsia="仿宋_GB2312"/>
              </w:rPr>
              <w:t>响应文件封面 分项报价表 中小企业声明函 残疾人福利性单位声明函 商务应答表 供应商应提交的相关资格证明材料 服务内容及服务要求应答表 标的清单 报价表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按磋商文件要求报价，不得提交选择性报价，未超过磋商最高限价</w:t>
            </w:r>
          </w:p>
        </w:tc>
        <w:tc>
          <w:tcPr>
            <w:tcW w:type="dxa" w:w="1661"/>
          </w:tcPr>
          <w:p>
            <w:pPr>
              <w:pStyle w:val="null3"/>
            </w:pPr>
            <w:r>
              <w:rPr>
                <w:rFonts w:ascii="仿宋_GB2312" w:hAnsi="仿宋_GB2312" w:cs="仿宋_GB2312" w:eastAsia="仿宋_GB2312"/>
              </w:rPr>
              <w:t>响应文件封面 分项报价表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项目实施组织计划与服务方案</w:t>
            </w:r>
          </w:p>
        </w:tc>
        <w:tc>
          <w:tcPr>
            <w:tcW w:type="dxa" w:w="2492"/>
          </w:tcPr>
          <w:p>
            <w:pPr>
              <w:pStyle w:val="null3"/>
            </w:pPr>
            <w:r>
              <w:rPr>
                <w:rFonts w:ascii="仿宋_GB2312" w:hAnsi="仿宋_GB2312" w:cs="仿宋_GB2312" w:eastAsia="仿宋_GB2312"/>
              </w:rPr>
              <w:t>对本项目实施计划与服务方案，包括但不限于围绕“六个一”活动框架开展服务①服务标准，服务流程，服务内容，②服务响应、活动现场管理、1、实施组织计划与服务方案内容清晰完整、合理，与采购人实际需求满足程度高,得10分； 2、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0.2分，扣完为止；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场地搭建及设计方案</w:t>
            </w:r>
          </w:p>
        </w:tc>
        <w:tc>
          <w:tcPr>
            <w:tcW w:type="dxa" w:w="2492"/>
          </w:tcPr>
          <w:p>
            <w:pPr>
              <w:pStyle w:val="null3"/>
            </w:pPr>
            <w:r>
              <w:rPr>
                <w:rFonts w:ascii="仿宋_GB2312" w:hAnsi="仿宋_GB2312" w:cs="仿宋_GB2312" w:eastAsia="仿宋_GB2312"/>
              </w:rPr>
              <w:t>供应商结合活动特色制定会场搭建及活动主视觉设计方案。包括但不限于①活动主背景、②展示区门头、③宣传物料等全套设计方案。1、方案清晰完整、合理；针对性及可操作性强，与采购人实际需求满足程度高，得10分； 2、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0.2分，扣完为止；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本次活动要全程影像记录，供应商做好典型案例宣传视频制作，包括但不限于①活动照片、直播、航拍、拍照、短视频快剪、影像后期等、②对典型案例企业进行宣传视频拍摄：③视频剪辑及制作（约10家） 。1、内容完整、与项目需求吻合、思路清晰、层次细化，有具体详细的阐述且符合项目要求,最高得10分； 2、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0.2分，扣完为止；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专家调研及案例集编印</w:t>
            </w:r>
          </w:p>
        </w:tc>
        <w:tc>
          <w:tcPr>
            <w:tcW w:type="dxa" w:w="2492"/>
          </w:tcPr>
          <w:p>
            <w:pPr>
              <w:pStyle w:val="null3"/>
            </w:pPr>
            <w:r>
              <w:rPr>
                <w:rFonts w:ascii="仿宋_GB2312" w:hAnsi="仿宋_GB2312" w:cs="仿宋_GB2312" w:eastAsia="仿宋_GB2312"/>
              </w:rPr>
              <w:t>根据各供应商为本项目提供的，包括但不限于①专家走访调研、②典型案例集编印，排版设计及印刷。每缺少一项内容的扣3分，扣完为止，未提供不得分。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资料收集及汇总</w:t>
            </w:r>
          </w:p>
        </w:tc>
        <w:tc>
          <w:tcPr>
            <w:tcW w:type="dxa" w:w="2492"/>
          </w:tcPr>
          <w:p>
            <w:pPr>
              <w:pStyle w:val="null3"/>
            </w:pPr>
            <w:r>
              <w:rPr>
                <w:rFonts w:ascii="仿宋_GB2312" w:hAnsi="仿宋_GB2312" w:cs="仿宋_GB2312" w:eastAsia="仿宋_GB2312"/>
              </w:rPr>
              <w:t>供应商针对本项目制定资料收集及汇总方案。包括但不限于对于服务过程的中的①资料收集及汇总、②移交、③保密等有明确、④详细的制度措施保证；每缺少一项内容的扣2分，扣完为止，未提供不得分。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进度目标及保障措施</w:t>
            </w:r>
          </w:p>
        </w:tc>
        <w:tc>
          <w:tcPr>
            <w:tcW w:type="dxa" w:w="2492"/>
          </w:tcPr>
          <w:p>
            <w:pPr>
              <w:pStyle w:val="null3"/>
            </w:pPr>
            <w:r>
              <w:rPr>
                <w:rFonts w:ascii="仿宋_GB2312" w:hAnsi="仿宋_GB2312" w:cs="仿宋_GB2312" w:eastAsia="仿宋_GB2312"/>
              </w:rPr>
              <w:t>供应商针对本项目提供详细的进度目标及内控保障措施：包含①进度把控方案、②进度目标无法实现时的认罚承诺；每缺少一项内容的扣3分，扣完为止，未提供不得分。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供应商针对本项目提供详细的质量控制措施：①服务质量保证方案、②控制措施处理方案。 每缺少一项内容的扣3分，扣完为止，未提供不得分。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制定合理、可行的各种突发情况（包含①现场秩序调节、②停电，断网、③所提供的设备及材料出现质量问题等）的安全应急预案。每缺少一项内容的扣2分，扣完为止。未提供不得分。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针对项目执行团队人员配置情况进行评分：内容至少①团队人员清单及简历、②岗位职责制度、③专业技术人员投入安排、④人员管理制度、⑤专人现场协调对接落实活动各项具体事宜以保证服务质量。（包括但不限于涵盖主持、礼仪、安保、保洁等人员配置），提供人员证明材料（不限于毕业证或学历证等相关证明材料复印件）。上述5方面内容中每有1项分析内容完整、与项目需求吻合、思路清晰、层次细化，有具体详细的阐述且符合项目要求的得2分，最高得10分；每缺少一项内容的扣2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项目理解及重难点分析</w:t>
            </w:r>
          </w:p>
        </w:tc>
        <w:tc>
          <w:tcPr>
            <w:tcW w:type="dxa" w:w="2492"/>
          </w:tcPr>
          <w:p>
            <w:pPr>
              <w:pStyle w:val="null3"/>
            </w:pPr>
            <w:r>
              <w:rPr>
                <w:rFonts w:ascii="仿宋_GB2312" w:hAnsi="仿宋_GB2312" w:cs="仿宋_GB2312" w:eastAsia="仿宋_GB2312"/>
              </w:rPr>
              <w:t>供应商阐述针对本项目的理解，进行重难点分析并提出对策建议。 1、结合对项目的理解，能够进行全面客观的重难点分析，有可行、详实的对策建议，得10分； 2、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0.2分，扣完为止； 3、未提供不得分。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针对本项目有明确的服务承诺，严格按照相关技术规范和标准提供服务：①管理质量、②需提供材料真实性承诺书，每缺少一项内容的扣2分，扣完为止，未提供不得分。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提供2023年1月1日至今类似项目业绩合同（以合同签订时间为准）每提供一份有效业绩得1分，最高得4分。 注：以合同为准，须在竞争性磋商响应文件中附合同的扫描件加盖单位公章。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