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6618FE">
      <w:pPr>
        <w:pStyle w:val="2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商务和技术响应偏离表</w:t>
      </w:r>
    </w:p>
    <w:p w14:paraId="700D2953">
      <w:pPr>
        <w:kinsoku w:val="0"/>
        <w:spacing w:line="480" w:lineRule="auto"/>
        <w:ind w:left="1232" w:hanging="1232" w:hangingChars="440"/>
        <w:jc w:val="left"/>
        <w:rPr>
          <w:rFonts w:asciiTheme="minorEastAsia" w:hAnsi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表1、商务响应偏差表</w:t>
      </w:r>
    </w:p>
    <w:tbl>
      <w:tblPr>
        <w:tblStyle w:val="7"/>
        <w:tblW w:w="94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6"/>
        <w:gridCol w:w="1320"/>
        <w:gridCol w:w="3653"/>
        <w:gridCol w:w="2652"/>
        <w:gridCol w:w="1187"/>
      </w:tblGrid>
      <w:tr w14:paraId="658925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666" w:type="dxa"/>
            <w:vAlign w:val="center"/>
          </w:tcPr>
          <w:p w14:paraId="172357DA">
            <w:pPr>
              <w:pStyle w:val="5"/>
              <w:spacing w:line="240" w:lineRule="auto"/>
              <w:jc w:val="center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320" w:type="dxa"/>
            <w:vAlign w:val="center"/>
          </w:tcPr>
          <w:p w14:paraId="2CCEDFC4">
            <w:pPr>
              <w:pStyle w:val="5"/>
              <w:spacing w:line="240" w:lineRule="auto"/>
              <w:jc w:val="left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商务条款</w:t>
            </w:r>
          </w:p>
        </w:tc>
        <w:tc>
          <w:tcPr>
            <w:tcW w:w="3653" w:type="dxa"/>
            <w:vAlign w:val="center"/>
          </w:tcPr>
          <w:p w14:paraId="5D53DADB">
            <w:pPr>
              <w:pStyle w:val="5"/>
              <w:spacing w:line="240" w:lineRule="auto"/>
              <w:jc w:val="left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商务要求内容</w:t>
            </w:r>
          </w:p>
        </w:tc>
        <w:tc>
          <w:tcPr>
            <w:tcW w:w="2652" w:type="dxa"/>
            <w:vAlign w:val="center"/>
          </w:tcPr>
          <w:p w14:paraId="68E90019">
            <w:pPr>
              <w:pStyle w:val="5"/>
              <w:spacing w:line="240" w:lineRule="auto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响应文件响应商务内容</w:t>
            </w:r>
          </w:p>
        </w:tc>
        <w:tc>
          <w:tcPr>
            <w:tcW w:w="1187" w:type="dxa"/>
            <w:vAlign w:val="center"/>
          </w:tcPr>
          <w:p w14:paraId="679F7B68">
            <w:pPr>
              <w:pStyle w:val="5"/>
              <w:spacing w:line="240" w:lineRule="auto"/>
              <w:jc w:val="center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偏离说明</w:t>
            </w:r>
          </w:p>
        </w:tc>
      </w:tr>
      <w:tr w14:paraId="2A9BD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666" w:type="dxa"/>
            <w:vAlign w:val="center"/>
          </w:tcPr>
          <w:p w14:paraId="2833649B">
            <w:pPr>
              <w:pStyle w:val="5"/>
              <w:spacing w:line="24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320" w:type="dxa"/>
            <w:vAlign w:val="center"/>
          </w:tcPr>
          <w:p w14:paraId="2E2C08EA">
            <w:pPr>
              <w:pStyle w:val="5"/>
              <w:spacing w:line="240" w:lineRule="auto"/>
              <w:jc w:val="left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工期</w:t>
            </w:r>
          </w:p>
        </w:tc>
        <w:tc>
          <w:tcPr>
            <w:tcW w:w="3653" w:type="dxa"/>
            <w:vAlign w:val="center"/>
          </w:tcPr>
          <w:p w14:paraId="747CC83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2026年8月25日前完工</w:t>
            </w:r>
          </w:p>
        </w:tc>
        <w:tc>
          <w:tcPr>
            <w:tcW w:w="2652" w:type="dxa"/>
            <w:vAlign w:val="center"/>
          </w:tcPr>
          <w:p w14:paraId="0054F272">
            <w:pPr>
              <w:pStyle w:val="5"/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7" w:type="dxa"/>
            <w:vAlign w:val="center"/>
          </w:tcPr>
          <w:p w14:paraId="5B2BA7EA">
            <w:pPr>
              <w:pStyle w:val="5"/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3F38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666" w:type="dxa"/>
            <w:vAlign w:val="center"/>
          </w:tcPr>
          <w:p w14:paraId="0F55088D">
            <w:pPr>
              <w:pStyle w:val="5"/>
              <w:spacing w:line="24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320" w:type="dxa"/>
            <w:vAlign w:val="center"/>
          </w:tcPr>
          <w:p w14:paraId="33A6BDCB">
            <w:pPr>
              <w:pStyle w:val="5"/>
              <w:spacing w:line="240" w:lineRule="auto"/>
              <w:jc w:val="left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工程地点</w:t>
            </w:r>
          </w:p>
        </w:tc>
        <w:tc>
          <w:tcPr>
            <w:tcW w:w="3653" w:type="dxa"/>
            <w:vAlign w:val="center"/>
          </w:tcPr>
          <w:p w14:paraId="5ECEEF9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陕西学前师范学院指定地点</w:t>
            </w:r>
          </w:p>
        </w:tc>
        <w:tc>
          <w:tcPr>
            <w:tcW w:w="2652" w:type="dxa"/>
            <w:vAlign w:val="center"/>
          </w:tcPr>
          <w:p w14:paraId="7E38E0BB">
            <w:pPr>
              <w:pStyle w:val="5"/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7" w:type="dxa"/>
            <w:vAlign w:val="center"/>
          </w:tcPr>
          <w:p w14:paraId="039AF2CE">
            <w:pPr>
              <w:pStyle w:val="5"/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B96B7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666" w:type="dxa"/>
            <w:vAlign w:val="center"/>
          </w:tcPr>
          <w:p w14:paraId="3C0F7851">
            <w:pPr>
              <w:pStyle w:val="5"/>
              <w:spacing w:line="24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2B3C95B">
            <w:pPr>
              <w:pStyle w:val="5"/>
              <w:spacing w:line="240" w:lineRule="auto"/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质保期</w:t>
            </w:r>
          </w:p>
        </w:tc>
        <w:tc>
          <w:tcPr>
            <w:tcW w:w="3653" w:type="dxa"/>
            <w:shd w:val="clear" w:color="auto" w:fill="auto"/>
            <w:vAlign w:val="center"/>
          </w:tcPr>
          <w:p w14:paraId="5055551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建筑工程部分验收合格后质保2年，防水部分验收合格后质保5年。</w:t>
            </w:r>
          </w:p>
        </w:tc>
        <w:tc>
          <w:tcPr>
            <w:tcW w:w="2652" w:type="dxa"/>
            <w:vAlign w:val="center"/>
          </w:tcPr>
          <w:p w14:paraId="6B54D91D">
            <w:pPr>
              <w:pStyle w:val="5"/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7" w:type="dxa"/>
            <w:vAlign w:val="center"/>
          </w:tcPr>
          <w:p w14:paraId="42C1977D">
            <w:pPr>
              <w:pStyle w:val="5"/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62BC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666" w:type="dxa"/>
            <w:vAlign w:val="center"/>
          </w:tcPr>
          <w:p w14:paraId="62EAF0A0">
            <w:pPr>
              <w:pStyle w:val="5"/>
              <w:spacing w:line="24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D4E0D23">
            <w:pPr>
              <w:pStyle w:val="5"/>
              <w:spacing w:line="240" w:lineRule="auto"/>
              <w:jc w:val="left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质量标准</w:t>
            </w:r>
          </w:p>
        </w:tc>
        <w:tc>
          <w:tcPr>
            <w:tcW w:w="3653" w:type="dxa"/>
            <w:vAlign w:val="center"/>
          </w:tcPr>
          <w:p w14:paraId="617AFED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达到国家相关质量“合格”标准</w:t>
            </w:r>
          </w:p>
        </w:tc>
        <w:tc>
          <w:tcPr>
            <w:tcW w:w="2652" w:type="dxa"/>
            <w:vAlign w:val="center"/>
          </w:tcPr>
          <w:p w14:paraId="124D7B56">
            <w:pPr>
              <w:pStyle w:val="5"/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7" w:type="dxa"/>
            <w:vAlign w:val="center"/>
          </w:tcPr>
          <w:p w14:paraId="31E92F0B">
            <w:pPr>
              <w:pStyle w:val="5"/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E6A1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666" w:type="dxa"/>
            <w:vAlign w:val="center"/>
          </w:tcPr>
          <w:p w14:paraId="387291ED">
            <w:pPr>
              <w:pStyle w:val="5"/>
              <w:spacing w:line="24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C767D1D">
            <w:pPr>
              <w:pStyle w:val="5"/>
              <w:spacing w:line="240" w:lineRule="auto"/>
              <w:jc w:val="left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付款方式</w:t>
            </w:r>
          </w:p>
        </w:tc>
        <w:tc>
          <w:tcPr>
            <w:tcW w:w="3653" w:type="dxa"/>
            <w:vAlign w:val="center"/>
          </w:tcPr>
          <w:p w14:paraId="7598ECC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结算单位：采购人结算，在付款前必须开具等额发票给采购人。</w:t>
            </w:r>
          </w:p>
          <w:p w14:paraId="3DC1955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付款方式</w:t>
            </w:r>
          </w:p>
          <w:p w14:paraId="29965C1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（1）合同签订后甲方向乙方支付合同金额40﹪；</w:t>
            </w:r>
          </w:p>
          <w:p w14:paraId="6ECDA77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（2）工程竣工验收合格后，结算审计完成后甲方向乙方支付至结算审计金额的100%。</w:t>
            </w:r>
          </w:p>
          <w:p w14:paraId="36801C6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（3）供应商应于采购人每次付款前向采购人开具等额发票。因供应商迟延开票，采购人有权拒不付款且不承担任何责任。</w:t>
            </w:r>
          </w:p>
          <w:p w14:paraId="6AC267B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（4）甲方在收到乙方提供的等额发票后10个工作日内完成付款。</w:t>
            </w:r>
          </w:p>
        </w:tc>
        <w:tc>
          <w:tcPr>
            <w:tcW w:w="2652" w:type="dxa"/>
            <w:vAlign w:val="center"/>
          </w:tcPr>
          <w:p w14:paraId="24DA4094">
            <w:pPr>
              <w:pStyle w:val="5"/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7" w:type="dxa"/>
            <w:vAlign w:val="center"/>
          </w:tcPr>
          <w:p w14:paraId="285C0BCF">
            <w:pPr>
              <w:pStyle w:val="5"/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540A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666" w:type="dxa"/>
            <w:vAlign w:val="center"/>
          </w:tcPr>
          <w:p w14:paraId="3CDD6CFB">
            <w:pPr>
              <w:pStyle w:val="5"/>
              <w:spacing w:line="24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291E898">
            <w:pPr>
              <w:pStyle w:val="5"/>
              <w:spacing w:line="240" w:lineRule="auto"/>
              <w:jc w:val="left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履约保证金</w:t>
            </w:r>
          </w:p>
        </w:tc>
        <w:tc>
          <w:tcPr>
            <w:tcW w:w="3653" w:type="dxa"/>
            <w:vAlign w:val="center"/>
          </w:tcPr>
          <w:p w14:paraId="4302667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项目履约保证金为合同金额的3%。</w:t>
            </w:r>
          </w:p>
          <w:p w14:paraId="1C9EB5C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（1）履约保证金缴纳时间：中标后七日内需要缴纳履约保证金。未在规定时间内缴纳履约保证金视为拒签合同，自动放弃中标资格。</w:t>
            </w:r>
          </w:p>
          <w:p w14:paraId="00E274A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（2）履约保证金缴纳形式：采用银行对公转账、电汇或者金融机构、担保机构出具的保函等非现金的形式对公形式缴纳。</w:t>
            </w:r>
          </w:p>
          <w:p w14:paraId="44EC8AD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（3）履约保证金的退还：项目验收合格后履约保证金转为质保金，质保期满后，无工程质量争议，一次性无息退还至中标人账户。</w:t>
            </w:r>
          </w:p>
        </w:tc>
        <w:tc>
          <w:tcPr>
            <w:tcW w:w="2652" w:type="dxa"/>
            <w:vAlign w:val="center"/>
          </w:tcPr>
          <w:p w14:paraId="0650C76F">
            <w:pPr>
              <w:pStyle w:val="5"/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7" w:type="dxa"/>
            <w:vAlign w:val="center"/>
          </w:tcPr>
          <w:p w14:paraId="53ECB88C">
            <w:pPr>
              <w:pStyle w:val="5"/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1E8FDFF">
      <w:pPr>
        <w:pStyle w:val="3"/>
        <w:ind w:firstLine="0"/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请按磋商文件</w:t>
      </w:r>
      <w:r>
        <w:rPr>
          <w:rFonts w:hint="eastAsia" w:asciiTheme="minorEastAsia" w:hAnsiTheme="minorEastAsia" w:cstheme="minorEastAsia"/>
          <w:sz w:val="28"/>
          <w:szCs w:val="28"/>
        </w:rPr>
        <w:t>技术要求的内容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cstheme="minorEastAsia"/>
          <w:sz w:val="28"/>
          <w:szCs w:val="28"/>
        </w:rPr>
        <w:t>认真填写本表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。偏差说明填写：正偏离、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无偏离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或负偏离。</w:t>
      </w:r>
      <w:r>
        <w:rPr>
          <w:rFonts w:hint="eastAsia"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如未明确标明负偏离或不满足（不响应）视为完全响应本项目商务条款要求。</w:t>
      </w:r>
    </w:p>
    <w:p w14:paraId="30A5C3A3">
      <w:pPr>
        <w:wordWrap w:val="0"/>
        <w:adjustRightInd w:val="0"/>
        <w:snapToGrid w:val="0"/>
        <w:spacing w:line="480" w:lineRule="auto"/>
        <w:jc w:val="right"/>
        <w:rPr>
          <w:rFonts w:hint="default" w:ascii="宋体" w:hAnsi="宋体" w:eastAsia="宋体" w:cs="宋体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供应商（单位名称及公章）：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         </w:t>
      </w:r>
    </w:p>
    <w:p w14:paraId="6988AE17">
      <w:pPr>
        <w:wordWrap w:val="0"/>
        <w:adjustRightInd w:val="0"/>
        <w:snapToGrid w:val="0"/>
        <w:spacing w:line="480" w:lineRule="auto"/>
        <w:jc w:val="right"/>
        <w:rPr>
          <w:rFonts w:hint="default" w:ascii="宋体" w:hAnsi="宋体" w:eastAsia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sectPr>
          <w:pgSz w:w="11906" w:h="16838"/>
          <w:pgMar w:top="1440" w:right="1803" w:bottom="1440" w:left="1803" w:header="851" w:footer="992" w:gutter="0"/>
          <w:cols w:space="720" w:num="1"/>
          <w:docGrid w:type="lines" w:linePitch="319" w:charSpace="0"/>
        </w:sectPr>
      </w:pP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日    期：  年   月   日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</w:p>
    <w:p w14:paraId="77A9A0C0">
      <w:pPr>
        <w:pStyle w:val="6"/>
        <w:ind w:firstLine="280"/>
        <w:rPr>
          <w:rFonts w:asciiTheme="minorEastAsia" w:hAnsi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表2、技术响应偏差表</w:t>
      </w:r>
    </w:p>
    <w:tbl>
      <w:tblPr>
        <w:tblStyle w:val="7"/>
        <w:tblW w:w="953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8"/>
        <w:gridCol w:w="3698"/>
        <w:gridCol w:w="2443"/>
        <w:gridCol w:w="1621"/>
        <w:gridCol w:w="832"/>
      </w:tblGrid>
      <w:tr w14:paraId="633DB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938" w:type="dxa"/>
            <w:vAlign w:val="center"/>
          </w:tcPr>
          <w:p w14:paraId="6CBA7FE5">
            <w:pPr>
              <w:pStyle w:val="5"/>
              <w:spacing w:line="480" w:lineRule="auto"/>
              <w:jc w:val="center"/>
              <w:rPr>
                <w:rFonts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3698" w:type="dxa"/>
            <w:vAlign w:val="center"/>
          </w:tcPr>
          <w:p w14:paraId="18A26B17">
            <w:pPr>
              <w:pStyle w:val="5"/>
              <w:spacing w:line="480" w:lineRule="auto"/>
              <w:jc w:val="left"/>
              <w:rPr>
                <w:rFonts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磋商文件要求 技术要求</w:t>
            </w:r>
          </w:p>
        </w:tc>
        <w:tc>
          <w:tcPr>
            <w:tcW w:w="2443" w:type="dxa"/>
            <w:vAlign w:val="center"/>
          </w:tcPr>
          <w:p w14:paraId="53E83F71">
            <w:pPr>
              <w:pStyle w:val="5"/>
              <w:spacing w:line="480" w:lineRule="auto"/>
              <w:rPr>
                <w:rFonts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响应文件技术内容</w:t>
            </w:r>
          </w:p>
        </w:tc>
        <w:tc>
          <w:tcPr>
            <w:tcW w:w="1621" w:type="dxa"/>
            <w:vAlign w:val="center"/>
          </w:tcPr>
          <w:p w14:paraId="11188CF4">
            <w:pPr>
              <w:pStyle w:val="5"/>
              <w:spacing w:line="480" w:lineRule="auto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偏差说明</w:t>
            </w:r>
          </w:p>
        </w:tc>
        <w:tc>
          <w:tcPr>
            <w:tcW w:w="832" w:type="dxa"/>
            <w:vAlign w:val="center"/>
          </w:tcPr>
          <w:p w14:paraId="4133E436">
            <w:pPr>
              <w:pStyle w:val="5"/>
              <w:spacing w:line="480" w:lineRule="auto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0C34B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2" w:hRule="atLeast"/>
          <w:jc w:val="center"/>
        </w:trPr>
        <w:tc>
          <w:tcPr>
            <w:tcW w:w="938" w:type="dxa"/>
            <w:vAlign w:val="center"/>
          </w:tcPr>
          <w:p w14:paraId="0C118FA2">
            <w:pPr>
              <w:pStyle w:val="5"/>
              <w:spacing w:line="48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698" w:type="dxa"/>
            <w:vAlign w:val="center"/>
          </w:tcPr>
          <w:p w14:paraId="2C0E6E52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1、粉刷干训楼1、2、6层房间及1-12#号学生公寓毕业生宿舍、及漏水房间共计约655间；公共部分墙面粉刷；共计面积约49000㎡；</w:t>
            </w:r>
          </w:p>
          <w:p w14:paraId="3E95497C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2、对1-12号学生公寓水房隔壁渗漏水宿舍的墙面粉层进行拆除，做防水处理后进行粉刷；</w:t>
            </w:r>
          </w:p>
          <w:p w14:paraId="388E57C3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3、对干训楼及1-12#号学生公寓公共区域进行局部粉刷，粉刷面积约3000㎡。</w:t>
            </w:r>
          </w:p>
          <w:p w14:paraId="163A3326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4、对干训楼及1-12号公寓宿舍木门、厕所门、玻璃、晾衣杆、窗纱、窗扣、卷闸门、踢脚线、过道吊顶等进行更换维修；更换部分照明灯、开关面板；更换或维修部分面盆、马桶、龙头等。</w:t>
            </w:r>
          </w:p>
          <w:p w14:paraId="4C32EB91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5、新配宿舍球形门锁（含8把钥匙）约70把。</w:t>
            </w:r>
          </w:p>
          <w:p w14:paraId="692B71D0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6、在更换维修施工过程中，对拆除的阀门、管道、墙面等进行原状恢复、连接，确保与原系统碰头后质量符合国家要求，确保正常使用；</w:t>
            </w:r>
          </w:p>
          <w:p w14:paraId="2D0E6A87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7、施工完成后对施工原路面、阀门井、绿化等原状恢复；</w:t>
            </w:r>
          </w:p>
          <w:p w14:paraId="34AAA097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8、施工完成后，房间、楼道等进行清扫保洁，清运施工垃圾等。 </w:t>
            </w:r>
          </w:p>
          <w:p w14:paraId="6AFD8C46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施工要求：</w:t>
            </w:r>
          </w:p>
          <w:p w14:paraId="73F573F1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使用的涂料、腻子等材料必须符合国家相关环保标准，主材、辅材要有出厂合格证及相关检测报告，具有环保检测报告，确保甲醛、苯等有害物质的含量在安全范围内，避免对学生的身体健康造成危害。进场后须对主材进行取样送检复试，相关费用由乙方承担</w:t>
            </w:r>
          </w:p>
          <w:p w14:paraId="46FC9761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2.粉刷材料要选择无毒无味的产品，在施工过程中和施工后，不会散发刺鼻气味，减少对学生生活和学习的影响，保证室内空气质量尽快达到安全标准。</w:t>
            </w:r>
          </w:p>
          <w:p w14:paraId="3F2B7481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3.制定合理的施工方案，做好对学生宿舍内组合床、桌椅等家具设施的施工保护，避免家具污染;做好施工后家具的复位、整理、清洁与检查工作。</w:t>
            </w:r>
          </w:p>
          <w:p w14:paraId="4469ED0D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4.工程质量标准:严格执行《建筑工程施工质量验收统一标准》GB50300-2013及行业相关规范要求。</w:t>
            </w:r>
          </w:p>
          <w:p w14:paraId="1B4950C3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5.乳胶漆喷刷后要求墙面平整，无空鼓、起泡、开裂等现象，无掉粉、起皮、漏刷、流挂、刷痕等现象。</w:t>
            </w:r>
          </w:p>
          <w:p w14:paraId="0C0E51D9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6.施工时注意做好周边警示和防护。供应商必须对其现场人员、设备及财产的安全负责。在施工及材料的运输等过程中发生的一切人身安全、财产损失、损害、意外事故及对第三方造成的损失均由供应商承担，采购人不承担任何经济及连带责任。</w:t>
            </w:r>
          </w:p>
          <w:p w14:paraId="564F8121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7.完成工程质量保修期内的维修任务，质保期为从竣工验收之日起两年。质保期内出现质量问题，乙方须在接到甲方通知48小时内到场维修，否则甲方可自行或委托第三方处理，相关费用由乙方承担。</w:t>
            </w:r>
          </w:p>
          <w:p w14:paraId="05B66484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8.采取措施对宿舍楼内设施设备进行保护，不得污染及损害宿舍楼内所有设施设备。如有污染和损害，乙方须照价赔偿；施工期间如有宿舍楼内财物丢失现象，乙方双倍赔偿损失。</w:t>
            </w:r>
          </w:p>
          <w:p w14:paraId="2A595791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9.施工期间控制噪声，要对施工过程产生的建筑垃圾堆放覆盖，避免产生粉尘，供应商负责建筑垃圾的外运工作。</w:t>
            </w:r>
            <w:bookmarkStart w:id="0" w:name="_GoBack"/>
            <w:bookmarkEnd w:id="0"/>
          </w:p>
        </w:tc>
        <w:tc>
          <w:tcPr>
            <w:tcW w:w="2443" w:type="dxa"/>
            <w:vAlign w:val="center"/>
          </w:tcPr>
          <w:p w14:paraId="063532DF">
            <w:pPr>
              <w:pStyle w:val="5"/>
              <w:spacing w:line="480" w:lineRule="auto"/>
              <w:ind w:firstLine="420" w:firstLineChars="200"/>
              <w:jc w:val="left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1" w:type="dxa"/>
            <w:vAlign w:val="center"/>
          </w:tcPr>
          <w:p w14:paraId="23C37C27">
            <w:pPr>
              <w:pStyle w:val="5"/>
              <w:spacing w:line="480" w:lineRule="auto"/>
              <w:ind w:firstLine="420" w:firstLineChars="200"/>
              <w:jc w:val="left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2" w:type="dxa"/>
            <w:vAlign w:val="center"/>
          </w:tcPr>
          <w:p w14:paraId="1A5B06F4">
            <w:pPr>
              <w:pStyle w:val="5"/>
              <w:spacing w:line="480" w:lineRule="auto"/>
              <w:ind w:firstLine="420" w:firstLineChars="200"/>
              <w:jc w:val="left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58F9A2BC">
      <w:pPr>
        <w:pStyle w:val="5"/>
        <w:ind w:firstLine="562" w:firstLineChars="200"/>
        <w:jc w:val="left"/>
        <w:rPr>
          <w:rFonts w:asciiTheme="minorEastAsia" w:hAnsi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填写说明：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请按磋商文件</w:t>
      </w:r>
      <w:r>
        <w:rPr>
          <w:rFonts w:hint="eastAsia" w:asciiTheme="minorEastAsia" w:hAnsiTheme="minorEastAsia" w:cstheme="minorEastAsia"/>
          <w:sz w:val="28"/>
          <w:szCs w:val="28"/>
        </w:rPr>
        <w:t>技术要求的内容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cstheme="minorEastAsia"/>
          <w:sz w:val="28"/>
          <w:szCs w:val="28"/>
        </w:rPr>
        <w:t>认真填写本表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。偏差说明填写：正偏离、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无偏离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或负偏离。</w:t>
      </w:r>
      <w:r>
        <w:rPr>
          <w:rFonts w:hint="eastAsia"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如未明确标明负偏离或不满足（不响应）视为完全响应本项目</w:t>
      </w:r>
      <w:r>
        <w:rPr>
          <w:rFonts w:hint="eastAsia" w:hAnsi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技术</w:t>
      </w:r>
      <w:r>
        <w:rPr>
          <w:rFonts w:hint="eastAsia"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条款要求。</w:t>
      </w:r>
    </w:p>
    <w:p w14:paraId="6C468BD8">
      <w:pPr>
        <w:adjustRightInd w:val="0"/>
        <w:snapToGrid w:val="0"/>
        <w:spacing w:line="480" w:lineRule="auto"/>
        <w:jc w:val="right"/>
        <w:rPr>
          <w:rFonts w:asciiTheme="minorEastAsia" w:hAnsi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58F854DF">
      <w:pPr>
        <w:wordWrap w:val="0"/>
        <w:adjustRightInd w:val="0"/>
        <w:snapToGrid w:val="0"/>
        <w:spacing w:line="480" w:lineRule="auto"/>
        <w:jc w:val="right"/>
        <w:rPr>
          <w:rFonts w:hint="default" w:eastAsia="宋体" w:asciiTheme="minorEastAsia" w:hAnsiTheme="minorEastAsia" w:cstheme="minorEastAsia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供应商（单位名称及公章）：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          </w:t>
      </w:r>
    </w:p>
    <w:p w14:paraId="455F5D19">
      <w:pPr>
        <w:wordWrap w:val="0"/>
        <w:adjustRightInd w:val="0"/>
        <w:snapToGrid w:val="0"/>
        <w:spacing w:line="480" w:lineRule="auto"/>
        <w:jc w:val="right"/>
        <w:rPr>
          <w:rFonts w:hint="default" w:eastAsia="宋体"/>
          <w:lang w:val="en-US" w:eastAsia="zh-CN"/>
        </w:rPr>
      </w:pP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日    期：  年   月  日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</w:p>
    <w:sectPr>
      <w:pgSz w:w="11906" w:h="16838"/>
      <w:pgMar w:top="1440" w:right="1519" w:bottom="1440" w:left="151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11302D"/>
    <w:rsid w:val="433810D1"/>
    <w:rsid w:val="4681752B"/>
    <w:rsid w:val="5D033631"/>
    <w:rsid w:val="6D467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widowControl/>
      <w:adjustRightInd w:val="0"/>
      <w:snapToGrid w:val="0"/>
      <w:spacing w:before="20" w:after="20" w:line="415" w:lineRule="auto"/>
      <w:jc w:val="left"/>
      <w:outlineLvl w:val="1"/>
    </w:pPr>
    <w:rPr>
      <w:rFonts w:ascii="Cambria" w:hAnsi="Cambria"/>
      <w:b/>
      <w:bCs/>
      <w:kern w:val="0"/>
      <w:sz w:val="28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99"/>
    <w:pPr>
      <w:ind w:firstLine="420"/>
    </w:pPr>
    <w:rPr>
      <w:szCs w:val="20"/>
    </w:rPr>
  </w:style>
  <w:style w:type="paragraph" w:styleId="4">
    <w:name w:val="Body Text"/>
    <w:basedOn w:val="1"/>
    <w:next w:val="1"/>
    <w:qFormat/>
    <w:uiPriority w:val="99"/>
  </w:style>
  <w:style w:type="paragraph" w:styleId="5">
    <w:name w:val="Plain Text"/>
    <w:basedOn w:val="1"/>
    <w:qFormat/>
    <w:uiPriority w:val="99"/>
    <w:pPr>
      <w:spacing w:line="324" w:lineRule="auto"/>
    </w:pPr>
    <w:rPr>
      <w:rFonts w:ascii="宋体" w:hAnsi="Courier New" w:cs="Courier New"/>
      <w:szCs w:val="21"/>
    </w:rPr>
  </w:style>
  <w:style w:type="paragraph" w:styleId="6">
    <w:name w:val="Body Text First Indent"/>
    <w:basedOn w:val="4"/>
    <w:unhideWhenUsed/>
    <w:qFormat/>
    <w:uiPriority w:val="99"/>
    <w:pPr>
      <w:ind w:firstLine="420" w:firstLineChars="100"/>
    </w:pPr>
    <w:rPr>
      <w:rFonts w:ascii="Times New Roman" w:hAnsi="Times New Roman"/>
      <w:sz w:val="18"/>
      <w:szCs w:val="18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1757</Words>
  <Characters>1812</Characters>
  <Lines>0</Lines>
  <Paragraphs>0</Paragraphs>
  <TotalTime>1</TotalTime>
  <ScaleCrop>false</ScaleCrop>
  <LinksUpToDate>false</LinksUpToDate>
  <CharactersWithSpaces>1873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2025-03-26T04:38:00Z</dcterms:created>
  <dc:creator>Administrator</dc:creator>
  <cp:lastModifiedBy>Administrator</cp:lastModifiedBy>
  <dcterms:modified xsi:type="dcterms:W3CDTF">2026-06-16T09:28:20Z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eyJoZGlkIjoiNDRlMjQ3NDcxNTY1NzIwYWRmMDdlYTQxZjU1MzFkYjgiLCJ1c2VySWQiOiI0MDE5MjMxMTcifQ==</vt:lpwstr>
  </property>
  <property fmtid="{D5CDD505-2E9C-101B-9397-08002B2CF9AE}" pid="4" name="ICV">
    <vt:lpwstr>C4E225BFD38948CABF564B58A38A5AAA_12</vt:lpwstr>
  </property>
</Properties>
</file>