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版本号：HCCG-HZ202600320260703001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汉台中学明德楼加固改造项目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HCCG-HZ2026003</w:t>
      </w:r>
      <w:r>
        <w:br/>
      </w:r>
      <w:r>
        <w:br/>
      </w:r>
      <w:r>
        <w:br/>
      </w:r>
    </w:p>
    <w:p>
      <w:pPr>
        <w:pStyle w:val="null3"/>
        <w:jc w:val="center"/>
        <w:outlineLvl w:val="2"/>
      </w:pPr>
      <w:r>
        <w:rPr>
          <w:rFonts w:ascii="仿宋_GB2312" w:hAnsi="仿宋_GB2312" w:cs="仿宋_GB2312" w:eastAsia="仿宋_GB2312"/>
          <w:sz w:val="28"/>
          <w:b/>
        </w:rPr>
        <w:t>汉中市汉台中学</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汉中市汉台中学</w:t>
      </w:r>
      <w:r>
        <w:rPr>
          <w:rFonts w:ascii="仿宋_GB2312" w:hAnsi="仿宋_GB2312" w:cs="仿宋_GB2312" w:eastAsia="仿宋_GB2312"/>
        </w:rPr>
        <w:t>委托，拟对</w:t>
      </w:r>
      <w:r>
        <w:rPr>
          <w:rFonts w:ascii="仿宋_GB2312" w:hAnsi="仿宋_GB2312" w:cs="仿宋_GB2312" w:eastAsia="仿宋_GB2312"/>
        </w:rPr>
        <w:t>汉台中学明德楼加固改造项目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HCCG-HZ2026003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汉台中学明德楼加固改造项目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汉台中学明德楼加固改造，主体结构整体加固，内墙环保乳胶漆整体粉饰。外立面瓷砖清理及真石漆翻新、屋面挑檐及女儿墙拆除、屋面挑檐及防水恢复、电气设备拆除及恢复，以及安装隐形防护网。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采购包1（汉台中学明德楼加固改造项目）：属于专门面向中小企业采购。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1、营业执照或相关证明文件：供应商具有独立承担民事责任能力的法人、其他组织或自然人，提供有效营业执照/事业单位法人证书/其他组织的有效证明文件/自然人的身份证明/民办非企业单位登记证书。</w:t>
      </w:r>
    </w:p>
    <w:p>
      <w:pPr>
        <w:pStyle w:val="null3"/>
      </w:pPr>
      <w:r>
        <w:rPr>
          <w:rFonts w:ascii="仿宋_GB2312" w:hAnsi="仿宋_GB2312" w:cs="仿宋_GB2312" w:eastAsia="仿宋_GB2312"/>
        </w:rPr>
        <w:t>2、法定代表人证明书或法定代表人授权书及相关资料：法定代表人参加开标会议的，须出具法定代表人证明书及法定代表人合法有效的身份证扫描件；法定代表人授权他人参加开标会议的，须提供法定代表人授权委托书及被授权代表的身份证扫描件。</w:t>
      </w:r>
    </w:p>
    <w:p>
      <w:pPr>
        <w:pStyle w:val="null3"/>
      </w:pPr>
      <w:r>
        <w:rPr>
          <w:rFonts w:ascii="仿宋_GB2312" w:hAnsi="仿宋_GB2312" w:cs="仿宋_GB2312" w:eastAsia="仿宋_GB2312"/>
        </w:rPr>
        <w:t>3、供应商资格能力要求：供应商须具有建设行政主管部门核发的建筑工程施工总承包三级及以上资质和特种工程专业承包（结构补强）资质，且具有有效的安全生产许可证。凡未在《陕西省建筑市场监管与诚信信息发布平台》上登记的供应商不得参与。</w:t>
      </w:r>
    </w:p>
    <w:p>
      <w:pPr>
        <w:pStyle w:val="null3"/>
      </w:pPr>
      <w:r>
        <w:rPr>
          <w:rFonts w:ascii="仿宋_GB2312" w:hAnsi="仿宋_GB2312" w:cs="仿宋_GB2312" w:eastAsia="仿宋_GB2312"/>
        </w:rPr>
        <w:t>4、拟派项目负责人资质：拟派项目负责人须具有建设行政主管部门核发的建筑工程专业二级及以上注册建造师执业资质，并具有有效的安全生产考核合格证（建安B证），且无在建工程(需提供无在建承诺)，无不良记录；凡未在《陕西省建筑市场监管与诚信信息发布平台》上登记的项目负责人不得参与。</w:t>
      </w:r>
    </w:p>
    <w:p>
      <w:pPr>
        <w:pStyle w:val="null3"/>
      </w:pPr>
      <w:r>
        <w:rPr>
          <w:rFonts w:ascii="仿宋_GB2312" w:hAnsi="仿宋_GB2312" w:cs="仿宋_GB2312" w:eastAsia="仿宋_GB2312"/>
        </w:rPr>
        <w:t>5、信誉要求：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加盖公章的《汉中市政府采购供应商资格承诺函》扫描件。</w:t>
      </w:r>
    </w:p>
    <w:p>
      <w:pPr>
        <w:pStyle w:val="null3"/>
      </w:pPr>
      <w:r>
        <w:rPr>
          <w:rFonts w:ascii="仿宋_GB2312" w:hAnsi="仿宋_GB2312" w:cs="仿宋_GB2312" w:eastAsia="仿宋_GB2312"/>
        </w:rPr>
        <w:t>6、其他要求：本项目不接受联合体投标，供应商需提供非联合体书面声明。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汉中市汉台中学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09162226256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汉中市汉台区劳动东路红叶大酒店后院四层2楼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09162101418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采购包1：2,439,000.00元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开户名称：红城国际工程项目管理有限公司</w:t>
            </w:r>
          </w:p>
          <w:p>
            <w:pPr>
              <w:pStyle w:val="null3"/>
            </w:pPr>
            <w:r>
              <w:rPr>
                <w:rFonts w:ascii="仿宋_GB2312" w:hAnsi="仿宋_GB2312" w:cs="仿宋_GB2312" w:eastAsia="仿宋_GB2312"/>
              </w:rPr>
              <w:t>开户银行：中国民生银行西安东关正街支行</w:t>
            </w:r>
          </w:p>
          <w:p>
            <w:pPr>
              <w:pStyle w:val="null3"/>
            </w:pPr>
            <w:r>
              <w:rPr>
                <w:rFonts w:ascii="仿宋_GB2312" w:hAnsi="仿宋_GB2312" w:cs="仿宋_GB2312" w:eastAsia="仿宋_GB2312"/>
              </w:rPr>
              <w:t>银行账号：691867366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代理服务费收费标准：代理服务费收费标准：本项目采购代理服务费按国家收费标准执行，按照《招标代理服务收费管理暂行办法（计价格[2002]1980号文件》和（发改办价格[2011]534号文件）计算。</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汉中市汉台中学</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汉中市汉台中学</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汉中市汉台中学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联系人：梁女士</w:t>
      </w:r>
    </w:p>
    <w:p>
      <w:pPr>
        <w:pStyle w:val="null3"/>
      </w:pPr>
      <w:r>
        <w:rPr>
          <w:rFonts w:ascii="仿宋_GB2312" w:hAnsi="仿宋_GB2312" w:cs="仿宋_GB2312" w:eastAsia="仿宋_GB2312"/>
        </w:rPr>
        <w:t>联系电话：09162101418</w:t>
      </w:r>
    </w:p>
    <w:p>
      <w:pPr>
        <w:pStyle w:val="null3"/>
      </w:pPr>
      <w:r>
        <w:rPr>
          <w:rFonts w:ascii="仿宋_GB2312" w:hAnsi="仿宋_GB2312" w:cs="仿宋_GB2312" w:eastAsia="仿宋_GB2312"/>
        </w:rPr>
        <w:t>地址：汉中市汉台区劳动东路红叶大酒店后院四层2楼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2,439,000.00</w:t>
      </w:r>
    </w:p>
    <w:p>
      <w:pPr>
        <w:pStyle w:val="null3"/>
      </w:pPr>
      <w:r>
        <w:rPr>
          <w:rFonts w:ascii="仿宋_GB2312" w:hAnsi="仿宋_GB2312" w:cs="仿宋_GB2312" w:eastAsia="仿宋_GB2312"/>
        </w:rPr>
        <w:t>采购包最高限价（元）: 2,390,982.49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汉台中学明德楼加固改造项目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2,439,000.00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标的名称：汉台中学明德楼加固改造项目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一、项目概况及内容：汉台中学明德楼加固改造，主体结构整体加固，内墙环保乳胶漆整体粉饰。外立面瓷砖清理及真石漆翻新、屋面挑檐及女儿墙拆除、屋面挑檐及防水恢复、电气设备拆除及恢复，以及安装隐形防护网。</w:t>
            </w:r>
          </w:p>
          <w:p>
            <w:pPr>
              <w:pStyle w:val="null3"/>
            </w:pPr>
            <w:r>
              <w:rPr>
                <w:rFonts w:ascii="仿宋_GB2312" w:hAnsi="仿宋_GB2312" w:cs="仿宋_GB2312" w:eastAsia="仿宋_GB2312"/>
                <w:sz w:val="20"/>
              </w:rPr>
              <w:t>二、施工范围：本项目施工图纸、设计文件及工程量清单范围内全部工程内容。</w:t>
            </w:r>
          </w:p>
          <w:p>
            <w:pPr>
              <w:pStyle w:val="null3"/>
            </w:pPr>
            <w:r>
              <w:rPr>
                <w:rFonts w:ascii="仿宋_GB2312" w:hAnsi="仿宋_GB2312" w:cs="仿宋_GB2312" w:eastAsia="仿宋_GB2312"/>
                <w:sz w:val="20"/>
              </w:rPr>
              <w:t>三、工期：</w:t>
            </w:r>
            <w:r>
              <w:rPr>
                <w:rFonts w:ascii="仿宋_GB2312" w:hAnsi="仿宋_GB2312" w:cs="仿宋_GB2312" w:eastAsia="仿宋_GB2312"/>
                <w:sz w:val="20"/>
              </w:rPr>
              <w:t>40日历天</w:t>
            </w:r>
          </w:p>
          <w:p>
            <w:pPr>
              <w:pStyle w:val="null3"/>
            </w:pPr>
            <w:r>
              <w:rPr>
                <w:rFonts w:ascii="仿宋_GB2312" w:hAnsi="仿宋_GB2312" w:cs="仿宋_GB2312" w:eastAsia="仿宋_GB2312"/>
                <w:sz w:val="20"/>
              </w:rPr>
              <w:t>四、工程质量：达到合格标准</w:t>
            </w:r>
          </w:p>
          <w:p>
            <w:pPr>
              <w:pStyle w:val="null3"/>
            </w:pPr>
            <w:r>
              <w:rPr>
                <w:rFonts w:ascii="仿宋_GB2312" w:hAnsi="仿宋_GB2312" w:cs="仿宋_GB2312" w:eastAsia="仿宋_GB2312"/>
                <w:sz w:val="20"/>
              </w:rPr>
              <w:t>五、采购预算编制依据：</w:t>
            </w:r>
          </w:p>
          <w:p>
            <w:pPr>
              <w:pStyle w:val="null3"/>
            </w:pPr>
            <w:r>
              <w:rPr>
                <w:rFonts w:ascii="仿宋_GB2312" w:hAnsi="仿宋_GB2312" w:cs="仿宋_GB2312" w:eastAsia="仿宋_GB2312"/>
                <w:sz w:val="20"/>
              </w:rPr>
              <w:t>1、依据2026年5月中联宏信勘察设计有限公司设计的《汉台中学明德楼加固改造项目》施工图纸并结合现场勘察实际情况；</w:t>
            </w:r>
          </w:p>
          <w:p>
            <w:pPr>
              <w:pStyle w:val="null3"/>
            </w:pPr>
            <w:r>
              <w:rPr>
                <w:rFonts w:ascii="仿宋_GB2312" w:hAnsi="仿宋_GB2312" w:cs="仿宋_GB2312" w:eastAsia="仿宋_GB2312"/>
                <w:sz w:val="20"/>
              </w:rPr>
              <w:t>2、《陕西省建设工程工程量清单计价标准及计算标准（2025）》《陕西省基价表说明（2025）》《陕西省消耗量定额章节说明及费用规则（2025）》；</w:t>
            </w:r>
          </w:p>
          <w:p>
            <w:pPr>
              <w:pStyle w:val="null3"/>
            </w:pPr>
            <w:r>
              <w:rPr>
                <w:rFonts w:ascii="仿宋_GB2312" w:hAnsi="仿宋_GB2312" w:cs="仿宋_GB2312" w:eastAsia="仿宋_GB2312"/>
                <w:sz w:val="20"/>
              </w:rPr>
              <w:t>3、材料费依据《2026年4月汉中建设工程造价信息》材料价。</w:t>
            </w:r>
          </w:p>
          <w:p>
            <w:pPr>
              <w:pStyle w:val="null3"/>
            </w:pPr>
            <w:r>
              <w:rPr>
                <w:rFonts w:ascii="仿宋_GB2312" w:hAnsi="仿宋_GB2312" w:cs="仿宋_GB2312" w:eastAsia="仿宋_GB2312"/>
                <w:sz w:val="20"/>
              </w:rPr>
              <w:t>六、工程量清单编制软件采用：广联达云计价平台</w:t>
            </w:r>
            <w:r>
              <w:rPr>
                <w:rFonts w:ascii="仿宋_GB2312" w:hAnsi="仿宋_GB2312" w:cs="仿宋_GB2312" w:eastAsia="仿宋_GB2312"/>
                <w:sz w:val="20"/>
              </w:rPr>
              <w:t>GCCP7.0。</w:t>
            </w:r>
          </w:p>
          <w:p>
            <w:pPr>
              <w:pStyle w:val="null3"/>
            </w:pPr>
            <w:r>
              <w:rPr>
                <w:rFonts w:ascii="仿宋_GB2312" w:hAnsi="仿宋_GB2312" w:cs="仿宋_GB2312" w:eastAsia="仿宋_GB2312"/>
                <w:sz w:val="20"/>
              </w:rPr>
              <w:t>七、本项目采购预算：</w:t>
            </w:r>
            <w:r>
              <w:rPr>
                <w:rFonts w:ascii="仿宋_GB2312" w:hAnsi="仿宋_GB2312" w:cs="仿宋_GB2312" w:eastAsia="仿宋_GB2312"/>
                <w:sz w:val="20"/>
              </w:rPr>
              <w:t>2439000.00元</w:t>
            </w:r>
          </w:p>
          <w:p>
            <w:pPr>
              <w:pStyle w:val="null3"/>
            </w:pPr>
            <w:r>
              <w:rPr>
                <w:rFonts w:ascii="仿宋_GB2312" w:hAnsi="仿宋_GB2312" w:cs="仿宋_GB2312" w:eastAsia="仿宋_GB2312"/>
                <w:sz w:val="20"/>
              </w:rPr>
              <w:t>八、本项目最高限价：</w:t>
            </w:r>
            <w:r>
              <w:rPr>
                <w:rFonts w:ascii="仿宋_GB2312" w:hAnsi="仿宋_GB2312" w:cs="仿宋_GB2312" w:eastAsia="仿宋_GB2312"/>
                <w:sz w:val="20"/>
              </w:rPr>
              <w:t>2390982.49元</w:t>
            </w:r>
          </w:p>
          <w:p>
            <w:pPr>
              <w:pStyle w:val="null3"/>
            </w:pPr>
            <w:r>
              <w:rPr>
                <w:rFonts w:ascii="仿宋_GB2312" w:hAnsi="仿宋_GB2312" w:cs="仿宋_GB2312" w:eastAsia="仿宋_GB2312"/>
                <w:sz w:val="20"/>
              </w:rPr>
              <w:t>九、磋商报价要求：</w:t>
            </w:r>
          </w:p>
          <w:p>
            <w:pPr>
              <w:pStyle w:val="null3"/>
            </w:pPr>
            <w:r>
              <w:rPr>
                <w:rFonts w:ascii="仿宋_GB2312" w:hAnsi="仿宋_GB2312" w:cs="仿宋_GB2312" w:eastAsia="仿宋_GB2312"/>
                <w:sz w:val="20"/>
              </w:rPr>
              <w:t>1、本项目设有最高限价，最高限价经财政评审后，金额：¥2390982.49元（大写：贰佰叁拾玖万零玖佰捌拾贰元肆角玖分），供应商的磋商响应报价超过最高限价的，视为未响应竞争性磋商文件要求，其磋商响应文件按无效响应处理。</w:t>
            </w:r>
          </w:p>
          <w:p>
            <w:pPr>
              <w:pStyle w:val="null3"/>
            </w:pPr>
            <w:r>
              <w:rPr>
                <w:rFonts w:ascii="仿宋_GB2312" w:hAnsi="仿宋_GB2312" w:cs="仿宋_GB2312" w:eastAsia="仿宋_GB2312"/>
                <w:sz w:val="20"/>
              </w:rPr>
              <w:t>2、供应商各轮次磋商总报价不得超过最高限价，且满足磋商文件中不正当竞争预防措施（实质性要求）内容。</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工程质量达到建筑工程施工质量验收合格标准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1、为顺利推进政府采购电子化交易平台应用工作，供应商务必在开标截止时间30分钟前，通过项目电子化交易系统进行签到，如未进行签到，产生的一切后果由供应商自行承担。 2、供应商应认真核实本项目的工程量清单。磋商响应报价是供应商响应本项目要求的全部工作内容的价格体现，包括施工机械使用费、人工费、材料与设备费、其他(运杂费、质检费、安装费、缺陷修复费、保险费，以及合同明示或暗示的风险、责任和义务等)，以及管理费、税金、利润等所有费用，并符合建设工程计价规则。 3、因本项目为不见面开标，供应商无需在开标现场提交纸质响应文件，待采购结果发布后成交供应商向代理机构提交纸质版响应文件以便于存档，响应文件包括:正本壹份、副本壹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供应商需在项目电子交易系统中按要求上传《汉中市政府采购供应商资格承诺函》并进行电子签章。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供应商具有独立承担民事责任能力的法人、其他组织或自然人，提供有效营业执照/事业单位法人证书/其他组织的有效证明文件/自然人的身份证明/民办非企业单位登记证书。</w:t>
            </w:r>
          </w:p>
        </w:tc>
        <w:tc>
          <w:tcPr>
            <w:tcW w:type="dxa" w:w="1661"/>
          </w:tcPr>
          <w:p>
            <w:pPr>
              <w:pStyle w:val="null3"/>
            </w:pPr>
            <w:r>
              <w:rPr>
                <w:rFonts w:ascii="仿宋_GB2312" w:hAnsi="仿宋_GB2312" w:cs="仿宋_GB2312" w:eastAsia="仿宋_GB2312"/>
              </w:rPr>
              <w:t>供应商应提交的相关资格证明材料.docx 其他资料.docx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法定代表人证明书或法定代表人授权书及相关资料</w:t>
            </w:r>
          </w:p>
        </w:tc>
        <w:tc>
          <w:tcPr>
            <w:tcW w:type="dxa" w:w="3322"/>
          </w:tcPr>
          <w:p>
            <w:pPr>
              <w:pStyle w:val="null3"/>
            </w:pPr>
            <w:r>
              <w:rPr>
                <w:rFonts w:ascii="仿宋_GB2312" w:hAnsi="仿宋_GB2312" w:cs="仿宋_GB2312" w:eastAsia="仿宋_GB2312"/>
              </w:rPr>
              <w:t>法定代表人参加开标会议的，须出具法定代表人证明书及法定代表人合法有效的身份证扫描件；法定代表人授权他人参加开标会议的，须提供法定代表人授权委托书及被授权代表的身份证扫描件。</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供应商资格能力要求</w:t>
            </w:r>
          </w:p>
        </w:tc>
        <w:tc>
          <w:tcPr>
            <w:tcW w:type="dxa" w:w="3322"/>
          </w:tcPr>
          <w:p>
            <w:pPr>
              <w:pStyle w:val="null3"/>
            </w:pPr>
            <w:r>
              <w:rPr>
                <w:rFonts w:ascii="仿宋_GB2312" w:hAnsi="仿宋_GB2312" w:cs="仿宋_GB2312" w:eastAsia="仿宋_GB2312"/>
              </w:rPr>
              <w:t>供应商须具有建设行政主管部门核发的建筑工程施工总承包三级及以上资质和特种工程专业承包（结构补强）资质，且具有有效的安全生产许可证。凡未在《陕西省建筑市场监管与诚信信息发布平台》上登记的供应商不得参与。</w:t>
            </w:r>
          </w:p>
        </w:tc>
        <w:tc>
          <w:tcPr>
            <w:tcW w:type="dxa" w:w="1661"/>
          </w:tcPr>
          <w:p>
            <w:pPr>
              <w:pStyle w:val="null3"/>
            </w:pPr>
            <w:r>
              <w:rPr>
                <w:rFonts w:ascii="仿宋_GB2312" w:hAnsi="仿宋_GB2312" w:cs="仿宋_GB2312" w:eastAsia="仿宋_GB2312"/>
              </w:rPr>
              <w:t>供应商应提交的相关资格证明材料.docx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w:t>
            </w:r>
          </w:p>
        </w:tc>
        <w:tc>
          <w:tcPr>
            <w:tcW w:type="dxa" w:w="3322"/>
          </w:tcPr>
          <w:p>
            <w:pPr>
              <w:pStyle w:val="null3"/>
            </w:pPr>
            <w:r>
              <w:rPr>
                <w:rFonts w:ascii="仿宋_GB2312" w:hAnsi="仿宋_GB2312" w:cs="仿宋_GB2312" w:eastAsia="仿宋_GB2312"/>
              </w:rPr>
              <w:t>拟派项目负责人须具有建设行政主管部门核发的建筑工程专业二级及以上注册建造师执业资质，并具有有效的安全生产考核合格证（建安B证），且无在建工程(需提供无在建承诺)，无不良记录；凡未在《陕西省建筑市场监管与诚信信息发布平台》上登记的项目负责人不得参与。</w:t>
            </w:r>
          </w:p>
        </w:tc>
        <w:tc>
          <w:tcPr>
            <w:tcW w:type="dxa" w:w="1661"/>
          </w:tcPr>
          <w:p>
            <w:pPr>
              <w:pStyle w:val="null3"/>
            </w:pPr>
            <w:r>
              <w:rPr>
                <w:rFonts w:ascii="仿宋_GB2312" w:hAnsi="仿宋_GB2312" w:cs="仿宋_GB2312" w:eastAsia="仿宋_GB2312"/>
              </w:rPr>
              <w:t>项目经理资格证明及业绩.docx 项目管理机构组成表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提供加盖公章的《汉中市政府采购供应商资格承诺函》扫描件。</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 其他资料.docx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响应文件是否按竞争性磋商文件要求签署、盖章</w:t>
            </w:r>
          </w:p>
        </w:tc>
        <w:tc>
          <w:tcPr>
            <w:tcW w:type="dxa" w:w="1661"/>
          </w:tcPr>
          <w:p>
            <w:pPr>
              <w:pStyle w:val="null3"/>
            </w:pPr>
            <w:r>
              <w:rPr>
                <w:rFonts w:ascii="仿宋_GB2312" w:hAnsi="仿宋_GB2312" w:cs="仿宋_GB2312" w:eastAsia="仿宋_GB2312"/>
              </w:rPr>
              <w:t>详细评审技术部分.docx 已标价工程量清单 中小企业声明函 汉中市政府采购供应商资格承诺函.docx 响应文件封面 项目经理资格证明及业绩.docx 供应商应提交的相关资格证明材料.docx 项目管理机构组成表 主要人员简历表.docx 残疾人福利性单位声明函 法定代表人证明书与法定代表人授权书.docx 报价函 标的清单 其他资料.docx 供应商类似项目业绩一览表 响应函 磋商保证金缴纳凭证复印件.docx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响应文件报价有效性及唯一性</w:t>
            </w:r>
          </w:p>
        </w:tc>
        <w:tc>
          <w:tcPr>
            <w:tcW w:type="dxa" w:w="3322"/>
          </w:tcPr>
          <w:p>
            <w:pPr>
              <w:pStyle w:val="null3"/>
            </w:pPr>
            <w:r>
              <w:rPr>
                <w:rFonts w:ascii="仿宋_GB2312" w:hAnsi="仿宋_GB2312" w:cs="仿宋_GB2312" w:eastAsia="仿宋_GB2312"/>
              </w:rPr>
              <w:t>投标文件报价唯一，且没有高于最高投标限价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磋商供应商的磋商有效期符合竞争性磋商文件的要求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应满⾜磋商⽂件的要求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磋商保证金提交的金额、形式符合竞争性磋商文件要求</w:t>
            </w:r>
          </w:p>
        </w:tc>
        <w:tc>
          <w:tcPr>
            <w:tcW w:type="dxa" w:w="1661"/>
          </w:tcPr>
          <w:p>
            <w:pPr>
              <w:pStyle w:val="null3"/>
            </w:pPr>
            <w:r>
              <w:rPr>
                <w:rFonts w:ascii="仿宋_GB2312" w:hAnsi="仿宋_GB2312" w:cs="仿宋_GB2312" w:eastAsia="仿宋_GB2312"/>
              </w:rPr>
              <w:t>磋商保证金缴纳凭证复印件.docx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其他资料.docx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提供磋商供应商2023年1月1日至今承担过类似项目业绩，每提供一个计2.5分，满分5分。（业绩须提供中标通知书或成交通知书、合同协议书，时间以合同协议书签订时间为准）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项目负责人职称及业绩</w:t>
            </w:r>
          </w:p>
        </w:tc>
        <w:tc>
          <w:tcPr>
            <w:tcW w:type="dxa" w:w="2492"/>
          </w:tcPr>
          <w:p>
            <w:pPr>
              <w:pStyle w:val="null3"/>
            </w:pPr>
            <w:r>
              <w:rPr>
                <w:rFonts w:ascii="仿宋_GB2312" w:hAnsi="仿宋_GB2312" w:cs="仿宋_GB2312" w:eastAsia="仿宋_GB2312"/>
              </w:rPr>
              <w:t>①项目负责人具有中级及以上职称得2分，初级职称得1分，无职称不得分；②项目负责人具有类似施工业绩，每提供一个得2.5分，最多得5分；（业绩须提供中标通知书或成交通知书、合同协议书，时间以合同协议书签订时间为准，项目负责人业绩可与企业业绩互用）</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项目经理资格证明及业绩.docx</w:t>
            </w:r>
          </w:p>
        </w:tc>
      </w:tr>
      <w:tr>
        <w:tc>
          <w:tcPr>
            <w:tcW w:type="dxa" w:w="831"/>
            <w:vMerge/>
          </w:tcPr>
          <w:p/>
        </w:tc>
        <w:tc>
          <w:tcPr>
            <w:tcW w:type="dxa" w:w="1661"/>
          </w:tcPr>
          <w:p>
            <w:pPr>
              <w:pStyle w:val="null3"/>
            </w:pPr>
            <w:r>
              <w:rPr>
                <w:rFonts w:ascii="仿宋_GB2312" w:hAnsi="仿宋_GB2312" w:cs="仿宋_GB2312" w:eastAsia="仿宋_GB2312"/>
              </w:rPr>
              <w:t>技术负责人职称</w:t>
            </w:r>
          </w:p>
        </w:tc>
        <w:tc>
          <w:tcPr>
            <w:tcW w:type="dxa" w:w="2492"/>
          </w:tcPr>
          <w:p>
            <w:pPr>
              <w:pStyle w:val="null3"/>
            </w:pPr>
            <w:r>
              <w:rPr>
                <w:rFonts w:ascii="仿宋_GB2312" w:hAnsi="仿宋_GB2312" w:cs="仿宋_GB2312" w:eastAsia="仿宋_GB2312"/>
              </w:rPr>
              <w:t>技术负责人具有中级及以上职称得2分，初级职称得1分，无职称不得分；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现场人员证书证件</w:t>
            </w:r>
          </w:p>
        </w:tc>
        <w:tc>
          <w:tcPr>
            <w:tcW w:type="dxa" w:w="2492"/>
          </w:tcPr>
          <w:p>
            <w:pPr>
              <w:pStyle w:val="null3"/>
            </w:pPr>
            <w:r>
              <w:rPr>
                <w:rFonts w:ascii="仿宋_GB2312" w:hAnsi="仿宋_GB2312" w:cs="仿宋_GB2312" w:eastAsia="仿宋_GB2312"/>
              </w:rPr>
              <w:t>供应商提供为本项目配置的施工员、质量员、安全员、材料员、资料员的相关证书证件及社保证明，全部提供得10分，每少提供一个扣2分，扣完为止。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主要人员简历表.docx</w:t>
            </w:r>
          </w:p>
        </w:tc>
      </w:tr>
      <w:tr>
        <w:tc>
          <w:tcPr>
            <w:tcW w:type="dxa" w:w="831"/>
            <w:vMerge/>
          </w:tcPr>
          <w:p/>
        </w:tc>
        <w:tc>
          <w:tcPr>
            <w:tcW w:type="dxa" w:w="1661"/>
          </w:tcPr>
          <w:p>
            <w:pPr>
              <w:pStyle w:val="null3"/>
            </w:pPr>
            <w:r>
              <w:rPr>
                <w:rFonts w:ascii="仿宋_GB2312" w:hAnsi="仿宋_GB2312" w:cs="仿宋_GB2312" w:eastAsia="仿宋_GB2312"/>
              </w:rPr>
              <w:t>三体系认证证书</w:t>
            </w:r>
          </w:p>
        </w:tc>
        <w:tc>
          <w:tcPr>
            <w:tcW w:type="dxa" w:w="2492"/>
          </w:tcPr>
          <w:p>
            <w:pPr>
              <w:pStyle w:val="null3"/>
            </w:pPr>
            <w:r>
              <w:rPr>
                <w:rFonts w:ascii="仿宋_GB2312" w:hAnsi="仿宋_GB2312" w:cs="仿宋_GB2312" w:eastAsia="仿宋_GB2312"/>
              </w:rPr>
              <w:t>供应商提供质量管理、环境管理、职业健康安全管理体系认证证书，每提供1个，得2分，最多6分。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供应商应提交的相关资格证明材料.docx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一、评审内容：供应商针对本项目制定的项目实施方案应包含：①对项目总体概况表述；②施工部署及措施；③对项目主要及关键方案的表述；④施工进度安排；⑤工程重难点及解决措施。 二、评审标准：各项内容全面详细、阐述条理清晰详尽、符合本项目采购需求、能有效保障本项目实施的方案得10分:每缺一项扣2分，每一项内容存在缺陷，扣1分，扣完为止。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工程质量保证措施</w:t>
            </w:r>
          </w:p>
        </w:tc>
        <w:tc>
          <w:tcPr>
            <w:tcW w:type="dxa" w:w="2492"/>
          </w:tcPr>
          <w:p>
            <w:pPr>
              <w:pStyle w:val="null3"/>
            </w:pPr>
            <w:r>
              <w:rPr>
                <w:rFonts w:ascii="仿宋_GB2312" w:hAnsi="仿宋_GB2312" w:cs="仿宋_GB2312" w:eastAsia="仿宋_GB2312"/>
              </w:rPr>
              <w:t>一、评审内容：包括但不限于①质量管理工作流程；②工程质量保障方案；③工程质量控制体系；④施工检测及工序交验方案等。 二、评审标准:各项内容全面详细、阐述条理清晰详尽、符合本项目采购需求、能有效保障本项目实施得8分；每缺一项扣2分，每一项内容存在缺陷，扣1分，扣完为止。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安全生产施工保证措施</w:t>
            </w:r>
          </w:p>
        </w:tc>
        <w:tc>
          <w:tcPr>
            <w:tcW w:type="dxa" w:w="2492"/>
          </w:tcPr>
          <w:p>
            <w:pPr>
              <w:pStyle w:val="null3"/>
            </w:pPr>
            <w:r>
              <w:rPr>
                <w:rFonts w:ascii="仿宋_GB2312" w:hAnsi="仿宋_GB2312" w:cs="仿宋_GB2312" w:eastAsia="仿宋_GB2312"/>
              </w:rPr>
              <w:t>一、评审内容：包括但不限于①安全生产管理制度；②安全隐患排查、整改制度；③安全保障措施；④应急救援机制等。 二、评审标准:各项内容全面详细、阐述条理清晰详尽、符合本项目采购需求、 能有效保障本项目实施得8分；每缺一项扣2分，每一项内容存在缺陷，扣1分，扣完为止。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一、评审内容：包括但不限于①文明施工及环境保护体系及管理制度；②文明施工及环境保护相关措施（防尘降噪、节能减排）等。 二、评审标准：各项内容全面详细、阐述条理清晰详尽、符合本项目采购需求、能有效保障本项目实施得4分:每缺一项扣2分， 每一项内容存在缺陷，扣1分，扣完为止。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工期保证措施</w:t>
            </w:r>
          </w:p>
        </w:tc>
        <w:tc>
          <w:tcPr>
            <w:tcW w:type="dxa" w:w="2492"/>
          </w:tcPr>
          <w:p>
            <w:pPr>
              <w:pStyle w:val="null3"/>
            </w:pPr>
            <w:r>
              <w:rPr>
                <w:rFonts w:ascii="仿宋_GB2312" w:hAnsi="仿宋_GB2312" w:cs="仿宋_GB2312" w:eastAsia="仿宋_GB2312"/>
              </w:rPr>
              <w:t>一、评审内容：包括但不限于①总工期及节点工期安排；②施工进度计划安排；③进度保证措施。 二、评审标准:各项内容全面详细、阐述条理清晰详尽、符合本项目采购需求、能有效保障本项目实施得6分:每缺一项扣2分，每一项内容存在缺陷，扣1分，扣完为止。 三、备注:缺陷是指内容过于简单、不完善、前后表述不一致、套用其他项目方案或与项目需求不匹配、凭空编造、出现常识性错误及其他不利于项目实施等任意一种情形。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vMerge/>
          </w:tcPr>
          <w:p/>
        </w:tc>
        <w:tc>
          <w:tcPr>
            <w:tcW w:type="dxa" w:w="1661"/>
          </w:tcPr>
          <w:p>
            <w:pPr>
              <w:pStyle w:val="null3"/>
            </w:pPr>
            <w:r>
              <w:rPr>
                <w:rFonts w:ascii="仿宋_GB2312" w:hAnsi="仿宋_GB2312" w:cs="仿宋_GB2312" w:eastAsia="仿宋_GB2312"/>
              </w:rPr>
              <w:t>后续服务承诺及合理化建议</w:t>
            </w:r>
          </w:p>
        </w:tc>
        <w:tc>
          <w:tcPr>
            <w:tcW w:type="dxa" w:w="2492"/>
          </w:tcPr>
          <w:p>
            <w:pPr>
              <w:pStyle w:val="null3"/>
            </w:pPr>
            <w:r>
              <w:rPr>
                <w:rFonts w:ascii="仿宋_GB2312" w:hAnsi="仿宋_GB2312" w:cs="仿宋_GB2312" w:eastAsia="仿宋_GB2312"/>
              </w:rPr>
              <w:t>一、评审内容：包括但不限于①提供具体可行并符合国家相关保修规范的售后服务承诺；②提供服务保障措施； 二、评审标准：各项内容全面详细、阐述条理清晰详尽、符合本项目采购需求、能有效保障本项目实施得4分；每缺一项扣2分，每一项内容存在缺陷，扣1分，扣完为止。 备注:缺陷是指内容过于简单、不完善、前后表述不一致、套用其他项目方案或与项目需求不匹配、凭空编造、出现常识性错误及其他不利于项目实施等任意一种情形。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价格分采用低价优先法计算，即满足招标文件要求最低的投标报价为评审基准价，其价格分为满分，其他响应人的价格分统一按照下列公式计算：投标供应商报价得分=（评审基准价/报价）×30 注：本项目为专门面向中小企业采购的项目，因此不在执行价格评审优惠扶持政策。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详见附件：磋商保证金缴纳凭证复印件.docx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详见附件：详细评审技术部分.docx</w:t>
      </w:r>
    </w:p>
    <w:p>
      <w:pPr>
        <w:pStyle w:val="null3"/>
        <w:ind w:firstLine="960"/>
      </w:pPr>
      <w:r>
        <w:rPr>
          <w:rFonts w:ascii="仿宋_GB2312" w:hAnsi="仿宋_GB2312" w:cs="仿宋_GB2312" w:eastAsia="仿宋_GB2312"/>
        </w:rPr>
        <w:t>详见附件：项目经理资格证明及业绩.docx</w:t>
      </w:r>
    </w:p>
    <w:p>
      <w:pPr>
        <w:pStyle w:val="null3"/>
        <w:ind w:firstLine="960"/>
      </w:pPr>
      <w:r>
        <w:rPr>
          <w:rFonts w:ascii="仿宋_GB2312" w:hAnsi="仿宋_GB2312" w:cs="仿宋_GB2312" w:eastAsia="仿宋_GB2312"/>
        </w:rPr>
        <w:t>详见附件：主要人员简历表.docx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详见附件：政府采购建设工程合同.docx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