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0AC0F7">
      <w:pPr>
        <w:jc w:val="center"/>
        <w:rPr>
          <w:rFonts w:ascii="黑体" w:hAnsi="黑体" w:eastAsia="黑体" w:cs="黑体"/>
          <w:color w:val="000000" w:themeColor="text1"/>
          <w:sz w:val="28"/>
          <w:szCs w:val="28"/>
          <w:lang w:eastAsia="zh-CN"/>
          <w14:textFill>
            <w14:solidFill>
              <w14:schemeClr w14:val="tx1"/>
            </w14:solidFill>
          </w14:textFill>
        </w:rPr>
      </w:pPr>
      <w:r>
        <w:rPr>
          <w:rFonts w:hint="eastAsia" w:ascii="黑体" w:hAnsi="黑体" w:eastAsia="黑体" w:cs="黑体"/>
          <w:color w:val="000000" w:themeColor="text1"/>
          <w:sz w:val="28"/>
          <w:szCs w:val="28"/>
          <w:lang w:eastAsia="zh-CN"/>
          <w14:textFill>
            <w14:solidFill>
              <w14:schemeClr w14:val="tx1"/>
            </w14:solidFill>
          </w14:textFill>
        </w:rPr>
        <w:t>设备购置合同</w:t>
      </w:r>
    </w:p>
    <w:p w14:paraId="72B9AA43">
      <w:pPr>
        <w:rPr>
          <w:rFonts w:asciiTheme="minorEastAsia" w:hAnsiTheme="minorEastAsia" w:eastAsiaTheme="minorEastAsia" w:cstheme="minorEastAsia"/>
          <w:color w:val="000000" w:themeColor="text1"/>
          <w:lang w:eastAsia="zh-CN"/>
          <w14:textFill>
            <w14:solidFill>
              <w14:schemeClr w14:val="tx1"/>
            </w14:solidFill>
          </w14:textFill>
        </w:rPr>
      </w:pPr>
    </w:p>
    <w:p w14:paraId="07072DA7">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 xml:space="preserve">陕西职业技术学院(甲方)与 </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(乙方)就甲方购置的</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设备，经双方协商达成如下合同条款：</w:t>
      </w:r>
    </w:p>
    <w:p w14:paraId="55B55060">
      <w:pPr>
        <w:spacing w:beforeLines="50" w:afterLines="50" w:line="360" w:lineRule="exact"/>
        <w:ind w:firstLine="482" w:firstLineChars="200"/>
        <w:rPr>
          <w:rFonts w:asciiTheme="minorEastAsia" w:hAnsiTheme="minorEastAsia" w:eastAsiaTheme="minorEastAsia" w:cstheme="minorEastAsia"/>
          <w:b/>
          <w:bCs/>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t>1.合同内容</w:t>
      </w:r>
    </w:p>
    <w:p w14:paraId="6F288244">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在甲方组织的关于</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产教融合实训基地项目-智慧社区服务实践中心-社区TPR智慧融合实训平台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采购招投标活动中，经评标确定乙方为供货单位。乙方按本合同中确定的设备名称、型号与规格、产地、数量及配套内容进行供货，详细配置见《设备购置清单》；乙方按时将货物运送到甲方指定的地点，负责到货设备的安装与调试，达到正常使用；乙方负责为甲方培训操作、维护人员，质保期内负责指导设备的操作使用和保养维修，做好售后服务工作。甲方在乙方完成合同明确规定的责任和义务后，按合同要求付给乙方相应的设备货款。</w:t>
      </w:r>
    </w:p>
    <w:p w14:paraId="206AC9E1">
      <w:pPr>
        <w:spacing w:line="36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1.1 设备购置清单(币种：人民币)</w:t>
      </w:r>
    </w:p>
    <w:tbl>
      <w:tblPr>
        <w:tblStyle w:val="6"/>
        <w:tblW w:w="8937" w:type="dxa"/>
        <w:tblInd w:w="11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21"/>
        <w:gridCol w:w="1458"/>
        <w:gridCol w:w="1776"/>
        <w:gridCol w:w="925"/>
        <w:gridCol w:w="1130"/>
        <w:gridCol w:w="1090"/>
        <w:gridCol w:w="1420"/>
        <w:gridCol w:w="617"/>
      </w:tblGrid>
      <w:tr w14:paraId="514E96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521" w:type="dxa"/>
            <w:vAlign w:val="center"/>
          </w:tcPr>
          <w:p w14:paraId="0C596CC4">
            <w:pPr>
              <w:jc w:val="center"/>
              <w:rPr>
                <w:rFonts w:asciiTheme="minorEastAsia" w:hAnsiTheme="minorEastAsia" w:eastAsiaTheme="minorEastAsia" w:cstheme="minorEastAsia"/>
                <w:b/>
                <w:bCs/>
                <w:color w:val="000000" w:themeColor="text1"/>
                <w:sz w:val="22"/>
                <w:szCs w:val="22"/>
                <w14:textFill>
                  <w14:solidFill>
                    <w14:schemeClr w14:val="tx1"/>
                  </w14:solidFill>
                </w14:textFill>
              </w:rPr>
            </w:pPr>
            <w:r>
              <w:rPr>
                <w:rFonts w:hint="eastAsia" w:asciiTheme="minorEastAsia" w:hAnsiTheme="minorEastAsia" w:eastAsiaTheme="minorEastAsia" w:cstheme="minorEastAsia"/>
                <w:b/>
                <w:bCs/>
                <w:color w:val="000000" w:themeColor="text1"/>
                <w:sz w:val="22"/>
                <w:szCs w:val="22"/>
                <w14:textFill>
                  <w14:solidFill>
                    <w14:schemeClr w14:val="tx1"/>
                  </w14:solidFill>
                </w14:textFill>
              </w:rPr>
              <w:t>序号</w:t>
            </w:r>
          </w:p>
        </w:tc>
        <w:tc>
          <w:tcPr>
            <w:tcW w:w="1458" w:type="dxa"/>
            <w:vAlign w:val="center"/>
          </w:tcPr>
          <w:p w14:paraId="5F5FB901">
            <w:pPr>
              <w:jc w:val="center"/>
              <w:rPr>
                <w:rFonts w:asciiTheme="minorEastAsia" w:hAnsiTheme="minorEastAsia" w:eastAsiaTheme="minorEastAsia" w:cstheme="minorEastAsia"/>
                <w:b/>
                <w:bCs/>
                <w:color w:val="000000" w:themeColor="text1"/>
                <w:spacing w:val="-20"/>
                <w:sz w:val="22"/>
                <w:szCs w:val="22"/>
                <w14:textFill>
                  <w14:solidFill>
                    <w14:schemeClr w14:val="tx1"/>
                  </w14:solidFill>
                </w14:textFill>
              </w:rPr>
            </w:pPr>
            <w:r>
              <w:rPr>
                <w:rFonts w:hint="eastAsia" w:asciiTheme="minorEastAsia" w:hAnsiTheme="minorEastAsia" w:eastAsiaTheme="minorEastAsia" w:cstheme="minorEastAsia"/>
                <w:b/>
                <w:bCs/>
                <w:color w:val="000000" w:themeColor="text1"/>
                <w:spacing w:val="-20"/>
                <w:sz w:val="22"/>
                <w:szCs w:val="22"/>
                <w14:textFill>
                  <w14:solidFill>
                    <w14:schemeClr w14:val="tx1"/>
                  </w14:solidFill>
                </w14:textFill>
              </w:rPr>
              <w:t>设备名称</w:t>
            </w:r>
          </w:p>
        </w:tc>
        <w:tc>
          <w:tcPr>
            <w:tcW w:w="1776" w:type="dxa"/>
            <w:vAlign w:val="center"/>
          </w:tcPr>
          <w:p w14:paraId="443B6260">
            <w:pPr>
              <w:jc w:val="center"/>
              <w:rPr>
                <w:rFonts w:asciiTheme="minorEastAsia" w:hAnsiTheme="minorEastAsia" w:eastAsiaTheme="minorEastAsia" w:cstheme="minorEastAsia"/>
                <w:b/>
                <w:bCs/>
                <w:color w:val="000000" w:themeColor="text1"/>
                <w:spacing w:val="-20"/>
                <w:sz w:val="22"/>
                <w:szCs w:val="22"/>
                <w14:textFill>
                  <w14:solidFill>
                    <w14:schemeClr w14:val="tx1"/>
                  </w14:solidFill>
                </w14:textFill>
              </w:rPr>
            </w:pPr>
            <w:r>
              <w:rPr>
                <w:rFonts w:hint="eastAsia" w:asciiTheme="minorEastAsia" w:hAnsiTheme="minorEastAsia" w:eastAsiaTheme="minorEastAsia" w:cstheme="minorEastAsia"/>
                <w:b/>
                <w:bCs/>
                <w:color w:val="000000" w:themeColor="text1"/>
                <w:spacing w:val="-20"/>
                <w:sz w:val="22"/>
                <w:szCs w:val="22"/>
                <w14:textFill>
                  <w14:solidFill>
                    <w14:schemeClr w14:val="tx1"/>
                  </w14:solidFill>
                </w14:textFill>
              </w:rPr>
              <w:t>品牌、规格、型号</w:t>
            </w:r>
          </w:p>
        </w:tc>
        <w:tc>
          <w:tcPr>
            <w:tcW w:w="925" w:type="dxa"/>
            <w:vAlign w:val="center"/>
          </w:tcPr>
          <w:p w14:paraId="484710BC">
            <w:pPr>
              <w:jc w:val="center"/>
              <w:rPr>
                <w:rFonts w:asciiTheme="minorEastAsia" w:hAnsiTheme="minorEastAsia" w:eastAsiaTheme="minorEastAsia" w:cstheme="minorEastAsia"/>
                <w:b/>
                <w:bCs/>
                <w:color w:val="000000" w:themeColor="text1"/>
                <w:spacing w:val="-20"/>
                <w:sz w:val="22"/>
                <w:szCs w:val="22"/>
                <w14:textFill>
                  <w14:solidFill>
                    <w14:schemeClr w14:val="tx1"/>
                  </w14:solidFill>
                </w14:textFill>
              </w:rPr>
            </w:pPr>
            <w:r>
              <w:rPr>
                <w:rFonts w:hint="eastAsia" w:asciiTheme="minorEastAsia" w:hAnsiTheme="minorEastAsia" w:eastAsiaTheme="minorEastAsia" w:cstheme="minorEastAsia"/>
                <w:b/>
                <w:bCs/>
                <w:color w:val="000000" w:themeColor="text1"/>
                <w:spacing w:val="-20"/>
                <w:sz w:val="22"/>
                <w:szCs w:val="22"/>
                <w14:textFill>
                  <w14:solidFill>
                    <w14:schemeClr w14:val="tx1"/>
                  </w14:solidFill>
                </w14:textFill>
              </w:rPr>
              <w:t>数量</w:t>
            </w:r>
          </w:p>
          <w:p w14:paraId="2F0FF5F8">
            <w:pPr>
              <w:jc w:val="center"/>
              <w:rPr>
                <w:rFonts w:asciiTheme="minorEastAsia" w:hAnsiTheme="minorEastAsia" w:eastAsiaTheme="minorEastAsia" w:cstheme="minorEastAsia"/>
                <w:b/>
                <w:bCs/>
                <w:color w:val="000000" w:themeColor="text1"/>
                <w:spacing w:val="-20"/>
                <w:sz w:val="22"/>
                <w:szCs w:val="22"/>
                <w14:textFill>
                  <w14:solidFill>
                    <w14:schemeClr w14:val="tx1"/>
                  </w14:solidFill>
                </w14:textFill>
              </w:rPr>
            </w:pPr>
            <w:r>
              <w:rPr>
                <w:rFonts w:hint="eastAsia" w:asciiTheme="minorEastAsia" w:hAnsiTheme="minorEastAsia" w:eastAsiaTheme="minorEastAsia" w:cstheme="minorEastAsia"/>
                <w:b/>
                <w:bCs/>
                <w:color w:val="000000" w:themeColor="text1"/>
                <w:spacing w:val="-20"/>
                <w:sz w:val="22"/>
                <w:szCs w:val="22"/>
                <w14:textFill>
                  <w14:solidFill>
                    <w14:schemeClr w14:val="tx1"/>
                  </w14:solidFill>
                </w14:textFill>
              </w:rPr>
              <w:t>(台、套)</w:t>
            </w:r>
          </w:p>
        </w:tc>
        <w:tc>
          <w:tcPr>
            <w:tcW w:w="1130" w:type="dxa"/>
            <w:vAlign w:val="center"/>
          </w:tcPr>
          <w:p w14:paraId="0758DACB">
            <w:pPr>
              <w:jc w:val="center"/>
              <w:rPr>
                <w:rFonts w:asciiTheme="minorEastAsia" w:hAnsiTheme="minorEastAsia" w:eastAsiaTheme="minorEastAsia" w:cstheme="minorEastAsia"/>
                <w:b/>
                <w:bCs/>
                <w:color w:val="000000" w:themeColor="text1"/>
                <w:spacing w:val="-20"/>
                <w:sz w:val="22"/>
                <w:szCs w:val="22"/>
                <w14:textFill>
                  <w14:solidFill>
                    <w14:schemeClr w14:val="tx1"/>
                  </w14:solidFill>
                </w14:textFill>
              </w:rPr>
            </w:pPr>
            <w:r>
              <w:rPr>
                <w:rFonts w:hint="eastAsia" w:asciiTheme="minorEastAsia" w:hAnsiTheme="minorEastAsia" w:eastAsiaTheme="minorEastAsia" w:cstheme="minorEastAsia"/>
                <w:b/>
                <w:bCs/>
                <w:color w:val="000000" w:themeColor="text1"/>
                <w:spacing w:val="-20"/>
                <w:sz w:val="22"/>
                <w:szCs w:val="22"/>
                <w14:textFill>
                  <w14:solidFill>
                    <w14:schemeClr w14:val="tx1"/>
                  </w14:solidFill>
                </w14:textFill>
              </w:rPr>
              <w:t>单价</w:t>
            </w:r>
          </w:p>
          <w:p w14:paraId="5D82FB03">
            <w:pPr>
              <w:jc w:val="center"/>
              <w:rPr>
                <w:rFonts w:asciiTheme="minorEastAsia" w:hAnsiTheme="minorEastAsia" w:eastAsiaTheme="minorEastAsia" w:cstheme="minorEastAsia"/>
                <w:b/>
                <w:bCs/>
                <w:color w:val="000000" w:themeColor="text1"/>
                <w:spacing w:val="-20"/>
                <w:sz w:val="22"/>
                <w:szCs w:val="22"/>
                <w14:textFill>
                  <w14:solidFill>
                    <w14:schemeClr w14:val="tx1"/>
                  </w14:solidFill>
                </w14:textFill>
              </w:rPr>
            </w:pPr>
            <w:r>
              <w:rPr>
                <w:rFonts w:hint="eastAsia" w:asciiTheme="minorEastAsia" w:hAnsiTheme="minorEastAsia" w:eastAsiaTheme="minorEastAsia" w:cstheme="minorEastAsia"/>
                <w:b/>
                <w:bCs/>
                <w:color w:val="000000" w:themeColor="text1"/>
                <w:spacing w:val="-20"/>
                <w:sz w:val="22"/>
                <w:szCs w:val="22"/>
                <w14:textFill>
                  <w14:solidFill>
                    <w14:schemeClr w14:val="tx1"/>
                  </w14:solidFill>
                </w14:textFill>
              </w:rPr>
              <w:t>(万元)</w:t>
            </w:r>
          </w:p>
        </w:tc>
        <w:tc>
          <w:tcPr>
            <w:tcW w:w="1090" w:type="dxa"/>
            <w:vAlign w:val="center"/>
          </w:tcPr>
          <w:p w14:paraId="7393AEA8">
            <w:pPr>
              <w:jc w:val="center"/>
              <w:rPr>
                <w:rFonts w:asciiTheme="minorEastAsia" w:hAnsiTheme="minorEastAsia" w:eastAsiaTheme="minorEastAsia" w:cstheme="minorEastAsia"/>
                <w:b/>
                <w:bCs/>
                <w:color w:val="000000" w:themeColor="text1"/>
                <w:spacing w:val="-20"/>
                <w:sz w:val="22"/>
                <w:szCs w:val="22"/>
                <w14:textFill>
                  <w14:solidFill>
                    <w14:schemeClr w14:val="tx1"/>
                  </w14:solidFill>
                </w14:textFill>
              </w:rPr>
            </w:pPr>
            <w:r>
              <w:rPr>
                <w:rFonts w:hint="eastAsia" w:asciiTheme="minorEastAsia" w:hAnsiTheme="minorEastAsia" w:eastAsiaTheme="minorEastAsia" w:cstheme="minorEastAsia"/>
                <w:b/>
                <w:bCs/>
                <w:color w:val="000000" w:themeColor="text1"/>
                <w:spacing w:val="-20"/>
                <w:sz w:val="22"/>
                <w:szCs w:val="22"/>
                <w14:textFill>
                  <w14:solidFill>
                    <w14:schemeClr w14:val="tx1"/>
                  </w14:solidFill>
                </w14:textFill>
              </w:rPr>
              <w:t>合计</w:t>
            </w:r>
          </w:p>
          <w:p w14:paraId="72C4658A">
            <w:pPr>
              <w:jc w:val="center"/>
              <w:rPr>
                <w:rFonts w:asciiTheme="minorEastAsia" w:hAnsiTheme="minorEastAsia" w:eastAsiaTheme="minorEastAsia" w:cstheme="minorEastAsia"/>
                <w:b/>
                <w:bCs/>
                <w:color w:val="000000" w:themeColor="text1"/>
                <w:spacing w:val="-20"/>
                <w:sz w:val="22"/>
                <w:szCs w:val="22"/>
                <w14:textFill>
                  <w14:solidFill>
                    <w14:schemeClr w14:val="tx1"/>
                  </w14:solidFill>
                </w14:textFill>
              </w:rPr>
            </w:pPr>
            <w:r>
              <w:rPr>
                <w:rFonts w:hint="eastAsia" w:asciiTheme="minorEastAsia" w:hAnsiTheme="minorEastAsia" w:eastAsiaTheme="minorEastAsia" w:cstheme="minorEastAsia"/>
                <w:b/>
                <w:bCs/>
                <w:color w:val="000000" w:themeColor="text1"/>
                <w:spacing w:val="-20"/>
                <w:sz w:val="22"/>
                <w:szCs w:val="22"/>
                <w14:textFill>
                  <w14:solidFill>
                    <w14:schemeClr w14:val="tx1"/>
                  </w14:solidFill>
                </w14:textFill>
              </w:rPr>
              <w:t>(万元)</w:t>
            </w:r>
          </w:p>
        </w:tc>
        <w:tc>
          <w:tcPr>
            <w:tcW w:w="1420" w:type="dxa"/>
            <w:vAlign w:val="center"/>
          </w:tcPr>
          <w:p w14:paraId="4C067350">
            <w:pPr>
              <w:jc w:val="center"/>
              <w:rPr>
                <w:rFonts w:asciiTheme="minorEastAsia" w:hAnsiTheme="minorEastAsia" w:eastAsiaTheme="minorEastAsia" w:cstheme="minorEastAsia"/>
                <w:b/>
                <w:bCs/>
                <w:color w:val="000000" w:themeColor="text1"/>
                <w:spacing w:val="-20"/>
                <w:sz w:val="22"/>
                <w:szCs w:val="22"/>
                <w14:textFill>
                  <w14:solidFill>
                    <w14:schemeClr w14:val="tx1"/>
                  </w14:solidFill>
                </w14:textFill>
              </w:rPr>
            </w:pPr>
            <w:r>
              <w:rPr>
                <w:rFonts w:hint="eastAsia" w:asciiTheme="minorEastAsia" w:hAnsiTheme="minorEastAsia" w:eastAsiaTheme="minorEastAsia" w:cstheme="minorEastAsia"/>
                <w:b/>
                <w:bCs/>
                <w:color w:val="000000" w:themeColor="text1"/>
                <w:spacing w:val="-20"/>
                <w:sz w:val="22"/>
                <w:szCs w:val="22"/>
                <w14:textFill>
                  <w14:solidFill>
                    <w14:schemeClr w14:val="tx1"/>
                  </w14:solidFill>
                </w14:textFill>
              </w:rPr>
              <w:t>生产商</w:t>
            </w:r>
          </w:p>
        </w:tc>
        <w:tc>
          <w:tcPr>
            <w:tcW w:w="617" w:type="dxa"/>
            <w:vAlign w:val="center"/>
          </w:tcPr>
          <w:p w14:paraId="7815E31A">
            <w:pPr>
              <w:jc w:val="center"/>
              <w:rPr>
                <w:rFonts w:asciiTheme="minorEastAsia" w:hAnsiTheme="minorEastAsia" w:eastAsiaTheme="minorEastAsia" w:cstheme="minorEastAsia"/>
                <w:b/>
                <w:bCs/>
                <w:color w:val="000000" w:themeColor="text1"/>
                <w:spacing w:val="-20"/>
                <w:sz w:val="22"/>
                <w:szCs w:val="22"/>
                <w14:textFill>
                  <w14:solidFill>
                    <w14:schemeClr w14:val="tx1"/>
                  </w14:solidFill>
                </w14:textFill>
              </w:rPr>
            </w:pPr>
            <w:r>
              <w:rPr>
                <w:rFonts w:hint="eastAsia" w:asciiTheme="minorEastAsia" w:hAnsiTheme="minorEastAsia" w:eastAsiaTheme="minorEastAsia" w:cstheme="minorEastAsia"/>
                <w:b/>
                <w:bCs/>
                <w:color w:val="000000" w:themeColor="text1"/>
                <w:spacing w:val="-20"/>
                <w:sz w:val="22"/>
                <w:szCs w:val="22"/>
                <w14:textFill>
                  <w14:solidFill>
                    <w14:schemeClr w14:val="tx1"/>
                  </w14:solidFill>
                </w14:textFill>
              </w:rPr>
              <w:t>备注</w:t>
            </w:r>
          </w:p>
        </w:tc>
      </w:tr>
      <w:tr w14:paraId="17EF87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trPr>
        <w:tc>
          <w:tcPr>
            <w:tcW w:w="521" w:type="dxa"/>
            <w:vAlign w:val="center"/>
          </w:tcPr>
          <w:p w14:paraId="4220806F">
            <w:pPr>
              <w:jc w:val="center"/>
              <w:rPr>
                <w:rFonts w:asciiTheme="minorEastAsia" w:hAnsiTheme="minorEastAsia" w:eastAsiaTheme="minorEastAsia" w:cstheme="minorEastAsia"/>
                <w:color w:val="000000" w:themeColor="text1"/>
                <w:sz w:val="22"/>
                <w:szCs w:val="22"/>
                <w14:textFill>
                  <w14:solidFill>
                    <w14:schemeClr w14:val="tx1"/>
                  </w14:solidFill>
                </w14:textFill>
              </w:rPr>
            </w:pPr>
            <w:r>
              <w:rPr>
                <w:rFonts w:hint="eastAsia" w:asciiTheme="minorEastAsia" w:hAnsiTheme="minorEastAsia" w:eastAsiaTheme="minorEastAsia" w:cstheme="minorEastAsia"/>
                <w:color w:val="000000" w:themeColor="text1"/>
                <w:sz w:val="22"/>
                <w:szCs w:val="22"/>
                <w14:textFill>
                  <w14:solidFill>
                    <w14:schemeClr w14:val="tx1"/>
                  </w14:solidFill>
                </w14:textFill>
              </w:rPr>
              <w:t>1</w:t>
            </w:r>
          </w:p>
        </w:tc>
        <w:tc>
          <w:tcPr>
            <w:tcW w:w="1458" w:type="dxa"/>
            <w:vAlign w:val="center"/>
          </w:tcPr>
          <w:p w14:paraId="6AAF93AE">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1776" w:type="dxa"/>
            <w:vAlign w:val="center"/>
          </w:tcPr>
          <w:p w14:paraId="0548BBEA">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925" w:type="dxa"/>
            <w:vAlign w:val="center"/>
          </w:tcPr>
          <w:p w14:paraId="2C89DC02">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1130" w:type="dxa"/>
            <w:vAlign w:val="center"/>
          </w:tcPr>
          <w:p w14:paraId="50EEB11C">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1090" w:type="dxa"/>
            <w:vAlign w:val="center"/>
          </w:tcPr>
          <w:p w14:paraId="5EB7A585">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1420" w:type="dxa"/>
            <w:vAlign w:val="center"/>
          </w:tcPr>
          <w:p w14:paraId="738E1A3E">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617" w:type="dxa"/>
            <w:vAlign w:val="center"/>
          </w:tcPr>
          <w:p w14:paraId="09E4342A">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r>
      <w:tr w14:paraId="13D8A6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4" w:hRule="atLeast"/>
        </w:trPr>
        <w:tc>
          <w:tcPr>
            <w:tcW w:w="521" w:type="dxa"/>
            <w:vAlign w:val="center"/>
          </w:tcPr>
          <w:p w14:paraId="4723D72C">
            <w:pPr>
              <w:jc w:val="center"/>
              <w:rPr>
                <w:rFonts w:asciiTheme="minorEastAsia" w:hAnsiTheme="minorEastAsia" w:eastAsiaTheme="minorEastAsia" w:cstheme="minorEastAsia"/>
                <w:color w:val="000000" w:themeColor="text1"/>
                <w:sz w:val="22"/>
                <w:szCs w:val="22"/>
                <w:lang w:eastAsia="zh-CN"/>
                <w14:textFill>
                  <w14:solidFill>
                    <w14:schemeClr w14:val="tx1"/>
                  </w14:solidFill>
                </w14:textFill>
              </w:rPr>
            </w:pPr>
            <w:r>
              <w:rPr>
                <w:rFonts w:hint="eastAsia" w:asciiTheme="minorEastAsia" w:hAnsiTheme="minorEastAsia" w:eastAsiaTheme="minorEastAsia" w:cstheme="minorEastAsia"/>
                <w:color w:val="000000" w:themeColor="text1"/>
                <w:sz w:val="22"/>
                <w:szCs w:val="22"/>
                <w:lang w:eastAsia="zh-CN"/>
                <w14:textFill>
                  <w14:solidFill>
                    <w14:schemeClr w14:val="tx1"/>
                  </w14:solidFill>
                </w14:textFill>
              </w:rPr>
              <w:t>2</w:t>
            </w:r>
          </w:p>
        </w:tc>
        <w:tc>
          <w:tcPr>
            <w:tcW w:w="1458" w:type="dxa"/>
            <w:vAlign w:val="center"/>
          </w:tcPr>
          <w:p w14:paraId="4D809CE4">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1776" w:type="dxa"/>
            <w:vAlign w:val="center"/>
          </w:tcPr>
          <w:p w14:paraId="54EEDB7E">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925" w:type="dxa"/>
            <w:vAlign w:val="center"/>
          </w:tcPr>
          <w:p w14:paraId="640C8576">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1130" w:type="dxa"/>
            <w:vAlign w:val="center"/>
          </w:tcPr>
          <w:p w14:paraId="3D23B93C">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1090" w:type="dxa"/>
            <w:vAlign w:val="center"/>
          </w:tcPr>
          <w:p w14:paraId="79687F34">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1420" w:type="dxa"/>
            <w:vAlign w:val="center"/>
          </w:tcPr>
          <w:p w14:paraId="2CAFD151">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617" w:type="dxa"/>
            <w:vAlign w:val="center"/>
          </w:tcPr>
          <w:p w14:paraId="56E371F0">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r>
      <w:tr w14:paraId="2FCFA0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7" w:hRule="atLeast"/>
        </w:trPr>
        <w:tc>
          <w:tcPr>
            <w:tcW w:w="521" w:type="dxa"/>
            <w:vAlign w:val="center"/>
          </w:tcPr>
          <w:p w14:paraId="5B3B47D2">
            <w:pPr>
              <w:jc w:val="center"/>
              <w:rPr>
                <w:rFonts w:asciiTheme="minorEastAsia" w:hAnsiTheme="minorEastAsia" w:eastAsiaTheme="minorEastAsia" w:cstheme="minorEastAsia"/>
                <w:color w:val="000000" w:themeColor="text1"/>
                <w:sz w:val="22"/>
                <w:szCs w:val="22"/>
                <w:lang w:eastAsia="zh-CN"/>
                <w14:textFill>
                  <w14:solidFill>
                    <w14:schemeClr w14:val="tx1"/>
                  </w14:solidFill>
                </w14:textFill>
              </w:rPr>
            </w:pPr>
            <w:r>
              <w:rPr>
                <w:rFonts w:hint="eastAsia" w:asciiTheme="minorEastAsia" w:hAnsiTheme="minorEastAsia" w:eastAsiaTheme="minorEastAsia" w:cstheme="minorEastAsia"/>
                <w:color w:val="000000" w:themeColor="text1"/>
                <w:sz w:val="22"/>
                <w:szCs w:val="22"/>
                <w:lang w:eastAsia="zh-CN"/>
                <w14:textFill>
                  <w14:solidFill>
                    <w14:schemeClr w14:val="tx1"/>
                  </w14:solidFill>
                </w14:textFill>
              </w:rPr>
              <w:t>...</w:t>
            </w:r>
          </w:p>
        </w:tc>
        <w:tc>
          <w:tcPr>
            <w:tcW w:w="1458" w:type="dxa"/>
            <w:vAlign w:val="center"/>
          </w:tcPr>
          <w:p w14:paraId="75EA57ED">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1776" w:type="dxa"/>
            <w:vAlign w:val="center"/>
          </w:tcPr>
          <w:p w14:paraId="70F13EF1">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925" w:type="dxa"/>
            <w:vAlign w:val="center"/>
          </w:tcPr>
          <w:p w14:paraId="500A7A28">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1130" w:type="dxa"/>
            <w:vAlign w:val="center"/>
          </w:tcPr>
          <w:p w14:paraId="63620F40">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1090" w:type="dxa"/>
            <w:vAlign w:val="center"/>
          </w:tcPr>
          <w:p w14:paraId="24B87C47">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1420" w:type="dxa"/>
            <w:vAlign w:val="center"/>
          </w:tcPr>
          <w:p w14:paraId="7A3A0ECB">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617" w:type="dxa"/>
            <w:vAlign w:val="center"/>
          </w:tcPr>
          <w:p w14:paraId="07BDB451">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r>
      <w:tr w14:paraId="061073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8" w:hRule="atLeast"/>
        </w:trPr>
        <w:tc>
          <w:tcPr>
            <w:tcW w:w="3755" w:type="dxa"/>
            <w:gridSpan w:val="3"/>
            <w:vMerge w:val="restart"/>
            <w:tcBorders>
              <w:bottom w:val="nil"/>
            </w:tcBorders>
          </w:tcPr>
          <w:p w14:paraId="3733791E">
            <w:pPr>
              <w:rPr>
                <w:rFonts w:asciiTheme="minorEastAsia" w:hAnsiTheme="minorEastAsia" w:eastAsiaTheme="minorEastAsia" w:cstheme="minorEastAsia"/>
                <w:color w:val="000000" w:themeColor="text1"/>
                <w:sz w:val="22"/>
                <w:szCs w:val="22"/>
                <w14:textFill>
                  <w14:solidFill>
                    <w14:schemeClr w14:val="tx1"/>
                  </w14:solidFill>
                </w14:textFill>
              </w:rPr>
            </w:pPr>
          </w:p>
          <w:p w14:paraId="6A3D063A">
            <w:pPr>
              <w:rPr>
                <w:rFonts w:asciiTheme="minorEastAsia" w:hAnsiTheme="minorEastAsia" w:eastAsiaTheme="minorEastAsia" w:cstheme="minorEastAsia"/>
                <w:color w:val="000000" w:themeColor="text1"/>
                <w:sz w:val="22"/>
                <w:szCs w:val="22"/>
                <w14:textFill>
                  <w14:solidFill>
                    <w14:schemeClr w14:val="tx1"/>
                  </w14:solidFill>
                </w14:textFill>
              </w:rPr>
            </w:pPr>
            <w:r>
              <w:rPr>
                <w:rFonts w:hint="eastAsia" w:asciiTheme="minorEastAsia" w:hAnsiTheme="minorEastAsia" w:eastAsiaTheme="minorEastAsia" w:cstheme="minorEastAsia"/>
                <w:color w:val="000000" w:themeColor="text1"/>
                <w:sz w:val="22"/>
                <w:szCs w:val="22"/>
                <w14:textFill>
                  <w14:solidFill>
                    <w14:schemeClr w14:val="tx1"/>
                  </w14:solidFill>
                </w14:textFill>
              </w:rPr>
              <w:t>合计(元)</w:t>
            </w:r>
          </w:p>
        </w:tc>
        <w:tc>
          <w:tcPr>
            <w:tcW w:w="5182" w:type="dxa"/>
            <w:gridSpan w:val="5"/>
            <w:vAlign w:val="center"/>
          </w:tcPr>
          <w:p w14:paraId="48D71DBC">
            <w:pPr>
              <w:jc w:val="both"/>
              <w:rPr>
                <w:rFonts w:asciiTheme="minorEastAsia" w:hAnsiTheme="minorEastAsia" w:eastAsiaTheme="minorEastAsia" w:cstheme="minorEastAsia"/>
                <w:color w:val="000000" w:themeColor="text1"/>
                <w:sz w:val="22"/>
                <w:szCs w:val="22"/>
                <w14:textFill>
                  <w14:solidFill>
                    <w14:schemeClr w14:val="tx1"/>
                  </w14:solidFill>
                </w14:textFill>
              </w:rPr>
            </w:pPr>
            <w:r>
              <w:rPr>
                <w:rFonts w:hint="eastAsia" w:asciiTheme="minorEastAsia" w:hAnsiTheme="minorEastAsia" w:eastAsiaTheme="minorEastAsia" w:cstheme="minorEastAsia"/>
                <w:color w:val="000000" w:themeColor="text1"/>
                <w:sz w:val="22"/>
                <w:szCs w:val="22"/>
                <w14:textFill>
                  <w14:solidFill>
                    <w14:schemeClr w14:val="tx1"/>
                  </w14:solidFill>
                </w14:textFill>
              </w:rPr>
              <w:t>大写：</w:t>
            </w:r>
          </w:p>
        </w:tc>
      </w:tr>
      <w:tr w14:paraId="772CA5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3" w:hRule="atLeast"/>
        </w:trPr>
        <w:tc>
          <w:tcPr>
            <w:tcW w:w="3755" w:type="dxa"/>
            <w:gridSpan w:val="3"/>
            <w:vMerge w:val="continue"/>
            <w:tcBorders>
              <w:top w:val="nil"/>
            </w:tcBorders>
          </w:tcPr>
          <w:p w14:paraId="1F41F2C1">
            <w:pP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5182" w:type="dxa"/>
            <w:gridSpan w:val="5"/>
            <w:vAlign w:val="center"/>
          </w:tcPr>
          <w:p w14:paraId="43D0F6A4">
            <w:pPr>
              <w:jc w:val="both"/>
              <w:rPr>
                <w:rFonts w:asciiTheme="minorEastAsia" w:hAnsiTheme="minorEastAsia" w:eastAsiaTheme="minorEastAsia" w:cstheme="minorEastAsia"/>
                <w:color w:val="000000" w:themeColor="text1"/>
                <w:sz w:val="22"/>
                <w:szCs w:val="22"/>
                <w14:textFill>
                  <w14:solidFill>
                    <w14:schemeClr w14:val="tx1"/>
                  </w14:solidFill>
                </w14:textFill>
              </w:rPr>
            </w:pPr>
            <w:r>
              <w:rPr>
                <w:rFonts w:hint="eastAsia" w:asciiTheme="minorEastAsia" w:hAnsiTheme="minorEastAsia" w:eastAsiaTheme="minorEastAsia" w:cstheme="minorEastAsia"/>
                <w:color w:val="000000" w:themeColor="text1"/>
                <w:sz w:val="22"/>
                <w:szCs w:val="22"/>
                <w14:textFill>
                  <w14:solidFill>
                    <w14:schemeClr w14:val="tx1"/>
                  </w14:solidFill>
                </w14:textFill>
              </w:rPr>
              <w:t>小写：</w:t>
            </w:r>
            <w:r>
              <w:rPr>
                <w:rFonts w:hint="eastAsia" w:asciiTheme="minorEastAsia" w:hAnsiTheme="minorEastAsia" w:eastAsiaTheme="minorEastAsia" w:cstheme="minorEastAsia"/>
                <w:color w:val="000000" w:themeColor="text1"/>
                <w:sz w:val="22"/>
                <w:szCs w:val="22"/>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2"/>
                <w:szCs w:val="22"/>
                <w14:textFill>
                  <w14:solidFill>
                    <w14:schemeClr w14:val="tx1"/>
                  </w14:solidFill>
                </w14:textFill>
              </w:rPr>
              <w:t>元</w:t>
            </w:r>
          </w:p>
        </w:tc>
      </w:tr>
    </w:tbl>
    <w:p w14:paraId="114D8096">
      <w:pPr>
        <w:spacing w:line="380" w:lineRule="exact"/>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1.2 合同总额是指设备到达陕西职业技术学院指定地点、完成验收后的价格，其中已包含货物费(含备品备件费)、包装费、运杂费(含搬运、装卸、保险费等)、工程费、材料费、全部税费、安装调试费、售后服务及培训费等相关费用。</w:t>
      </w:r>
    </w:p>
    <w:p w14:paraId="04BA84A0">
      <w:pPr>
        <w:spacing w:line="380" w:lineRule="exact"/>
        <w:ind w:firstLine="480" w:firstLineChars="200"/>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其中，</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不含税金额____元，增值税税额____元，适用税率____%。</w:t>
      </w:r>
    </w:p>
    <w:p w14:paraId="6FDF9C04">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1.3 合同总额为一次性包死价格，不受市场价格的变化和影响，在合同不发生变更时作为付款结算的依据。</w:t>
      </w:r>
    </w:p>
    <w:p w14:paraId="537FE2A5">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1.4 设备的技术参数要求</w:t>
      </w:r>
    </w:p>
    <w:p w14:paraId="3274A0AE">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1.4.1 本合同条款下提交货物的技术规格要求应等于或优于招投标文件技术规格要求(设备的技术参数和指标详见附件)。若技术规格要求中无相应规定，则应符合相应的国家有关部门最新颁布的相应正式标准。</w:t>
      </w:r>
    </w:p>
    <w:p w14:paraId="2570CD1F">
      <w:pPr>
        <w:spacing w:line="380" w:lineRule="exact"/>
        <w:ind w:firstLine="480" w:firstLineChars="200"/>
        <w:rPr>
          <w:rFonts w:hint="eastAsia" w:asciiTheme="minorEastAsia" w:hAnsiTheme="minorEastAsia" w:eastAsiaTheme="minorEastAsia" w:cstheme="minorEastAsia"/>
          <w:b/>
          <w:bCs/>
          <w:color w:val="FF0000"/>
          <w:sz w:val="24"/>
          <w:szCs w:val="24"/>
          <w:lang w:eastAsia="zh-CN"/>
        </w:rPr>
      </w:pPr>
      <w:r>
        <w:rPr>
          <w:rFonts w:hint="eastAsia" w:asciiTheme="minorEastAsia" w:hAnsiTheme="minorEastAsia" w:eastAsiaTheme="minorEastAsia" w:cstheme="minorEastAsia"/>
          <w:color w:val="FF0000"/>
          <w:sz w:val="24"/>
          <w:szCs w:val="24"/>
          <w:lang w:eastAsia="zh-CN"/>
        </w:rPr>
        <w:t xml:space="preserve">1.4.2 </w:t>
      </w:r>
      <w:r>
        <w:rPr>
          <w:rFonts w:hint="eastAsia" w:asciiTheme="minorEastAsia" w:hAnsiTheme="minorEastAsia" w:eastAsiaTheme="minorEastAsia" w:cstheme="minorEastAsia"/>
          <w:b/>
          <w:bCs/>
          <w:color w:val="FF0000"/>
          <w:sz w:val="24"/>
          <w:szCs w:val="24"/>
          <w:lang w:val="en-US" w:eastAsia="zh-CN"/>
        </w:rPr>
        <w:t>所有设备和参数要与招标文件、投标文件保持一致，若关键参数不一致，以其中最优最高标准为执行标准。</w:t>
      </w:r>
    </w:p>
    <w:p w14:paraId="08B2C5EF">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1.4.3 乙方应向甲方提供有关标准的中文文本。</w:t>
      </w:r>
    </w:p>
    <w:p w14:paraId="281B551B">
      <w:pPr>
        <w:spacing w:line="380" w:lineRule="exact"/>
        <w:ind w:firstLine="480" w:firstLineChars="200"/>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 xml:space="preserve">1.4.4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除非技术规范中另有规定，计量单位均采用中华人民共和国法定计量单位。</w:t>
      </w:r>
    </w:p>
    <w:p w14:paraId="66E07C6E">
      <w:pPr>
        <w:spacing w:beforeLines="50" w:afterLines="50" w:line="360" w:lineRule="exact"/>
        <w:ind w:firstLine="482" w:firstLineChars="200"/>
        <w:rPr>
          <w:rFonts w:asciiTheme="minorEastAsia" w:hAnsiTheme="minorEastAsia" w:eastAsiaTheme="minorEastAsia" w:cstheme="minorEastAsia"/>
          <w:b/>
          <w:bCs/>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t>2.包装运输要求</w:t>
      </w:r>
    </w:p>
    <w:p w14:paraId="260094F9">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设备的运输方式由乙方自行选择，在生产、运输、装卸过程中的任何安全问题与甲方无关。设备运输、装卸费用由乙方承担。乙方应做好设备的安全防护工作，保证甲方收到的是无任何损伤的货物。设备包装必须符合国家标准或行业标准，满足航空、铁路或公路运输以及货物装卸要求，乙方若因自身原因出现任何安全事故，责任均由乙方承担。同时，对于在此过程中由于乙方未尽义务，造成与甲方有关人或物的损伤，乙方应承担全部责任。</w:t>
      </w:r>
    </w:p>
    <w:p w14:paraId="68AD4E80">
      <w:pPr>
        <w:spacing w:beforeLines="50" w:afterLines="50" w:line="360" w:lineRule="exact"/>
        <w:ind w:firstLine="482" w:firstLineChars="200"/>
        <w:rPr>
          <w:rFonts w:asciiTheme="minorEastAsia" w:hAnsiTheme="minorEastAsia" w:eastAsiaTheme="minorEastAsia" w:cstheme="minorEastAsia"/>
          <w:b/>
          <w:bCs/>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t>3.交货时间及</w:t>
      </w:r>
      <w:bookmarkStart w:id="8" w:name="_GoBack"/>
      <w:bookmarkEnd w:id="8"/>
      <w:r>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t>交货地点</w:t>
      </w:r>
    </w:p>
    <w:p w14:paraId="7D5D312E">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3.1 本项目为交钥匙工程，乙方须提供整套合格产品，严格按照安全规范完成设备用电、照明及网络综合布线施工，确保各类设备供电稳定、网络畅通，满足正常运行使用条件，切实做好安全防护相关工作。产品交货、安装地点均为甲方指定地点。</w:t>
      </w:r>
    </w:p>
    <w:p w14:paraId="5FF31BE7">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3.2 合同签订后</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个工作日内，乙方负责将产品运输到指定地点，并按照验收标准和验收程序完成设备的安装、调试和验收工作。乙方保证运输过程产品包装完好、安装调试及验收时设备外观无划痕，设备质量完好。</w:t>
      </w:r>
    </w:p>
    <w:p w14:paraId="74E0FAE2">
      <w:pPr>
        <w:spacing w:beforeLines="50" w:afterLines="50" w:line="360" w:lineRule="exact"/>
        <w:ind w:firstLine="482" w:firstLineChars="200"/>
        <w:rPr>
          <w:rFonts w:asciiTheme="minorEastAsia" w:hAnsiTheme="minorEastAsia" w:eastAsiaTheme="minorEastAsia" w:cstheme="minorEastAsia"/>
          <w:b/>
          <w:bCs/>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t>4.产品质量保证</w:t>
      </w:r>
    </w:p>
    <w:p w14:paraId="7F5C12DA">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4.1 乙方提供的设备及配套产品，必须是合同规定厂家制造的、合格、全新、未曾使用的产品，产品内部无损坏，外表无磨损，内部包装无破损。</w:t>
      </w:r>
    </w:p>
    <w:p w14:paraId="30473F4C">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4.2 乙方提供的设备及配套产品必须等同于或优于合同技术指标要求，并能按国家标准供应、检测、调试，确保产品技术指标满足合同约定及使用要求。</w:t>
      </w:r>
    </w:p>
    <w:p w14:paraId="19F480A3">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4.3 乙方须保证所提供的货物经正确安装、正常运转和保养，在其使用寿命期内须具有符合质量要求和产品说明书的性能。在产品质量保证期之内，乙方须对由于设计、工艺或材料的缺陷而发生的任何不足或故障负责，并免费予以改进或更换。</w:t>
      </w:r>
    </w:p>
    <w:p w14:paraId="19120D4D">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4.4 根据甲方按检验标准自己检验结果或委托有资质的相关质检机构的检验结果，发现货物的数量、质量、规格与合同不符；或者在质量保证期内，证实货物存在缺陷，包括潜在的缺陷或使用不符合要求的材料等，甲方应书面通知乙方。接到上述通知后，乙方应及时免费更换或修理缺陷货物。乙方在甲方发出质量异议通知后，未作答复，甲方在通知书中所提出的要求应视为已被乙方接受。</w:t>
      </w:r>
    </w:p>
    <w:p w14:paraId="08534216">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4.5 乙方在收到通知后虽答复，但没有弥补缺陷，甲方可采取必要的补救措施，但由此引发的风险和费用将由乙方承担。甲方可从合同款或乙方提交的履约保证金中扣款，不足部分，甲方有权要求乙方赔偿。甲方根据合同规定对乙方行使的其他权力不受影响。</w:t>
      </w:r>
    </w:p>
    <w:p w14:paraId="0562185C">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4.6 产品质量保证期为甲方最终设备验收合格后</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年，设备正常使用寿命为</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年。质量保证期内乙方免费维修，包括设备的零配件及国内不能解决的故障需要返回生产厂维修时所发生的一切费用。须更换的零配件乙方保证原厂原装，如遇系统更新升级，乙方免费负责更新原装正版系统。质保期满后，乙方负责设备的终身维修。甲方如需更换设备的零配件，乙方保证更换的零配件为原厂原装，并只收取零配件的成本费，同时由乙方负责更换调试合格。</w:t>
      </w:r>
    </w:p>
    <w:p w14:paraId="1C73FDFC">
      <w:pPr>
        <w:spacing w:beforeLines="50" w:afterLines="50" w:line="360" w:lineRule="exact"/>
        <w:ind w:firstLine="482" w:firstLineChars="200"/>
        <w:rPr>
          <w:rFonts w:asciiTheme="minorEastAsia" w:hAnsiTheme="minorEastAsia" w:eastAsiaTheme="minorEastAsia" w:cstheme="minorEastAsia"/>
          <w:b/>
          <w:bCs/>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t>5.技术服务承诺</w:t>
      </w:r>
    </w:p>
    <w:p w14:paraId="28DE3D5D">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5.1 乙方应严格按照供货时间，及时给甲方供货。</w:t>
      </w:r>
    </w:p>
    <w:p w14:paraId="7BAAC157">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5.2 乙方负责提供设备相应的技术资料，包括产品合格证、产品保修单、安装使用及维护说明书以及运输装箱清单等，并对所有技术材料的真实性、准确性、先进性、完整性负责。</w:t>
      </w:r>
    </w:p>
    <w:p w14:paraId="768D7CE4">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5.3 人员培训：乙方免费为甲方培训设备使用人员，培训内容包括：设备操作、维护、简单维修等。</w:t>
      </w:r>
    </w:p>
    <w:p w14:paraId="75245E91">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5.4 售后服务：质保期内乙方对甲方提出的服务响应不得超过</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 xml:space="preserve">24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小时，</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并</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派人到现场排除故障或制定解决方案。乙方售后服务及维修专线：</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若乙方未在规定时间内响应或维修，甲方有权自行委托第三方维修，所产生的一切费用（包括但不限于维修费、运输费、替代设备租赁费等）均由乙方承担，甲方可直接从应付的任意一笔款项中抵扣，不足部分有权向乙方追偿。</w:t>
      </w:r>
    </w:p>
    <w:p w14:paraId="2F69627F">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5.5 具体服务详见乙方投标文件中乙方的承诺书。</w:t>
      </w:r>
    </w:p>
    <w:p w14:paraId="4C3A3C03">
      <w:pPr>
        <w:spacing w:beforeLines="50" w:afterLines="50" w:line="360" w:lineRule="exact"/>
        <w:ind w:firstLine="482" w:firstLineChars="200"/>
        <w:rPr>
          <w:rFonts w:asciiTheme="minorEastAsia" w:hAnsiTheme="minorEastAsia" w:eastAsiaTheme="minorEastAsia" w:cstheme="minorEastAsia"/>
          <w:b/>
          <w:bCs/>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t>6.验收方法及标准</w:t>
      </w:r>
    </w:p>
    <w:p w14:paraId="187A5475">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6.1 开箱验收</w:t>
      </w:r>
    </w:p>
    <w:p w14:paraId="5B3FDFC8">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6.1.1 产品运抵现场后，双方应及时开箱验收，并制作验收记录，以确认与本合同约定的数量、型号等是否一致。</w:t>
      </w:r>
    </w:p>
    <w:p w14:paraId="1ECCDFB6">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6.1.2 乙方应在交货前对产品的质量、规格、数量等进行详细而全面的检验，并出具证明产品符合合同规定的文件。该文件将作为申请付款单据的一部分，但有关质量、规格、数量的检验不应视为最终检验。</w:t>
      </w:r>
    </w:p>
    <w:p w14:paraId="33B44C84">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6.1.3 乙方所供设备必须按我国现使用的标准制造，所购标准件和原材料均是国家名牌企业(或用户指定厂家)的合格产品，不会受到其它方提出的专利权、商标权或工业设计权等起诉。其余技术条件完全按照甲方要求。</w:t>
      </w:r>
    </w:p>
    <w:p w14:paraId="735091FD">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6.1.4 开箱验收中如发现产品的数量、规格与合同约定不符，甲方有权拒收产品，乙方应及时按甲方要求免费对拒收产品采取更换或其他必要的补救措施，直至开箱验收合格，方视为乙方完成交货。</w:t>
      </w:r>
    </w:p>
    <w:p w14:paraId="5A8777B0">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6.2 检验验收</w:t>
      </w:r>
    </w:p>
    <w:p w14:paraId="1D057638">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6.2.1 交货完成后，乙方应及时组装、调试、试运行，按照合同条款规定的试运行完成后，双方及时组织对产品检验验收。合同双方均须派人参加合同要求双方参加的试验、检验。</w:t>
      </w:r>
    </w:p>
    <w:p w14:paraId="24E8ACA4">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6.2.2 在具体实施合同规定的检验验收之前，乙方需提前提交相应的测试计划(包括测试程序、测试内容和检验标准、试验时间安排等)供甲方确认。注：本条甲乙双方协商。</w:t>
      </w:r>
    </w:p>
    <w:p w14:paraId="53D26BD8">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6.2.3 除需甲方确认的试验验收外，乙方还应对所有检验验收测试的结果、步骤、原始数据等作妥善记录。如甲方要求，乙方应提供这些记录给甲方。</w:t>
      </w:r>
    </w:p>
    <w:p w14:paraId="0C6A1841">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6.2.4 检验测试出现全部或部分未达到本合同所约定的技术指标，甲方有权选择下列任一处理方式：</w:t>
      </w:r>
    </w:p>
    <w:p w14:paraId="0A692820">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a.重新测试直至合格为止；</w:t>
      </w:r>
    </w:p>
    <w:p w14:paraId="3E3268CC">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b.要求乙方对货物进行免费更换，然后重新测试直至合格为止；无论选择何种方式，甲方因此而发生的因乙方原因引起的所有费用均由乙方负担。并承担造成延迟交付的违约责任</w:t>
      </w:r>
    </w:p>
    <w:p w14:paraId="76E8F7AB">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6.3 使用过程检验</w:t>
      </w:r>
    </w:p>
    <w:p w14:paraId="0F9EC362">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6.3.1 在合同规定的质量保证期内，发现设备的质量或规格与合同规定不符，或证明设备有缺陷，包括潜在的缺陷或使用不合适的原材料等，由甲方组织质检(相关检测费用由乙方承担),据质检报告及质量保证条款向乙方提出索赔，此索赔并不免除乙方应承担的合同义务。</w:t>
      </w:r>
    </w:p>
    <w:p w14:paraId="5EA6F052">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6.3.2 如果合同双方对乙方提供的上述试验结果报告的解释有分歧，双方须于出现分歧后</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天内给对方声明，以陈述己方的观点。声明须附有关证据。分歧应通过协商解决。</w:t>
      </w:r>
    </w:p>
    <w:p w14:paraId="4A2A99CA">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6.4 所有验收合格，但不能免除乙方应该承担的质保责任。</w:t>
      </w:r>
    </w:p>
    <w:p w14:paraId="04B9B1FE">
      <w:pPr>
        <w:spacing w:beforeLines="50" w:afterLines="50" w:line="360" w:lineRule="exact"/>
        <w:ind w:firstLine="482" w:firstLineChars="200"/>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t>7.合同款项支付方式</w:t>
      </w:r>
    </w:p>
    <w:p w14:paraId="3AA38A19">
      <w:pPr>
        <w:spacing w:line="380" w:lineRule="exact"/>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7.1 履约保证金</w:t>
      </w:r>
    </w:p>
    <w:p w14:paraId="13F0B621">
      <w:pPr>
        <w:spacing w:line="380" w:lineRule="exact"/>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7.1.1 乙方应在收到中标(成交)通知书后、合同签订前</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5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个工作日内，向甲方提交合同总价</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5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%的履约保证金（投标人可自主选择以银行转账、支票、汇票、本票或银行保函等非现金形式缴纳履约保证，乙方应于提交前就所选缴纳方式的具体要求与甲方财务部门确认）。</w:t>
      </w:r>
    </w:p>
    <w:p w14:paraId="5D7D824A">
      <w:pPr>
        <w:spacing w:line="380" w:lineRule="exact"/>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7.1.2 设备到货并由甲方验收合格后，采购人在收到供应商书面申请，经采购人确认供应商履行了合同约定的义务，无违约情形一次性予以无息退还。</w:t>
      </w:r>
    </w:p>
    <w:p w14:paraId="01ECF0D5">
      <w:pPr>
        <w:spacing w:line="380" w:lineRule="exact"/>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7.2 合同款支付</w:t>
      </w:r>
    </w:p>
    <w:p w14:paraId="20C33597">
      <w:pPr>
        <w:spacing w:line="380" w:lineRule="exact"/>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签订合同后，设备到达指定地点、安装调试完成并验收合格后，支付合同总价的</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100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 xml:space="preserve">  %。</w:t>
      </w:r>
    </w:p>
    <w:p w14:paraId="712F2269">
      <w:pPr>
        <w:spacing w:line="380" w:lineRule="exact"/>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7.3 甲方向乙方付款前时，乙方必须先提供等额的增值税专用发票，在乙方提供后，方可办理付款手续（税票及其相关资料办理具体问题与学校财务部门咨询或协商</w:t>
      </w:r>
      <w:r>
        <w:rPr>
          <w:rFonts w:hint="eastAsia" w:asciiTheme="minorEastAsia" w:hAnsiTheme="minorEastAsia" w:eastAsiaTheme="minorEastAsia" w:cstheme="minorEastAsia"/>
          <w:color w:val="auto"/>
          <w:sz w:val="24"/>
          <w:szCs w:val="24"/>
          <w:lang w:eastAsia="zh-CN"/>
        </w:rPr>
        <w:t>，乙方开具发票时，须在发票中逐项列明所供设备的名称、规格型号、数量及单价，不得合并开具</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若乙方不能按照学校财务部门的要求出具发票，甲方有权不予付款，由此所造成的一切损失由乙方自行承担，如因发票问题使得甲方蒙受损失（包含但不限于罚款、处理费用、声誉影响等）的，乙方应当承担全部责任，并赔偿损失。甲方在确认收到乙方提供的发票后</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10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个工作日内付款。</w:t>
      </w:r>
    </w:p>
    <w:p w14:paraId="168E8507">
      <w:pPr>
        <w:spacing w:beforeLines="50" w:afterLines="50" w:line="360" w:lineRule="exact"/>
        <w:ind w:firstLine="482" w:firstLineChars="200"/>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t>8.安全生产和文明施工</w:t>
      </w:r>
    </w:p>
    <w:p w14:paraId="1AC2EA25">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8.1 现场安全文明施工由乙方编制专项详细方案并严格执行。</w:t>
      </w:r>
    </w:p>
    <w:p w14:paraId="13BE635E">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8.2 乙方必须认真执行省市有关施工安全生产条例和规定以及甲方管理要求，并做好安全管理工作，避免并杜绝安全事故的发生。如发生安全事故，一切责任与后果均由乙方承担，同时，给甲方造成损失，乙方承担甲方相应经济赔偿责任。</w:t>
      </w:r>
    </w:p>
    <w:p w14:paraId="66B107FF">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8.3 在设备安装施工全过程中，乙方应服从甲方的各项管理，并对乙方施工人员进行安全管理。</w:t>
      </w:r>
    </w:p>
    <w:p w14:paraId="1C8E3065">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8.4 确保现场建筑物及相关设施设备完好无损，如施工过程中出现损坏，乙方负责修复赔偿。</w:t>
      </w:r>
    </w:p>
    <w:p w14:paraId="0DBA5782">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8.5 乙方应对安装施工人员相关岗位上岗资格进行审查，并对相关后果负责。</w:t>
      </w:r>
    </w:p>
    <w:p w14:paraId="3BC60B8C">
      <w:pPr>
        <w:spacing w:beforeLines="50" w:afterLines="50" w:line="360" w:lineRule="exact"/>
        <w:ind w:firstLine="482" w:firstLineChars="200"/>
        <w:rPr>
          <w:rFonts w:asciiTheme="minorEastAsia" w:hAnsiTheme="minorEastAsia" w:eastAsiaTheme="minorEastAsia" w:cstheme="minorEastAsia"/>
          <w:b/>
          <w:bCs/>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t>9.索赔</w:t>
      </w:r>
    </w:p>
    <w:p w14:paraId="196EF3BA">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9.1 产品的质量、规格、型号、数量、性能、产地及零配件等与合同约定不符，或在质量保证期内证实货物存有缺陷，包括潜在的缺陷或使用不符合要求的材料等，甲方有权根据有资质的权威质检机构的检验结果向乙方提出索赔。</w:t>
      </w:r>
    </w:p>
    <w:p w14:paraId="2D539C0D">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9.2 在验收合格前，乙方对甲方提出的索赔负有责任，乙方应按照甲方同意的下列一种或多种方式解决索赔事宜：</w:t>
      </w:r>
    </w:p>
    <w:p w14:paraId="317D4EFC">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9.2.1 在法定的退货期内，乙方应按合同规定将货款全额退还给甲方，并承担由此发生的一切损失和费用，包括利息、银行手续费、运费、保险费、检验费、仓储费、装卸费以及为保护退回货物所需的其它必要费用。如已超过退货期，但乙方同意退货，可比照上述办法办理，或由双方协商处理。</w:t>
      </w:r>
    </w:p>
    <w:p w14:paraId="757A1A95">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9.2.2 根据货物低劣程度、损坏程度以及甲方所遭受损失的数额，经甲乙双方商定降低货物的价格，或由有资质的中介机构评估，以降低后的价格或评估价格为准。</w:t>
      </w:r>
    </w:p>
    <w:p w14:paraId="1B566001">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9.2.3 用符合规格、质量和性能要求的原厂原装新零件、部件或货物来更换有缺陷的部分或修补缺陷部分，乙方应承担一切费用和风险，并负担甲方所发生的一切直接费用。同时，乙方应相应延长、修补或更换件的质保期。</w:t>
      </w:r>
    </w:p>
    <w:p w14:paraId="36285E72">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9.3 乙方收到甲方发出的索赔通知之日起</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5</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个工作日内未作答复的，甲方可从合同款或履约保证金中扣回索赔金额，如金额不足以补偿索赔金额，乙方应补足差额部分。</w:t>
      </w:r>
    </w:p>
    <w:p w14:paraId="0C748E13">
      <w:pPr>
        <w:spacing w:beforeLines="50" w:afterLines="50" w:line="360" w:lineRule="exact"/>
        <w:ind w:firstLine="482" w:firstLineChars="200"/>
        <w:rPr>
          <w:rFonts w:asciiTheme="minorEastAsia" w:hAnsiTheme="minorEastAsia" w:eastAsiaTheme="minorEastAsia" w:cstheme="minorEastAsia"/>
          <w:b/>
          <w:bCs/>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t>10.违约责任</w:t>
      </w:r>
    </w:p>
    <w:p w14:paraId="6C65D48B">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10.1 合同生效后，甲乙双方应按合同规定认真全面履约。合同履约责任只涉及合同甲乙双方，不考虑第三方因素。</w:t>
      </w:r>
    </w:p>
    <w:p w14:paraId="46145DA1">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10.2 除不可抗力原因外，如遇下列情况之一者，乙方所缴纳的履约保证金甲方有权不予退还，作为对甲方的赔偿，且甲方有权解除本合同：(1)合同签订后不能按合同时限要求供货或安装调试；(2)所供设备不合格、与合同不符；(3)不能按合同履约；(4)因产品质量原因，不能通过验收。</w:t>
      </w:r>
    </w:p>
    <w:p w14:paraId="67E5A6E6">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10.3 如乙方产品质量不符合国家标准、行业内控标准或本合同技术附件要求的，甲方有权退货，乙方应退还全部货款，并承担合同总价款</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10</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%的违约金及其他损失。</w:t>
      </w:r>
    </w:p>
    <w:p w14:paraId="2AE9FAFB">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10.4 在合同规定的供货期内乙方未全部交货，除应如数补齐外，还应承担合同总款的</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10</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%违约金。</w:t>
      </w:r>
    </w:p>
    <w:p w14:paraId="3F11049E">
      <w:pPr>
        <w:spacing w:line="380" w:lineRule="exact"/>
        <w:ind w:firstLine="480" w:firstLineChars="200"/>
        <w:jc w:val="both"/>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10.5 乙方对货物不按招标文件要求，擅自更换，除恢复原招标产品外，应承担更换部分价款</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10</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%的违约金；乙方如对产品材质、随机配品以次充好，除全部按要求恢复外，应承担此部分价款</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10</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%的违约金。</w:t>
      </w:r>
    </w:p>
    <w:p w14:paraId="27FA1957">
      <w:pPr>
        <w:spacing w:line="380" w:lineRule="exact"/>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10.6 除不可抗力因素外，乙方没有按照合同规定的时间交货，甲方可要求乙方支付违约金，违约金每日按合同总价款的</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5</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‰计收。</w:t>
      </w:r>
    </w:p>
    <w:p w14:paraId="5392B0C0">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10.7 乙方</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对所供产品出现的问题推诿、拖延，</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24</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小时未作出服务响应和提供服务，甲方可要求乙方支付违约金，违约金每日按合同总价款的</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0.5</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‰计收。否则，甲方有权拒绝乙方以后参加学校竞标。</w:t>
      </w:r>
    </w:p>
    <w:p w14:paraId="6200A44D">
      <w:pPr>
        <w:spacing w:beforeLines="50" w:afterLines="50" w:line="360" w:lineRule="exact"/>
        <w:ind w:firstLine="482" w:firstLineChars="200"/>
        <w:rPr>
          <w:rFonts w:asciiTheme="minorEastAsia" w:hAnsiTheme="minorEastAsia" w:eastAsiaTheme="minorEastAsia" w:cstheme="minorEastAsia"/>
          <w:b/>
          <w:bCs/>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t>11.合同争议的解决</w:t>
      </w:r>
    </w:p>
    <w:p w14:paraId="3046D402">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11.1 甲乙双方由于本合同的履行而发生任何争议时，双方可先通过协商解决。</w:t>
      </w:r>
    </w:p>
    <w:p w14:paraId="6F3BFDBF">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11.2 任何一方不愿通过协商或通过协商仍不能解决争议，则双方中任何一方均应向甲方所在地人民法院起诉。</w:t>
      </w:r>
    </w:p>
    <w:p w14:paraId="07F872E4">
      <w:pPr>
        <w:spacing w:line="380" w:lineRule="exact"/>
        <w:ind w:firstLine="482" w:firstLineChars="200"/>
        <w:rPr>
          <w:rFonts w:asciiTheme="minorEastAsia" w:hAnsiTheme="minorEastAsia" w:eastAsiaTheme="minorEastAsia" w:cstheme="minorEastAsia"/>
          <w:b/>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color w:val="000000" w:themeColor="text1"/>
          <w:sz w:val="24"/>
          <w:szCs w:val="24"/>
          <w:lang w:eastAsia="zh-CN"/>
          <w14:textFill>
            <w14:solidFill>
              <w14:schemeClr w14:val="tx1"/>
            </w14:solidFill>
          </w14:textFill>
        </w:rPr>
        <w:t>12.违约解除合同</w:t>
      </w:r>
    </w:p>
    <w:p w14:paraId="204E95FE">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12.1 出现下列情形之一的，视为乙方违约。甲方可向乙方发出书面通知，部分或全部终止合同，同时保留向乙方索赔及追加其违约责任的权利。</w:t>
      </w:r>
    </w:p>
    <w:p w14:paraId="1965D831">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12.1.1 乙方未能在合同规定的限期或甲方同意延长的限期内，提供全部或部分货物的；</w:t>
      </w:r>
    </w:p>
    <w:p w14:paraId="3E60F294">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12.1.2 乙方未能履行合同规定的其它主要义务的；</w:t>
      </w:r>
    </w:p>
    <w:p w14:paraId="09D5A14D">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12.1.3 乙方在本合同履行过程中有欺诈行为的。</w:t>
      </w:r>
    </w:p>
    <w:p w14:paraId="5451C5D0">
      <w:pPr>
        <w:spacing w:line="380" w:lineRule="exact"/>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12.2 甲方全部或部分解除合同之后，乙方应承担甲方再次购买类似货物或服务而产生的支出。部分解除合同的，乙方应继续履行合同中未解除的部分。</w:t>
      </w:r>
    </w:p>
    <w:p w14:paraId="1AC71EB3">
      <w:pPr>
        <w:shd w:val="clear" w:color="auto" w:fill="auto"/>
        <w:spacing w:line="380" w:lineRule="exact"/>
        <w:ind w:firstLine="480" w:firstLineChars="200"/>
        <w:outlineLvl w:val="9"/>
        <w:rPr>
          <w:rFonts w:asciiTheme="minorEastAsia" w:hAnsiTheme="minorEastAsia" w:eastAsiaTheme="minorEastAsia" w:cstheme="minorEastAsia"/>
          <w:b w:val="0"/>
          <w:bCs w:val="0"/>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13.</w:t>
      </w:r>
      <w:bookmarkStart w:id="0" w:name="_Toc26328"/>
      <w:bookmarkStart w:id="1" w:name="_Toc14186"/>
      <w:bookmarkStart w:id="2" w:name="_Toc495505745"/>
      <w:bookmarkStart w:id="3" w:name="_Toc23280"/>
      <w:r>
        <w:rPr>
          <w:rFonts w:hint="eastAsia" w:asciiTheme="minorEastAsia" w:hAnsiTheme="minorEastAsia" w:eastAsiaTheme="minorEastAsia" w:cstheme="minorEastAsia"/>
          <w:b w:val="0"/>
          <w:bCs w:val="0"/>
          <w:color w:val="000000" w:themeColor="text1"/>
          <w:sz w:val="24"/>
          <w:szCs w:val="24"/>
          <w:lang w:eastAsia="zh-CN"/>
          <w14:textFill>
            <w14:solidFill>
              <w14:schemeClr w14:val="tx1"/>
            </w14:solidFill>
          </w14:textFill>
        </w:rPr>
        <w:t>不可抗力</w:t>
      </w:r>
      <w:bookmarkEnd w:id="0"/>
      <w:bookmarkEnd w:id="1"/>
      <w:bookmarkEnd w:id="2"/>
      <w:bookmarkEnd w:id="3"/>
    </w:p>
    <w:p w14:paraId="58177E16">
      <w:pPr>
        <w:shd w:val="clear" w:color="auto" w:fill="auto"/>
        <w:spacing w:line="380" w:lineRule="exact"/>
        <w:ind w:firstLine="480" w:firstLineChars="200"/>
        <w:rPr>
          <w:rFonts w:asciiTheme="minorEastAsia" w:hAnsiTheme="minorEastAsia" w:eastAsiaTheme="minorEastAsia" w:cstheme="minorEastAsia"/>
          <w:color w:val="000000" w:themeColor="text1"/>
          <w:kern w:val="0"/>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eastAsia="zh-CN"/>
          <w14:textFill>
            <w14:solidFill>
              <w14:schemeClr w14:val="tx1"/>
            </w14:solidFill>
          </w14:textFill>
        </w:rPr>
        <w:t>13.1</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0"/>
          <w:sz w:val="24"/>
          <w:szCs w:val="24"/>
          <w:lang w:eastAsia="zh-CN"/>
          <w14:textFill>
            <w14:solidFill>
              <w14:schemeClr w14:val="tx1"/>
            </w14:solidFill>
          </w14:textFill>
        </w:rPr>
        <w:t>本合同项下的“不可抗力”是指不能预见，不能避免且不能克服的客观情况，使得本合同一方当事人无法履行合同义务，如战争、严重火灾、水灾、风灾和地震属于不可抗力的事故。</w:t>
      </w:r>
    </w:p>
    <w:p w14:paraId="384CD9EF">
      <w:pPr>
        <w:shd w:val="clear" w:color="auto" w:fill="auto"/>
        <w:spacing w:line="380" w:lineRule="exact"/>
        <w:ind w:firstLine="480" w:firstLineChars="200"/>
        <w:rPr>
          <w:rFonts w:asciiTheme="minorEastAsia" w:hAnsiTheme="minorEastAsia" w:eastAsiaTheme="minorEastAsia" w:cstheme="minorEastAsia"/>
          <w:color w:val="000000" w:themeColor="text1"/>
          <w:kern w:val="0"/>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eastAsia="zh-CN"/>
          <w14:textFill>
            <w14:solidFill>
              <w14:schemeClr w14:val="tx1"/>
            </w14:solidFill>
          </w14:textFill>
        </w:rPr>
        <w:t>13.2</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0"/>
          <w:sz w:val="24"/>
          <w:szCs w:val="24"/>
          <w:lang w:eastAsia="zh-CN"/>
          <w14:textFill>
            <w14:solidFill>
              <w14:schemeClr w14:val="tx1"/>
            </w14:solidFill>
          </w14:textFill>
        </w:rPr>
        <w:t>一方因不可抗力不能履行合同或不能完全履行合同的，根据不可抗力的影响，可以部分或全部地免除责任。由于不可抗力原因致使项目开发中断时，项目交付日期及付款日期相应顺延，各方不承担违约责任。</w:t>
      </w:r>
    </w:p>
    <w:p w14:paraId="02CD050B">
      <w:pPr>
        <w:shd w:val="clear" w:color="auto" w:fill="auto"/>
        <w:spacing w:line="380" w:lineRule="exact"/>
        <w:ind w:firstLine="480" w:firstLineChars="200"/>
        <w:rPr>
          <w:rFonts w:asciiTheme="minorEastAsia" w:hAnsiTheme="minorEastAsia" w:eastAsiaTheme="minorEastAsia" w:cstheme="minorEastAsia"/>
          <w:color w:val="000000" w:themeColor="text1"/>
          <w:kern w:val="0"/>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eastAsia="zh-CN"/>
          <w14:textFill>
            <w14:solidFill>
              <w14:schemeClr w14:val="tx1"/>
            </w14:solidFill>
          </w14:textFill>
        </w:rPr>
        <w:t>13,3</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0"/>
          <w:sz w:val="24"/>
          <w:szCs w:val="24"/>
          <w:lang w:eastAsia="zh-CN"/>
          <w14:textFill>
            <w14:solidFill>
              <w14:schemeClr w14:val="tx1"/>
            </w14:solidFill>
          </w14:textFill>
        </w:rPr>
        <w:t>如不可抗力时间延续120天以上的，各方通过协商达成在合理的时间内继续履行合同，或部分履行合同，或终止合同的履行。</w:t>
      </w:r>
    </w:p>
    <w:p w14:paraId="14797211">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13.</w:t>
      </w:r>
      <w:r>
        <w:rPr>
          <w:rFonts w:hint="eastAsia" w:asciiTheme="minorEastAsia" w:hAnsiTheme="minorEastAsia" w:eastAsiaTheme="minorEastAsia" w:cstheme="minorEastAsia"/>
          <w:color w:val="000000" w:themeColor="text1"/>
          <w:kern w:val="0"/>
          <w:sz w:val="24"/>
          <w:szCs w:val="24"/>
          <w:lang w:eastAsia="zh-CN"/>
          <w14:textFill>
            <w14:solidFill>
              <w14:schemeClr w14:val="tx1"/>
            </w14:solidFill>
          </w14:textFill>
        </w:rPr>
        <w:t>4</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0"/>
          <w:sz w:val="24"/>
          <w:szCs w:val="24"/>
          <w:lang w:eastAsia="zh-CN"/>
          <w14:textFill>
            <w14:solidFill>
              <w14:schemeClr w14:val="tx1"/>
            </w14:solidFill>
          </w14:textFill>
        </w:rPr>
        <w:t>一方迟延履行后发生不可抗力的，不能免除责任。</w:t>
      </w:r>
    </w:p>
    <w:p w14:paraId="1A32A8F8">
      <w:pPr>
        <w:spacing w:beforeLines="-2147483648" w:afterLines="-2147483648" w:line="380" w:lineRule="exact"/>
        <w:ind w:firstLine="480" w:firstLineChars="200"/>
        <w:rPr>
          <w:rFonts w:asciiTheme="minorEastAsia" w:hAnsiTheme="minorEastAsia" w:eastAsiaTheme="minorEastAsia" w:cstheme="minorEastAsia"/>
          <w:b w:val="0"/>
          <w:bCs w:val="0"/>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4"/>
          <w:szCs w:val="24"/>
          <w:lang w:eastAsia="zh-CN"/>
          <w14:textFill>
            <w14:solidFill>
              <w14:schemeClr w14:val="tx1"/>
            </w14:solidFill>
          </w14:textFill>
        </w:rPr>
        <w:t>14.其它事项</w:t>
      </w:r>
    </w:p>
    <w:p w14:paraId="25EA8CCC">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14.1 合同经双方签字盖章后生效。本合同一式六份，甲方执五份，乙方执一份，执行完毕后自行失效。</w:t>
      </w:r>
    </w:p>
    <w:p w14:paraId="138208D3">
      <w:pPr>
        <w:spacing w:line="380" w:lineRule="exact"/>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14.2 下述文件为本合同一部分，并与本合同一起阅读和理解，且具有同等法律效力；合同的附件、投标文件均作为本合同不可分割的内容，且具有同等法律效力。合同的附件由甲方使用单位负责审核并签章。</w:t>
      </w:r>
    </w:p>
    <w:p w14:paraId="49EF9BEA">
      <w:pPr>
        <w:spacing w:line="380" w:lineRule="exact"/>
        <w:ind w:firstLine="480" w:firstLineChars="200"/>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a.合同附件（设备的具体配置及技术参数）；</w:t>
      </w:r>
    </w:p>
    <w:p w14:paraId="55B6F50D">
      <w:pPr>
        <w:spacing w:line="380" w:lineRule="exact"/>
        <w:ind w:firstLine="480" w:firstLineChars="200"/>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b.招标文件；</w:t>
      </w:r>
    </w:p>
    <w:p w14:paraId="22FFB5A1">
      <w:pPr>
        <w:spacing w:line="380" w:lineRule="exact"/>
        <w:ind w:firstLine="480" w:firstLineChars="200"/>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c.投标文件；</w:t>
      </w:r>
    </w:p>
    <w:p w14:paraId="4F2EC6B7">
      <w:pPr>
        <w:spacing w:line="380" w:lineRule="exact"/>
        <w:ind w:firstLine="480" w:firstLineChars="200"/>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d.进出口代理协议；</w:t>
      </w:r>
    </w:p>
    <w:p w14:paraId="1BE0435E">
      <w:pPr>
        <w:spacing w:line="380" w:lineRule="exact"/>
        <w:ind w:firstLine="480" w:firstLineChars="200"/>
        <w:rPr>
          <w:rFonts w:hint="default"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d.中标通知书。</w:t>
      </w:r>
    </w:p>
    <w:p w14:paraId="7D9D2921">
      <w:pPr>
        <w:spacing w:line="380" w:lineRule="exact"/>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14.3 通知和合同修改;在本合同执行过程中，一方给另一方的通知，都应以书面的形式（信函、传真）发送至对方，对本合同条款进行任何改动或补充，均须由甲乙双方签署书面合同修改签证，方为有效。</w:t>
      </w:r>
    </w:p>
    <w:p w14:paraId="36EE2FD6">
      <w:pPr>
        <w:shd w:val="clear" w:color="auto" w:fill="auto"/>
        <w:spacing w:line="380" w:lineRule="exact"/>
        <w:ind w:firstLine="480" w:firstLineChars="200"/>
        <w:rPr>
          <w:rFonts w:asciiTheme="minorEastAsia" w:hAnsiTheme="minorEastAsia" w:eastAsiaTheme="minorEastAsia" w:cstheme="minorEastAsia"/>
          <w:color w:val="000000" w:themeColor="text1"/>
          <w:kern w:val="0"/>
          <w:sz w:val="24"/>
          <w:szCs w:val="24"/>
          <w:lang w:eastAsia="zh-CN"/>
          <w14:textFill>
            <w14:solidFill>
              <w14:schemeClr w14:val="tx1"/>
            </w14:solidFill>
          </w14:textFill>
        </w:rPr>
      </w:pPr>
      <w:bookmarkStart w:id="4" w:name="_Toc18101"/>
      <w:bookmarkStart w:id="5" w:name="_Toc11939"/>
      <w:bookmarkStart w:id="6" w:name="_Toc1081"/>
      <w:bookmarkStart w:id="7" w:name="_Toc495505746"/>
      <w:r>
        <w:rPr>
          <w:rFonts w:hint="eastAsia" w:asciiTheme="minorEastAsia" w:hAnsiTheme="minorEastAsia" w:eastAsiaTheme="minorEastAsia" w:cstheme="minorEastAsia"/>
          <w:b w:val="0"/>
          <w:bCs w:val="0"/>
          <w:color w:val="000000" w:themeColor="text1"/>
          <w:sz w:val="24"/>
          <w:szCs w:val="24"/>
          <w:lang w:eastAsia="zh-CN"/>
          <w14:textFill>
            <w14:solidFill>
              <w14:schemeClr w14:val="tx1"/>
            </w14:solidFill>
          </w14:textFill>
        </w:rPr>
        <w:t>1</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4</w:t>
      </w:r>
      <w:r>
        <w:rPr>
          <w:rFonts w:hint="eastAsia" w:asciiTheme="minorEastAsia" w:hAnsiTheme="minorEastAsia" w:eastAsiaTheme="minorEastAsia" w:cstheme="minorEastAsia"/>
          <w:b w:val="0"/>
          <w:bCs w:val="0"/>
          <w:color w:val="000000" w:themeColor="text1"/>
          <w:sz w:val="24"/>
          <w:szCs w:val="24"/>
          <w:lang w:eastAsia="zh-CN"/>
          <w14:textFill>
            <w14:solidFill>
              <w14:schemeClr w14:val="tx1"/>
            </w14:solidFill>
          </w14:textFill>
        </w:rPr>
        <w:t>.4</w:t>
      </w:r>
      <w:bookmarkEnd w:id="4"/>
      <w:bookmarkEnd w:id="5"/>
      <w:bookmarkEnd w:id="6"/>
      <w:bookmarkEnd w:id="7"/>
      <w:r>
        <w:rPr>
          <w:rFonts w:asciiTheme="minorEastAsia" w:hAnsiTheme="minorEastAsia" w:eastAsiaTheme="minorEastAsia" w:cstheme="minorEastAsia"/>
          <w:color w:val="000000" w:themeColor="text1"/>
          <w:sz w:val="24"/>
          <w:szCs w:val="24"/>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0"/>
          <w:sz w:val="24"/>
          <w:szCs w:val="24"/>
          <w:lang w:eastAsia="zh-CN"/>
          <w14:textFill>
            <w14:solidFill>
              <w14:schemeClr w14:val="tx1"/>
            </w14:solidFill>
          </w14:textFill>
        </w:rPr>
        <w:t>本合同未尽事宜由双方共同协商，另行订立补充协议，补充协议与本协议具有同样的法律效力。如果本合同之附件与本合同规定不符, 以本合同规定为准。</w:t>
      </w:r>
    </w:p>
    <w:p w14:paraId="672A129E">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14.5 本合同履行过程中，双方就本合同项下事宜所发出的任何通知、函件、文件、资料等（以下合称“通知”），均应按本合同双方确认的地址、联系人、联系电话及邮箱送达。各方确认合同所填写地址为有效送达地址，并保证该地址准确、有效。收件方签收当日视为送达。特快专递或挂号信寄出后第</w:t>
      </w:r>
      <w:r>
        <w:rPr>
          <w:rFonts w:asciiTheme="minorEastAsia" w:hAnsiTheme="minorEastAsia" w:eastAsiaTheme="minorEastAsia" w:cstheme="minorEastAsia"/>
          <w:color w:val="000000" w:themeColor="text1"/>
          <w:sz w:val="24"/>
          <w:szCs w:val="24"/>
          <w:lang w:eastAsia="zh-CN"/>
          <w14:textFill>
            <w14:solidFill>
              <w14:schemeClr w14:val="tx1"/>
            </w14:solidFill>
          </w14:textFill>
        </w:rPr>
        <w:t>3</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日（以邮戳为准）视为送达，即使发生拒收、退回等情形。电子邮件自进入收件方指定电子邮箱系统时视为送达（发送成功即视为进入，无论是否阅读）。若采用多种方式，以最早到达时间为准。任何一方变更地址，应提前</w:t>
      </w:r>
      <w:r>
        <w:rPr>
          <w:rFonts w:asciiTheme="minorEastAsia" w:hAnsiTheme="minorEastAsia" w:eastAsiaTheme="minorEastAsia" w:cstheme="minorEastAsia"/>
          <w:color w:val="000000" w:themeColor="text1"/>
          <w:sz w:val="24"/>
          <w:szCs w:val="24"/>
          <w:lang w:eastAsia="zh-CN"/>
          <w14:textFill>
            <w14:solidFill>
              <w14:schemeClr w14:val="tx1"/>
            </w14:solidFill>
          </w14:textFill>
        </w:rPr>
        <w:t>3</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个工作日书面通知对方；否则，原地址仍有效，依此发出的通知一经发出即视为送达，由此产生的后果由未通知方自行承担。</w:t>
      </w:r>
    </w:p>
    <w:p w14:paraId="6940CB75">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p>
    <w:p w14:paraId="727381A0">
      <w:pPr>
        <w:spacing w:beforeLines="50" w:afterLines="5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合同签订地点：陕西职业技术学院</w:t>
      </w:r>
    </w:p>
    <w:p w14:paraId="7C9619C3">
      <w:pPr>
        <w:spacing w:beforeLines="50" w:afterLines="50"/>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合同签订时间：</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14:textFill>
            <w14:solidFill>
              <w14:schemeClr w14:val="tx1"/>
            </w14:solidFill>
          </w14:textFill>
        </w:rPr>
        <w:t>年</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14:textFill>
            <w14:solidFill>
              <w14:schemeClr w14:val="tx1"/>
            </w14:solidFill>
          </w14:textFill>
        </w:rPr>
        <w:t>月</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14:textFill>
            <w14:solidFill>
              <w14:schemeClr w14:val="tx1"/>
            </w14:solidFill>
          </w14:textFill>
        </w:rPr>
        <w:t>日</w:t>
      </w:r>
    </w:p>
    <w:p w14:paraId="12EE79B2">
      <w:pPr>
        <w:rPr>
          <w:rFonts w:asciiTheme="minorEastAsia" w:hAnsiTheme="minorEastAsia" w:eastAsiaTheme="minorEastAsia" w:cstheme="minorEastAsia"/>
          <w:color w:val="000000" w:themeColor="text1"/>
          <w:sz w:val="24"/>
          <w:szCs w:val="24"/>
          <w14:textFill>
            <w14:solidFill>
              <w14:schemeClr w14:val="tx1"/>
            </w14:solidFill>
          </w14:textFill>
        </w:rPr>
      </w:pPr>
    </w:p>
    <w:tbl>
      <w:tblPr>
        <w:tblStyle w:val="6"/>
        <w:tblW w:w="901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534"/>
        <w:gridCol w:w="4485"/>
      </w:tblGrid>
      <w:tr w14:paraId="1E84AF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8" w:hRule="atLeast"/>
        </w:trPr>
        <w:tc>
          <w:tcPr>
            <w:tcW w:w="4534" w:type="dxa"/>
            <w:vAlign w:val="center"/>
          </w:tcPr>
          <w:p w14:paraId="7C0767DD">
            <w:pPr>
              <w:jc w:val="both"/>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甲方(盖章):陕西职业技术学院</w:t>
            </w:r>
          </w:p>
        </w:tc>
        <w:tc>
          <w:tcPr>
            <w:tcW w:w="4485" w:type="dxa"/>
            <w:vAlign w:val="center"/>
          </w:tcPr>
          <w:p w14:paraId="5B4379A8">
            <w:pPr>
              <w:jc w:val="both"/>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乙方(盖章):</w:t>
            </w:r>
          </w:p>
        </w:tc>
      </w:tr>
      <w:tr w14:paraId="281F8E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2" w:hRule="atLeast"/>
        </w:trPr>
        <w:tc>
          <w:tcPr>
            <w:tcW w:w="4534" w:type="dxa"/>
            <w:vAlign w:val="center"/>
          </w:tcPr>
          <w:p w14:paraId="45117DB9">
            <w:pPr>
              <w:jc w:val="both"/>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地址：西安市灞桥区狄寨路2028号</w:t>
            </w:r>
          </w:p>
        </w:tc>
        <w:tc>
          <w:tcPr>
            <w:tcW w:w="4485" w:type="dxa"/>
            <w:vAlign w:val="center"/>
          </w:tcPr>
          <w:p w14:paraId="1FF6C7E8">
            <w:pPr>
              <w:jc w:val="both"/>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地址：</w:t>
            </w:r>
          </w:p>
        </w:tc>
      </w:tr>
      <w:tr w14:paraId="4BE249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6" w:hRule="atLeast"/>
        </w:trPr>
        <w:tc>
          <w:tcPr>
            <w:tcW w:w="4534" w:type="dxa"/>
            <w:vAlign w:val="center"/>
          </w:tcPr>
          <w:p w14:paraId="79514959">
            <w:pPr>
              <w:jc w:val="both"/>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法定代表人(签字):</w:t>
            </w:r>
          </w:p>
        </w:tc>
        <w:tc>
          <w:tcPr>
            <w:tcW w:w="4485" w:type="dxa"/>
            <w:vAlign w:val="center"/>
          </w:tcPr>
          <w:p w14:paraId="5B430297">
            <w:pPr>
              <w:jc w:val="both"/>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法定代表人(签字):</w:t>
            </w:r>
          </w:p>
        </w:tc>
      </w:tr>
      <w:tr w14:paraId="1B936E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5" w:hRule="atLeast"/>
        </w:trPr>
        <w:tc>
          <w:tcPr>
            <w:tcW w:w="4534" w:type="dxa"/>
            <w:vAlign w:val="center"/>
          </w:tcPr>
          <w:p w14:paraId="2F876896">
            <w:pPr>
              <w:jc w:val="both"/>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委托代理人(签字):</w:t>
            </w:r>
          </w:p>
        </w:tc>
        <w:tc>
          <w:tcPr>
            <w:tcW w:w="4485" w:type="dxa"/>
            <w:vAlign w:val="center"/>
          </w:tcPr>
          <w:p w14:paraId="17B2A9CE">
            <w:pPr>
              <w:jc w:val="both"/>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委托代理人(签字)</w:t>
            </w:r>
          </w:p>
        </w:tc>
      </w:tr>
      <w:tr w14:paraId="5B473E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2" w:hRule="atLeast"/>
        </w:trPr>
        <w:tc>
          <w:tcPr>
            <w:tcW w:w="4534" w:type="dxa"/>
            <w:vAlign w:val="center"/>
          </w:tcPr>
          <w:p w14:paraId="295D75D2">
            <w:pPr>
              <w:jc w:val="both"/>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联系人：</w:t>
            </w:r>
          </w:p>
        </w:tc>
        <w:tc>
          <w:tcPr>
            <w:tcW w:w="4485" w:type="dxa"/>
            <w:vAlign w:val="center"/>
          </w:tcPr>
          <w:p w14:paraId="700261F1">
            <w:pPr>
              <w:jc w:val="both"/>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联系人：</w:t>
            </w:r>
          </w:p>
        </w:tc>
      </w:tr>
      <w:tr w14:paraId="32CAEE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1" w:hRule="atLeast"/>
        </w:trPr>
        <w:tc>
          <w:tcPr>
            <w:tcW w:w="4534" w:type="dxa"/>
            <w:vAlign w:val="center"/>
          </w:tcPr>
          <w:p w14:paraId="6E182F28">
            <w:pPr>
              <w:jc w:val="both"/>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联系电话：</w:t>
            </w:r>
          </w:p>
        </w:tc>
        <w:tc>
          <w:tcPr>
            <w:tcW w:w="4485" w:type="dxa"/>
            <w:vAlign w:val="center"/>
          </w:tcPr>
          <w:p w14:paraId="54B38A6F">
            <w:pPr>
              <w:jc w:val="both"/>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联系电话：</w:t>
            </w:r>
          </w:p>
        </w:tc>
      </w:tr>
      <w:tr w14:paraId="403D5A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4" w:hRule="atLeast"/>
        </w:trPr>
        <w:tc>
          <w:tcPr>
            <w:tcW w:w="4534" w:type="dxa"/>
            <w:vAlign w:val="center"/>
          </w:tcPr>
          <w:p w14:paraId="06B4C777">
            <w:pPr>
              <w:jc w:val="both"/>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电子邮箱：</w:t>
            </w:r>
          </w:p>
        </w:tc>
        <w:tc>
          <w:tcPr>
            <w:tcW w:w="4485" w:type="dxa"/>
            <w:vAlign w:val="center"/>
          </w:tcPr>
          <w:p w14:paraId="525BD32C">
            <w:pPr>
              <w:jc w:val="both"/>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电子邮箱：</w:t>
            </w:r>
          </w:p>
        </w:tc>
      </w:tr>
    </w:tbl>
    <w:p w14:paraId="6E1DEE63">
      <w:pPr>
        <w:rPr>
          <w:rFonts w:hint="eastAsia" w:asciiTheme="minorEastAsia" w:hAnsiTheme="minorEastAsia" w:eastAsiaTheme="minorEastAsia" w:cstheme="minorEastAsia"/>
          <w:color w:val="000000" w:themeColor="text1"/>
          <w:lang w:eastAsia="zh-CN"/>
          <w14:textFill>
            <w14:solidFill>
              <w14:schemeClr w14:val="tx1"/>
            </w14:solidFill>
          </w14:textFill>
        </w:rPr>
      </w:pPr>
    </w:p>
    <w:p w14:paraId="71066EAB"/>
    <w:sectPr>
      <w:footerReference r:id="rId3" w:type="default"/>
      <w:pgSz w:w="11900" w:h="16830"/>
      <w:pgMar w:top="1377" w:right="1253" w:bottom="1304" w:left="1524" w:header="0" w:footer="1169" w:gutter="0"/>
      <w:pgNumType w:fmt="numberInDash"/>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7BF8CA">
    <w:pPr>
      <w:spacing w:line="174" w:lineRule="auto"/>
      <w:ind w:left="4435"/>
      <w:rPr>
        <w:rFonts w:ascii="Times New Roman" w:hAnsi="Times New Roman" w:eastAsia="Times New Roman" w:cs="Times New Roman"/>
        <w:sz w:val="15"/>
        <w:szCs w:val="15"/>
      </w:rPr>
    </w:pPr>
    <w:r>
      <w:rPr>
        <w:sz w:val="15"/>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53A5388">
                          <w:pPr>
                            <w:pStyle w:val="3"/>
                          </w:pPr>
                          <w:r>
                            <w:rPr>
                              <w:sz w:val="20"/>
                              <w:szCs w:val="22"/>
                            </w:rPr>
                            <w:fldChar w:fldCharType="begin"/>
                          </w:r>
                          <w:r>
                            <w:rPr>
                              <w:sz w:val="20"/>
                              <w:szCs w:val="22"/>
                            </w:rPr>
                            <w:instrText xml:space="preserve"> PAGE  \* MERGEFORMAT </w:instrText>
                          </w:r>
                          <w:r>
                            <w:rPr>
                              <w:sz w:val="20"/>
                              <w:szCs w:val="22"/>
                            </w:rPr>
                            <w:fldChar w:fldCharType="separate"/>
                          </w:r>
                          <w:r>
                            <w:rPr>
                              <w:sz w:val="20"/>
                              <w:szCs w:val="22"/>
                            </w:rPr>
                            <w:t>1</w:t>
                          </w:r>
                          <w:r>
                            <w:rPr>
                              <w:sz w:val="20"/>
                              <w:szCs w:val="22"/>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53A5388">
                    <w:pPr>
                      <w:pStyle w:val="3"/>
                    </w:pPr>
                    <w:r>
                      <w:rPr>
                        <w:sz w:val="20"/>
                        <w:szCs w:val="22"/>
                      </w:rPr>
                      <w:fldChar w:fldCharType="begin"/>
                    </w:r>
                    <w:r>
                      <w:rPr>
                        <w:sz w:val="20"/>
                        <w:szCs w:val="22"/>
                      </w:rPr>
                      <w:instrText xml:space="preserve"> PAGE  \* MERGEFORMAT </w:instrText>
                    </w:r>
                    <w:r>
                      <w:rPr>
                        <w:sz w:val="20"/>
                        <w:szCs w:val="22"/>
                      </w:rPr>
                      <w:fldChar w:fldCharType="separate"/>
                    </w:r>
                    <w:r>
                      <w:rPr>
                        <w:sz w:val="20"/>
                        <w:szCs w:val="22"/>
                      </w:rPr>
                      <w:t>1</w:t>
                    </w:r>
                    <w:r>
                      <w:rPr>
                        <w:sz w:val="20"/>
                        <w:szCs w:val="22"/>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2A624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kern w:val="0"/>
      <w:sz w:val="21"/>
      <w:szCs w:val="21"/>
      <w:lang w:val="en-US" w:eastAsia="en-US"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footer"/>
    <w:basedOn w:val="1"/>
    <w:semiHidden/>
    <w:unhideWhenUsed/>
    <w:qFormat/>
    <w:uiPriority w:val="99"/>
    <w:pPr>
      <w:tabs>
        <w:tab w:val="center" w:pos="4153"/>
        <w:tab w:val="right" w:pos="8306"/>
      </w:tabs>
      <w:snapToGrid w:val="0"/>
      <w:jc w:val="left"/>
    </w:pPr>
    <w:rPr>
      <w:sz w:val="18"/>
    </w:rPr>
  </w:style>
  <w:style w:type="table" w:customStyle="1" w:styleId="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2026-07-10T06:13:38Z</dcterms:created>
  <dc:creator>Administrator</dc:creator>
  <cp:lastModifiedBy>你都如何回忆我、</cp:lastModifiedBy>
  <dcterms:modified xsi:type="dcterms:W3CDTF">2026-07-10T06:16:58Z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eyJoZGlkIjoiYzRhNmUyYmVlYTA3NTUwMmY3YjExODVkZTY5MjY1NDYiLCJ1c2VySWQiOiIxMjQ3Nzk4Nzc4In0=</vt:lpwstr>
  </property>
  <property fmtid="{D5CDD505-2E9C-101B-9397-08002B2CF9AE}" pid="4" name="ICV">
    <vt:lpwstr>11BDE4F5AEFA49738AB2553D44BB7F2C_12</vt:lpwstr>
  </property>
</Properties>
</file>