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90C892">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883" w:firstLineChars="200"/>
        <w:jc w:val="center"/>
        <w:textAlignment w:val="auto"/>
        <w:outlineLvl w:val="0"/>
        <w:rPr>
          <w:rFonts w:hint="eastAsia" w:ascii="仿宋_GB2312" w:hAnsi="仿宋_GB2312" w:eastAsia="仿宋_GB2312" w:cs="仿宋_GB2312"/>
          <w:b/>
          <w:bCs/>
          <w:color w:val="000000"/>
          <w:sz w:val="44"/>
          <w:szCs w:val="44"/>
          <w:lang w:val="en-US" w:eastAsia="zh-CN"/>
        </w:rPr>
      </w:pPr>
      <w:r>
        <w:rPr>
          <w:rFonts w:hint="eastAsia" w:ascii="仿宋_GB2312" w:hAnsi="仿宋_GB2312" w:eastAsia="仿宋_GB2312" w:cs="仿宋_GB2312"/>
          <w:b/>
          <w:bCs/>
          <w:color w:val="000000"/>
          <w:sz w:val="44"/>
          <w:szCs w:val="44"/>
          <w:lang w:val="en-US" w:eastAsia="zh-CN"/>
        </w:rPr>
        <w:t>采购需求</w:t>
      </w:r>
    </w:p>
    <w:p w14:paraId="703FABA4">
      <w:pPr>
        <w:keepNext w:val="0"/>
        <w:keepLines w:val="0"/>
        <w:pageBreakBefore w:val="0"/>
        <w:widowControl w:val="0"/>
        <w:numPr>
          <w:ilvl w:val="0"/>
          <w:numId w:val="0"/>
        </w:numPr>
        <w:kinsoku/>
        <w:wordWrap/>
        <w:overflowPunct/>
        <w:topLinePunct w:val="0"/>
        <w:autoSpaceDE/>
        <w:autoSpaceDN/>
        <w:bidi w:val="0"/>
        <w:snapToGrid w:val="0"/>
        <w:spacing w:line="336" w:lineRule="auto"/>
        <w:ind w:firstLine="643" w:firstLineChars="200"/>
        <w:jc w:val="left"/>
        <w:textAlignment w:val="auto"/>
        <w:outlineLvl w:val="0"/>
        <w:rPr>
          <w:rFonts w:hint="eastAsia"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lang w:val="en-US" w:eastAsia="zh-CN"/>
        </w:rPr>
        <w:t>一、</w:t>
      </w:r>
      <w:r>
        <w:rPr>
          <w:rFonts w:hint="eastAsia" w:ascii="仿宋_GB2312" w:hAnsi="仿宋_GB2312" w:eastAsia="仿宋_GB2312" w:cs="仿宋_GB2312"/>
          <w:b/>
          <w:bCs/>
          <w:color w:val="000000"/>
          <w:sz w:val="32"/>
          <w:szCs w:val="32"/>
        </w:rPr>
        <w:t>项目名称</w:t>
      </w:r>
    </w:p>
    <w:p w14:paraId="1E9F5414">
      <w:pPr>
        <w:keepNext w:val="0"/>
        <w:keepLines w:val="0"/>
        <w:pageBreakBefore w:val="0"/>
        <w:widowControl w:val="0"/>
        <w:kinsoku/>
        <w:wordWrap/>
        <w:overflowPunct/>
        <w:topLinePunct w:val="0"/>
        <w:autoSpaceDE/>
        <w:autoSpaceDN/>
        <w:bidi w:val="0"/>
        <w:snapToGrid w:val="0"/>
        <w:spacing w:line="336" w:lineRule="auto"/>
        <w:ind w:firstLine="640" w:firstLineChars="200"/>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2026年社保、医保信息网络系统安全等保测评项目</w:t>
      </w:r>
    </w:p>
    <w:p w14:paraId="6113AD48">
      <w:pPr>
        <w:keepNext w:val="0"/>
        <w:keepLines w:val="0"/>
        <w:pageBreakBefore w:val="0"/>
        <w:widowControl w:val="0"/>
        <w:numPr>
          <w:ilvl w:val="0"/>
          <w:numId w:val="0"/>
        </w:numPr>
        <w:kinsoku/>
        <w:wordWrap/>
        <w:overflowPunct/>
        <w:topLinePunct w:val="0"/>
        <w:autoSpaceDE/>
        <w:autoSpaceDN/>
        <w:bidi w:val="0"/>
        <w:snapToGrid w:val="0"/>
        <w:spacing w:line="336" w:lineRule="auto"/>
        <w:ind w:firstLine="643" w:firstLineChars="200"/>
        <w:jc w:val="left"/>
        <w:textAlignment w:val="auto"/>
        <w:outlineLvl w:val="0"/>
        <w:rPr>
          <w:rFonts w:hint="eastAsia"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lang w:val="en-US" w:eastAsia="zh-CN"/>
        </w:rPr>
        <w:t>二、</w:t>
      </w:r>
      <w:r>
        <w:rPr>
          <w:rFonts w:hint="eastAsia" w:ascii="仿宋_GB2312" w:hAnsi="仿宋_GB2312" w:eastAsia="仿宋_GB2312" w:cs="仿宋_GB2312"/>
          <w:b/>
          <w:bCs/>
          <w:color w:val="000000"/>
          <w:sz w:val="32"/>
          <w:szCs w:val="32"/>
        </w:rPr>
        <w:t>项目内容</w:t>
      </w:r>
    </w:p>
    <w:p w14:paraId="703CF2E1">
      <w:pPr>
        <w:keepNext w:val="0"/>
        <w:keepLines w:val="0"/>
        <w:pageBreakBefore w:val="0"/>
        <w:widowControl w:val="0"/>
        <w:kinsoku/>
        <w:wordWrap/>
        <w:overflowPunct/>
        <w:topLinePunct w:val="0"/>
        <w:autoSpaceDE/>
        <w:autoSpaceDN/>
        <w:bidi w:val="0"/>
        <w:snapToGrid w:val="0"/>
        <w:spacing w:line="336" w:lineRule="auto"/>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对社保医保区级网络设施、被征地业务系统和档案管理系统进行信息安全等级保护三级测评工作。</w:t>
      </w:r>
    </w:p>
    <w:p w14:paraId="055701DA">
      <w:pPr>
        <w:keepNext w:val="0"/>
        <w:keepLines w:val="0"/>
        <w:pageBreakBefore w:val="0"/>
        <w:widowControl w:val="0"/>
        <w:numPr>
          <w:ilvl w:val="0"/>
          <w:numId w:val="0"/>
        </w:numPr>
        <w:kinsoku/>
        <w:wordWrap/>
        <w:overflowPunct/>
        <w:topLinePunct w:val="0"/>
        <w:autoSpaceDE/>
        <w:autoSpaceDN/>
        <w:bidi w:val="0"/>
        <w:snapToGrid w:val="0"/>
        <w:spacing w:line="336" w:lineRule="auto"/>
        <w:ind w:firstLine="643" w:firstLineChars="200"/>
        <w:jc w:val="left"/>
        <w:textAlignment w:val="auto"/>
        <w:outlineLvl w:val="0"/>
        <w:rPr>
          <w:rFonts w:hint="eastAsia"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lang w:val="en-US" w:eastAsia="zh-CN"/>
        </w:rPr>
        <w:t>三、</w:t>
      </w:r>
      <w:r>
        <w:rPr>
          <w:rFonts w:hint="eastAsia" w:ascii="仿宋_GB2312" w:hAnsi="仿宋_GB2312" w:eastAsia="仿宋_GB2312" w:cs="仿宋_GB2312"/>
          <w:b/>
          <w:bCs/>
          <w:color w:val="000000"/>
          <w:sz w:val="32"/>
          <w:szCs w:val="32"/>
        </w:rPr>
        <w:t>项目</w:t>
      </w:r>
      <w:r>
        <w:rPr>
          <w:rFonts w:hint="eastAsia" w:ascii="仿宋_GB2312" w:hAnsi="仿宋_GB2312" w:eastAsia="仿宋_GB2312" w:cs="仿宋_GB2312"/>
          <w:b/>
          <w:bCs/>
          <w:color w:val="000000"/>
          <w:sz w:val="32"/>
          <w:szCs w:val="32"/>
          <w:lang w:val="en-US" w:eastAsia="zh-CN"/>
        </w:rPr>
        <w:t>预算</w:t>
      </w:r>
      <w:r>
        <w:rPr>
          <w:rFonts w:hint="eastAsia" w:ascii="仿宋_GB2312" w:hAnsi="仿宋_GB2312" w:eastAsia="仿宋_GB2312" w:cs="仿宋_GB2312"/>
          <w:b/>
          <w:bCs/>
          <w:color w:val="000000"/>
          <w:sz w:val="32"/>
          <w:szCs w:val="32"/>
        </w:rPr>
        <w:t>：</w:t>
      </w:r>
      <w:r>
        <w:rPr>
          <w:rFonts w:hint="eastAsia" w:ascii="仿宋_GB2312" w:hAnsi="仿宋_GB2312" w:eastAsia="仿宋_GB2312" w:cs="仿宋_GB2312"/>
          <w:b/>
          <w:bCs/>
          <w:kern w:val="2"/>
          <w:sz w:val="32"/>
          <w:szCs w:val="32"/>
          <w:lang w:val="en-US" w:eastAsia="zh-CN"/>
        </w:rPr>
        <w:t>180000.00</w:t>
      </w:r>
      <w:r>
        <w:rPr>
          <w:rFonts w:hint="eastAsia" w:ascii="仿宋_GB2312" w:hAnsi="仿宋_GB2312" w:eastAsia="仿宋_GB2312" w:cs="仿宋_GB2312"/>
          <w:b/>
          <w:bCs/>
          <w:color w:val="000000"/>
          <w:sz w:val="32"/>
          <w:szCs w:val="32"/>
        </w:rPr>
        <w:t>元</w:t>
      </w:r>
      <w:r>
        <w:rPr>
          <w:rFonts w:hint="eastAsia" w:ascii="仿宋_GB2312" w:hAnsi="仿宋_GB2312" w:eastAsia="仿宋_GB2312" w:cs="仿宋_GB2312"/>
          <w:b/>
          <w:bCs/>
          <w:color w:val="000000"/>
          <w:sz w:val="32"/>
          <w:szCs w:val="32"/>
          <w:lang w:eastAsia="zh-CN"/>
        </w:rPr>
        <w:t>，</w:t>
      </w:r>
      <w:r>
        <w:rPr>
          <w:rFonts w:hint="eastAsia" w:ascii="仿宋_GB2312" w:hAnsi="仿宋_GB2312" w:eastAsia="仿宋_GB2312" w:cs="仿宋_GB2312"/>
          <w:b/>
          <w:bCs/>
          <w:color w:val="000000"/>
          <w:sz w:val="32"/>
          <w:szCs w:val="32"/>
          <w:lang w:val="en-US" w:eastAsia="zh-CN"/>
        </w:rPr>
        <w:t>最高限价：180000.00元</w:t>
      </w:r>
      <w:r>
        <w:rPr>
          <w:rFonts w:hint="eastAsia" w:ascii="仿宋_GB2312" w:hAnsi="仿宋_GB2312" w:eastAsia="仿宋_GB2312" w:cs="仿宋_GB2312"/>
          <w:b/>
          <w:bCs/>
          <w:color w:val="000000"/>
          <w:sz w:val="32"/>
          <w:szCs w:val="32"/>
        </w:rPr>
        <w:t>。</w:t>
      </w:r>
    </w:p>
    <w:p w14:paraId="2F7C2856">
      <w:pPr>
        <w:keepNext w:val="0"/>
        <w:keepLines w:val="0"/>
        <w:pageBreakBefore w:val="0"/>
        <w:widowControl w:val="0"/>
        <w:numPr>
          <w:ilvl w:val="0"/>
          <w:numId w:val="0"/>
        </w:numPr>
        <w:kinsoku/>
        <w:wordWrap/>
        <w:overflowPunct/>
        <w:topLinePunct w:val="0"/>
        <w:autoSpaceDE/>
        <w:autoSpaceDN/>
        <w:bidi w:val="0"/>
        <w:snapToGrid w:val="0"/>
        <w:spacing w:line="336" w:lineRule="auto"/>
        <w:ind w:firstLine="643" w:firstLineChars="200"/>
        <w:jc w:val="left"/>
        <w:textAlignment w:val="auto"/>
        <w:outlineLvl w:val="0"/>
        <w:rPr>
          <w:rFonts w:hint="eastAsia"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lang w:val="en-US" w:eastAsia="zh-CN"/>
        </w:rPr>
        <w:t>四、服务期限</w:t>
      </w:r>
      <w:r>
        <w:rPr>
          <w:rFonts w:hint="eastAsia" w:ascii="仿宋_GB2312" w:hAnsi="仿宋_GB2312" w:eastAsia="仿宋_GB2312" w:cs="仿宋_GB2312"/>
          <w:b/>
          <w:bCs/>
          <w:color w:val="000000"/>
          <w:sz w:val="32"/>
          <w:szCs w:val="32"/>
        </w:rPr>
        <w:t>：合同签订后</w:t>
      </w:r>
      <w:r>
        <w:rPr>
          <w:rFonts w:hint="eastAsia" w:ascii="仿宋_GB2312" w:hAnsi="仿宋_GB2312" w:eastAsia="仿宋_GB2312" w:cs="仿宋_GB2312"/>
          <w:b/>
          <w:bCs/>
          <w:color w:val="000000"/>
          <w:sz w:val="32"/>
          <w:szCs w:val="32"/>
          <w:lang w:val="en-US" w:eastAsia="zh-CN"/>
        </w:rPr>
        <w:t>,90日内完成测评服务。</w:t>
      </w:r>
    </w:p>
    <w:p w14:paraId="075927B2">
      <w:pPr>
        <w:keepNext w:val="0"/>
        <w:keepLines w:val="0"/>
        <w:pageBreakBefore w:val="0"/>
        <w:widowControl w:val="0"/>
        <w:numPr>
          <w:ilvl w:val="0"/>
          <w:numId w:val="0"/>
        </w:numPr>
        <w:kinsoku/>
        <w:wordWrap/>
        <w:overflowPunct/>
        <w:topLinePunct w:val="0"/>
        <w:autoSpaceDE/>
        <w:autoSpaceDN/>
        <w:bidi w:val="0"/>
        <w:snapToGrid w:val="0"/>
        <w:spacing w:line="336" w:lineRule="auto"/>
        <w:ind w:firstLine="643" w:firstLineChars="200"/>
        <w:jc w:val="left"/>
        <w:textAlignment w:val="auto"/>
        <w:outlineLvl w:val="0"/>
        <w:rPr>
          <w:rFonts w:hint="eastAsia"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lang w:val="en-US" w:eastAsia="zh-CN"/>
        </w:rPr>
        <w:t>五、</w:t>
      </w:r>
      <w:r>
        <w:rPr>
          <w:rFonts w:hint="eastAsia" w:ascii="仿宋_GB2312" w:hAnsi="仿宋_GB2312" w:eastAsia="仿宋_GB2312" w:cs="仿宋_GB2312"/>
          <w:b/>
          <w:bCs/>
          <w:color w:val="000000"/>
          <w:sz w:val="32"/>
          <w:szCs w:val="32"/>
        </w:rPr>
        <w:t>项目采购要求：</w:t>
      </w:r>
    </w:p>
    <w:p w14:paraId="163D1DCE">
      <w:pPr>
        <w:pStyle w:val="12"/>
        <w:keepNext w:val="0"/>
        <w:keepLines w:val="0"/>
        <w:pageBreakBefore w:val="0"/>
        <w:widowControl w:val="0"/>
        <w:numPr>
          <w:ilvl w:val="0"/>
          <w:numId w:val="0"/>
        </w:numPr>
        <w:kinsoku/>
        <w:wordWrap/>
        <w:overflowPunct/>
        <w:topLinePunct w:val="0"/>
        <w:autoSpaceDE/>
        <w:autoSpaceDN/>
        <w:bidi w:val="0"/>
        <w:snapToGrid w:val="0"/>
        <w:spacing w:before="0" w:after="0" w:line="336" w:lineRule="auto"/>
        <w:ind w:left="420" w:leftChars="0" w:firstLine="320" w:firstLineChars="100"/>
        <w:jc w:val="left"/>
        <w:textAlignment w:val="auto"/>
        <w:outlineLvl w:val="9"/>
        <w:rPr>
          <w:rFonts w:hint="eastAsia" w:ascii="仿宋_GB2312" w:hAnsi="仿宋_GB2312" w:eastAsia="仿宋_GB2312" w:cs="仿宋_GB2312"/>
          <w:b w:val="0"/>
          <w:bCs w:val="0"/>
          <w:kern w:val="2"/>
          <w:lang w:val="en-US" w:eastAsia="zh-CN"/>
        </w:rPr>
      </w:pPr>
      <w:bookmarkStart w:id="0" w:name="_Toc24803"/>
      <w:r>
        <w:rPr>
          <w:rFonts w:hint="eastAsia" w:ascii="仿宋_GB2312" w:hAnsi="仿宋_GB2312" w:eastAsia="仿宋_GB2312" w:cs="仿宋_GB2312"/>
          <w:b w:val="0"/>
          <w:bCs w:val="0"/>
          <w:kern w:val="2"/>
          <w:lang w:val="en-US" w:eastAsia="zh-CN"/>
        </w:rPr>
        <w:t>（一）总体要求</w:t>
      </w:r>
      <w:bookmarkEnd w:id="0"/>
    </w:p>
    <w:p w14:paraId="08BDEB6A">
      <w:pPr>
        <w:pStyle w:val="17"/>
        <w:keepNext w:val="0"/>
        <w:keepLines w:val="0"/>
        <w:pageBreakBefore w:val="0"/>
        <w:widowControl w:val="0"/>
        <w:kinsoku/>
        <w:wordWrap/>
        <w:overflowPunct/>
        <w:topLinePunct w:val="0"/>
        <w:autoSpaceDE/>
        <w:autoSpaceDN/>
        <w:bidi w:val="0"/>
        <w:snapToGrid w:val="0"/>
        <w:spacing w:line="336" w:lineRule="auto"/>
        <w:ind w:firstLine="64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根据《中华人民共和国网络安全法》、《信息安全等级保护管理办法》(公通字〔2007〕43号)、《信息安全技术 网络安全等级保护基本要求》（GB/T 22239-2019），需要定期对信息系统开展网络安全等级测评工作。网络安全等级测评工作须覆盖安全物理环境、安全通信网络、安全区域边界、安全计算环境、安全管理中心、安全管理制度、安全管理机构、安全管理人员、安全建设管理、安全运维管理等方面的内容，并根据现场实际情况完成风险分析工作,最终为完善等级保护安全防护体系提供指导依据。</w:t>
      </w:r>
    </w:p>
    <w:p w14:paraId="190ABEA3">
      <w:pPr>
        <w:pStyle w:val="12"/>
        <w:keepNext w:val="0"/>
        <w:keepLines w:val="0"/>
        <w:pageBreakBefore w:val="0"/>
        <w:widowControl w:val="0"/>
        <w:numPr>
          <w:ilvl w:val="0"/>
          <w:numId w:val="0"/>
        </w:numPr>
        <w:kinsoku/>
        <w:wordWrap/>
        <w:overflowPunct/>
        <w:topLinePunct w:val="0"/>
        <w:autoSpaceDE/>
        <w:autoSpaceDN/>
        <w:bidi w:val="0"/>
        <w:snapToGrid w:val="0"/>
        <w:spacing w:before="0" w:after="0" w:line="336" w:lineRule="auto"/>
        <w:ind w:left="420" w:leftChars="0" w:firstLine="320" w:firstLineChars="100"/>
        <w:jc w:val="left"/>
        <w:textAlignment w:val="auto"/>
        <w:outlineLvl w:val="9"/>
        <w:rPr>
          <w:rFonts w:hint="eastAsia" w:ascii="仿宋_GB2312" w:hAnsi="仿宋_GB2312" w:eastAsia="仿宋_GB2312" w:cs="仿宋_GB2312"/>
          <w:b w:val="0"/>
          <w:bCs w:val="0"/>
          <w:kern w:val="2"/>
          <w:lang w:val="en-US" w:eastAsia="zh-CN"/>
        </w:rPr>
      </w:pPr>
      <w:bookmarkStart w:id="1" w:name="_Toc20391"/>
      <w:r>
        <w:rPr>
          <w:rFonts w:hint="eastAsia" w:ascii="仿宋_GB2312" w:hAnsi="仿宋_GB2312" w:eastAsia="仿宋_GB2312" w:cs="仿宋_GB2312"/>
          <w:b w:val="0"/>
          <w:bCs w:val="0"/>
          <w:kern w:val="2"/>
          <w:lang w:val="en-US" w:eastAsia="zh-CN"/>
        </w:rPr>
        <w:t>（二）等级保护</w:t>
      </w:r>
      <w:bookmarkEnd w:id="1"/>
    </w:p>
    <w:p w14:paraId="29E16629">
      <w:pPr>
        <w:pStyle w:val="12"/>
        <w:keepNext w:val="0"/>
        <w:keepLines w:val="0"/>
        <w:pageBreakBefore w:val="0"/>
        <w:widowControl w:val="0"/>
        <w:numPr>
          <w:ilvl w:val="0"/>
          <w:numId w:val="0"/>
        </w:numPr>
        <w:kinsoku/>
        <w:wordWrap/>
        <w:overflowPunct/>
        <w:topLinePunct w:val="0"/>
        <w:autoSpaceDE/>
        <w:autoSpaceDN/>
        <w:bidi w:val="0"/>
        <w:snapToGrid w:val="0"/>
        <w:spacing w:before="0" w:after="0" w:line="336" w:lineRule="auto"/>
        <w:ind w:left="420" w:leftChars="0" w:firstLine="320" w:firstLineChars="100"/>
        <w:jc w:val="left"/>
        <w:textAlignment w:val="auto"/>
        <w:outlineLvl w:val="9"/>
        <w:rPr>
          <w:rFonts w:hint="eastAsia" w:ascii="仿宋_GB2312" w:hAnsi="仿宋_GB2312" w:eastAsia="仿宋_GB2312" w:cs="仿宋_GB2312"/>
          <w:b w:val="0"/>
          <w:bCs w:val="0"/>
          <w:kern w:val="2"/>
          <w:lang w:val="en-US" w:eastAsia="zh-CN"/>
        </w:rPr>
      </w:pPr>
      <w:bookmarkStart w:id="2" w:name="_Toc31945"/>
      <w:r>
        <w:rPr>
          <w:rFonts w:hint="eastAsia" w:ascii="仿宋_GB2312" w:hAnsi="仿宋_GB2312" w:eastAsia="仿宋_GB2312" w:cs="仿宋_GB2312"/>
          <w:b w:val="0"/>
          <w:bCs w:val="0"/>
          <w:kern w:val="2"/>
          <w:lang w:val="en-US" w:eastAsia="zh-CN"/>
        </w:rPr>
        <w:t>根据《信息安全技术 网络安全等级保护定级指南》（GB/T 22240-2020）确定系统等级。</w:t>
      </w:r>
    </w:p>
    <w:p w14:paraId="1C37C947">
      <w:pPr>
        <w:pStyle w:val="12"/>
        <w:keepNext w:val="0"/>
        <w:keepLines w:val="0"/>
        <w:pageBreakBefore w:val="0"/>
        <w:widowControl w:val="0"/>
        <w:numPr>
          <w:ilvl w:val="0"/>
          <w:numId w:val="0"/>
        </w:numPr>
        <w:kinsoku/>
        <w:wordWrap/>
        <w:overflowPunct/>
        <w:topLinePunct w:val="0"/>
        <w:autoSpaceDE/>
        <w:autoSpaceDN/>
        <w:bidi w:val="0"/>
        <w:snapToGrid w:val="0"/>
        <w:spacing w:before="0" w:after="0" w:line="336" w:lineRule="auto"/>
        <w:ind w:left="420" w:leftChars="0" w:firstLine="320" w:firstLineChars="100"/>
        <w:jc w:val="left"/>
        <w:textAlignment w:val="auto"/>
        <w:outlineLvl w:val="9"/>
        <w:rPr>
          <w:rFonts w:hint="eastAsia" w:ascii="仿宋_GB2312" w:hAnsi="仿宋_GB2312" w:eastAsia="仿宋_GB2312" w:cs="仿宋_GB2312"/>
          <w:b w:val="0"/>
          <w:bCs w:val="0"/>
          <w:kern w:val="2"/>
          <w:lang w:val="en-US" w:eastAsia="zh-CN"/>
        </w:rPr>
      </w:pPr>
      <w:r>
        <w:rPr>
          <w:rFonts w:hint="eastAsia" w:ascii="仿宋_GB2312" w:hAnsi="仿宋_GB2312" w:eastAsia="仿宋_GB2312" w:cs="仿宋_GB2312"/>
          <w:b w:val="0"/>
          <w:bCs w:val="0"/>
          <w:kern w:val="2"/>
          <w:lang w:val="en-US" w:eastAsia="zh-CN"/>
        </w:rPr>
        <w:t>供应商在测评过程中需按照《计算机信息系统安全保护等级划分准则》（GB 17859-1999）、《信息安全技术 网络安全等级保护基本要求》（GB/T22239-2019）、《信息安全技术 网络安全等级保护测评要求》（GB/T28448-2019）、《信息安全技术 网络安全等级保护实施指南》（GB/T 25058-2019）、《信息安全技术 网络安全等级保护测评过程指南》（GB/T28449-2018）等相关的标准规范开展等级测评工作，对系统的安全物理环境、安全通信网络、安全区域边界、安全计算环境、安全管理中心、安全管理制度、安全管理机构、安全管理人员、安全建设管理、安全运维管理等层面进行安全等级保护测评。</w:t>
      </w:r>
    </w:p>
    <w:p w14:paraId="7F5BD6A3">
      <w:pPr>
        <w:pStyle w:val="12"/>
        <w:keepNext w:val="0"/>
        <w:keepLines w:val="0"/>
        <w:pageBreakBefore w:val="0"/>
        <w:widowControl w:val="0"/>
        <w:numPr>
          <w:ilvl w:val="0"/>
          <w:numId w:val="0"/>
        </w:numPr>
        <w:kinsoku/>
        <w:wordWrap/>
        <w:overflowPunct/>
        <w:topLinePunct w:val="0"/>
        <w:autoSpaceDE/>
        <w:autoSpaceDN/>
        <w:bidi w:val="0"/>
        <w:snapToGrid w:val="0"/>
        <w:spacing w:before="0" w:after="0" w:line="336" w:lineRule="auto"/>
        <w:ind w:left="420" w:leftChars="0" w:firstLine="320" w:firstLineChars="100"/>
        <w:jc w:val="left"/>
        <w:textAlignment w:val="auto"/>
        <w:outlineLvl w:val="9"/>
        <w:rPr>
          <w:rFonts w:hint="eastAsia" w:ascii="仿宋_GB2312" w:hAnsi="仿宋_GB2312" w:eastAsia="仿宋_GB2312" w:cs="仿宋_GB2312"/>
          <w:b w:val="0"/>
          <w:bCs w:val="0"/>
          <w:kern w:val="2"/>
          <w:lang w:val="en-US" w:eastAsia="zh-CN"/>
        </w:rPr>
      </w:pPr>
      <w:r>
        <w:rPr>
          <w:rFonts w:hint="eastAsia" w:ascii="仿宋_GB2312" w:hAnsi="仿宋_GB2312" w:eastAsia="仿宋_GB2312" w:cs="仿宋_GB2312"/>
          <w:b w:val="0"/>
          <w:bCs w:val="0"/>
          <w:kern w:val="2"/>
          <w:lang w:val="en-US" w:eastAsia="zh-CN"/>
        </w:rPr>
        <w:t>（三）进行渗透测试。</w:t>
      </w:r>
    </w:p>
    <w:p w14:paraId="38B5705F">
      <w:pPr>
        <w:pStyle w:val="12"/>
        <w:keepNext w:val="0"/>
        <w:keepLines w:val="0"/>
        <w:pageBreakBefore w:val="0"/>
        <w:widowControl w:val="0"/>
        <w:numPr>
          <w:ilvl w:val="0"/>
          <w:numId w:val="0"/>
        </w:numPr>
        <w:kinsoku/>
        <w:wordWrap/>
        <w:overflowPunct/>
        <w:topLinePunct w:val="0"/>
        <w:autoSpaceDE/>
        <w:autoSpaceDN/>
        <w:bidi w:val="0"/>
        <w:snapToGrid w:val="0"/>
        <w:spacing w:before="0" w:after="0" w:line="336" w:lineRule="auto"/>
        <w:ind w:left="420" w:leftChars="0" w:firstLine="320" w:firstLineChars="100"/>
        <w:jc w:val="left"/>
        <w:textAlignment w:val="auto"/>
        <w:outlineLvl w:val="9"/>
        <w:rPr>
          <w:rFonts w:hint="eastAsia" w:ascii="仿宋_GB2312" w:hAnsi="仿宋_GB2312" w:eastAsia="仿宋_GB2312" w:cs="仿宋_GB2312"/>
          <w:b w:val="0"/>
          <w:bCs w:val="0"/>
          <w:kern w:val="2"/>
          <w:lang w:eastAsia="zh-CN"/>
        </w:rPr>
      </w:pPr>
      <w:r>
        <w:rPr>
          <w:rFonts w:hint="eastAsia" w:ascii="仿宋_GB2312" w:hAnsi="仿宋_GB2312" w:eastAsia="仿宋_GB2312" w:cs="仿宋_GB2312"/>
          <w:b w:val="0"/>
          <w:bCs w:val="0"/>
          <w:kern w:val="2"/>
          <w:lang w:val="en-US" w:eastAsia="zh-CN"/>
        </w:rPr>
        <w:t>（四）进行</w:t>
      </w:r>
      <w:r>
        <w:rPr>
          <w:rFonts w:hint="eastAsia" w:ascii="仿宋_GB2312" w:hAnsi="仿宋_GB2312" w:eastAsia="仿宋_GB2312" w:cs="仿宋_GB2312"/>
          <w:b w:val="0"/>
          <w:bCs w:val="0"/>
          <w:kern w:val="2"/>
          <w:lang w:eastAsia="zh-CN"/>
        </w:rPr>
        <w:t>建设整改咨询及安全加固（不涉及硬件）</w:t>
      </w:r>
      <w:bookmarkEnd w:id="2"/>
    </w:p>
    <w:p w14:paraId="4F590A21">
      <w:pPr>
        <w:pStyle w:val="12"/>
        <w:keepNext w:val="0"/>
        <w:keepLines w:val="0"/>
        <w:pageBreakBefore w:val="0"/>
        <w:widowControl w:val="0"/>
        <w:numPr>
          <w:ilvl w:val="0"/>
          <w:numId w:val="0"/>
        </w:numPr>
        <w:kinsoku/>
        <w:wordWrap/>
        <w:overflowPunct/>
        <w:topLinePunct w:val="0"/>
        <w:autoSpaceDE/>
        <w:autoSpaceDN/>
        <w:bidi w:val="0"/>
        <w:snapToGrid w:val="0"/>
        <w:spacing w:before="0" w:after="0" w:line="336" w:lineRule="auto"/>
        <w:ind w:left="420" w:leftChars="0" w:firstLine="320" w:firstLineChars="100"/>
        <w:jc w:val="left"/>
        <w:textAlignment w:val="auto"/>
        <w:outlineLvl w:val="9"/>
        <w:rPr>
          <w:rFonts w:hint="eastAsia" w:ascii="仿宋_GB2312" w:hAnsi="仿宋_GB2312" w:eastAsia="仿宋_GB2312" w:cs="仿宋_GB2312"/>
          <w:b w:val="0"/>
          <w:bCs w:val="0"/>
          <w:kern w:val="2"/>
          <w:lang w:eastAsia="zh-CN"/>
        </w:rPr>
      </w:pPr>
      <w:bookmarkStart w:id="3" w:name="_Toc31725"/>
      <w:r>
        <w:rPr>
          <w:rFonts w:hint="eastAsia" w:ascii="仿宋_GB2312" w:hAnsi="仿宋_GB2312" w:eastAsia="仿宋_GB2312" w:cs="仿宋_GB2312"/>
          <w:b w:val="0"/>
          <w:bCs w:val="0"/>
          <w:kern w:val="2"/>
          <w:lang w:eastAsia="zh-CN"/>
        </w:rPr>
        <w:t>建设整改咨询工作以等级测评和渗透检测发现的安全问题，编写《信息系统安全建设整改建议》；将信息系统的安全建设整改需求落实到可操作的安全技术和管理上，提出能够实现的技术参数或制度及其具体规范。</w:t>
      </w:r>
    </w:p>
    <w:p w14:paraId="6E02A3F2">
      <w:pPr>
        <w:pStyle w:val="12"/>
        <w:keepNext w:val="0"/>
        <w:keepLines w:val="0"/>
        <w:pageBreakBefore w:val="0"/>
        <w:widowControl w:val="0"/>
        <w:numPr>
          <w:ilvl w:val="0"/>
          <w:numId w:val="0"/>
        </w:numPr>
        <w:kinsoku/>
        <w:wordWrap/>
        <w:overflowPunct/>
        <w:topLinePunct w:val="0"/>
        <w:autoSpaceDE/>
        <w:autoSpaceDN/>
        <w:bidi w:val="0"/>
        <w:snapToGrid w:val="0"/>
        <w:spacing w:before="0" w:after="0" w:line="336" w:lineRule="auto"/>
        <w:ind w:left="420" w:leftChars="0" w:firstLine="320" w:firstLineChars="100"/>
        <w:jc w:val="left"/>
        <w:textAlignment w:val="auto"/>
        <w:outlineLvl w:val="9"/>
        <w:rPr>
          <w:rFonts w:hint="eastAsia" w:ascii="仿宋_GB2312" w:hAnsi="仿宋_GB2312" w:eastAsia="仿宋_GB2312" w:cs="仿宋_GB2312"/>
          <w:b w:val="0"/>
          <w:bCs w:val="0"/>
          <w:kern w:val="2"/>
          <w:lang w:eastAsia="zh-CN"/>
        </w:rPr>
      </w:pPr>
      <w:r>
        <w:rPr>
          <w:rFonts w:hint="eastAsia" w:ascii="仿宋_GB2312" w:hAnsi="仿宋_GB2312" w:eastAsia="仿宋_GB2312" w:cs="仿宋_GB2312"/>
          <w:b w:val="0"/>
          <w:bCs w:val="0"/>
          <w:kern w:val="2"/>
          <w:lang w:eastAsia="zh-CN"/>
        </w:rPr>
        <w:t>依据《信息系统安全建设整改建议》开展建设整改工作时，供应商将提供建设整改过程中的与建设整改相关的咨询服务。</w:t>
      </w:r>
    </w:p>
    <w:p w14:paraId="25BFDE8A">
      <w:pPr>
        <w:pStyle w:val="12"/>
        <w:keepNext w:val="0"/>
        <w:keepLines w:val="0"/>
        <w:pageBreakBefore w:val="0"/>
        <w:widowControl w:val="0"/>
        <w:numPr>
          <w:ilvl w:val="0"/>
          <w:numId w:val="0"/>
        </w:numPr>
        <w:kinsoku/>
        <w:wordWrap/>
        <w:overflowPunct/>
        <w:topLinePunct w:val="0"/>
        <w:autoSpaceDE/>
        <w:autoSpaceDN/>
        <w:bidi w:val="0"/>
        <w:snapToGrid w:val="0"/>
        <w:spacing w:before="0" w:after="0" w:line="336" w:lineRule="auto"/>
        <w:ind w:left="420" w:leftChars="0" w:firstLine="320" w:firstLineChars="100"/>
        <w:jc w:val="left"/>
        <w:textAlignment w:val="auto"/>
        <w:outlineLvl w:val="9"/>
        <w:rPr>
          <w:rFonts w:hint="eastAsia" w:ascii="仿宋_GB2312" w:hAnsi="仿宋_GB2312" w:eastAsia="仿宋_GB2312" w:cs="仿宋_GB2312"/>
          <w:b w:val="0"/>
          <w:bCs w:val="0"/>
          <w:kern w:val="2"/>
          <w:lang w:eastAsia="zh-CN"/>
        </w:rPr>
      </w:pPr>
      <w:r>
        <w:rPr>
          <w:rFonts w:hint="eastAsia" w:ascii="仿宋_GB2312" w:hAnsi="仿宋_GB2312" w:eastAsia="仿宋_GB2312" w:cs="仿宋_GB2312"/>
          <w:b w:val="0"/>
          <w:bCs w:val="0"/>
          <w:kern w:val="2"/>
          <w:lang w:eastAsia="zh-CN"/>
        </w:rPr>
        <w:t>依照《信息系统安全建设整改建议》，协助采购人进行漏洞修复、补丁升级等非硬件层面的安全加固，分步实施安全整改工作。</w:t>
      </w:r>
    </w:p>
    <w:p w14:paraId="0CFD14CE">
      <w:pPr>
        <w:pStyle w:val="12"/>
        <w:keepNext w:val="0"/>
        <w:keepLines w:val="0"/>
        <w:pageBreakBefore w:val="0"/>
        <w:widowControl w:val="0"/>
        <w:numPr>
          <w:ilvl w:val="0"/>
          <w:numId w:val="0"/>
        </w:numPr>
        <w:kinsoku/>
        <w:wordWrap/>
        <w:overflowPunct/>
        <w:topLinePunct w:val="0"/>
        <w:autoSpaceDE/>
        <w:autoSpaceDN/>
        <w:bidi w:val="0"/>
        <w:snapToGrid w:val="0"/>
        <w:spacing w:before="0" w:after="0" w:line="336" w:lineRule="auto"/>
        <w:ind w:left="420" w:leftChars="0" w:firstLine="320" w:firstLineChars="100"/>
        <w:jc w:val="left"/>
        <w:textAlignment w:val="auto"/>
        <w:outlineLvl w:val="9"/>
        <w:rPr>
          <w:rFonts w:hint="eastAsia" w:ascii="仿宋_GB2312" w:hAnsi="仿宋_GB2312" w:eastAsia="仿宋_GB2312" w:cs="仿宋_GB2312"/>
          <w:b w:val="0"/>
          <w:bCs w:val="0"/>
          <w:kern w:val="2"/>
        </w:rPr>
      </w:pPr>
      <w:r>
        <w:rPr>
          <w:rFonts w:hint="eastAsia" w:ascii="仿宋_GB2312" w:hAnsi="仿宋_GB2312" w:eastAsia="仿宋_GB2312" w:cs="仿宋_GB2312"/>
          <w:b w:val="0"/>
          <w:bCs w:val="0"/>
          <w:kern w:val="2"/>
          <w:lang w:eastAsia="zh-CN"/>
        </w:rPr>
        <w:t>（</w:t>
      </w:r>
      <w:r>
        <w:rPr>
          <w:rFonts w:hint="eastAsia" w:ascii="仿宋_GB2312" w:hAnsi="仿宋_GB2312" w:eastAsia="仿宋_GB2312" w:cs="仿宋_GB2312"/>
          <w:b w:val="0"/>
          <w:bCs w:val="0"/>
          <w:kern w:val="2"/>
          <w:lang w:val="en-US" w:eastAsia="zh-CN"/>
        </w:rPr>
        <w:t>五</w:t>
      </w:r>
      <w:r>
        <w:rPr>
          <w:rFonts w:hint="eastAsia" w:ascii="仿宋_GB2312" w:hAnsi="仿宋_GB2312" w:eastAsia="仿宋_GB2312" w:cs="仿宋_GB2312"/>
          <w:b w:val="0"/>
          <w:bCs w:val="0"/>
          <w:kern w:val="2"/>
          <w:lang w:eastAsia="zh-CN"/>
        </w:rPr>
        <w:t>）</w:t>
      </w:r>
      <w:r>
        <w:rPr>
          <w:rFonts w:hint="eastAsia" w:ascii="仿宋_GB2312" w:hAnsi="仿宋_GB2312" w:eastAsia="仿宋_GB2312" w:cs="仿宋_GB2312"/>
          <w:b w:val="0"/>
          <w:bCs w:val="0"/>
          <w:kern w:val="2"/>
        </w:rPr>
        <w:t>售后服务</w:t>
      </w:r>
      <w:bookmarkEnd w:id="3"/>
    </w:p>
    <w:p w14:paraId="5442DD00">
      <w:pPr>
        <w:keepNext w:val="0"/>
        <w:keepLines w:val="0"/>
        <w:pageBreakBefore w:val="0"/>
        <w:widowControl w:val="0"/>
        <w:numPr>
          <w:ilvl w:val="0"/>
          <w:numId w:val="0"/>
        </w:numPr>
        <w:kinsoku/>
        <w:wordWrap/>
        <w:overflowPunct/>
        <w:topLinePunct w:val="0"/>
        <w:autoSpaceDE/>
        <w:autoSpaceDN/>
        <w:bidi w:val="0"/>
        <w:snapToGrid w:val="0"/>
        <w:spacing w:line="336" w:lineRule="auto"/>
        <w:ind w:firstLine="640" w:firstLineChars="200"/>
        <w:jc w:val="left"/>
        <w:textAlignment w:val="auto"/>
        <w:outlineLvl w:val="0"/>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val="en-US" w:eastAsia="zh-CN"/>
        </w:rPr>
        <w:t>供应商将向采购人提供为期一年的售后服务工作，服务内容包括但不限于应急响应、安全监测、配合检查、电话支持、安全咨询、网络安全意识培训服务、风险评估在内的安全维保服务。</w:t>
      </w:r>
    </w:p>
    <w:p w14:paraId="78E316C5">
      <w:pPr>
        <w:keepNext w:val="0"/>
        <w:keepLines w:val="0"/>
        <w:pageBreakBefore w:val="0"/>
        <w:widowControl w:val="0"/>
        <w:numPr>
          <w:ilvl w:val="0"/>
          <w:numId w:val="0"/>
        </w:numPr>
        <w:kinsoku/>
        <w:wordWrap/>
        <w:overflowPunct/>
        <w:topLinePunct w:val="0"/>
        <w:autoSpaceDE/>
        <w:autoSpaceDN/>
        <w:bidi w:val="0"/>
        <w:snapToGrid w:val="0"/>
        <w:spacing w:line="336" w:lineRule="auto"/>
        <w:ind w:firstLine="643" w:firstLineChars="200"/>
        <w:jc w:val="left"/>
        <w:textAlignment w:val="auto"/>
        <w:outlineLvl w:val="0"/>
        <w:rPr>
          <w:rFonts w:hint="eastAsia"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lang w:val="en-US" w:eastAsia="zh-CN"/>
        </w:rPr>
        <w:t>六、其他</w:t>
      </w:r>
      <w:r>
        <w:rPr>
          <w:rFonts w:hint="eastAsia" w:ascii="仿宋_GB2312" w:hAnsi="仿宋_GB2312" w:eastAsia="仿宋_GB2312" w:cs="仿宋_GB2312"/>
          <w:b/>
          <w:bCs/>
          <w:color w:val="000000"/>
          <w:sz w:val="32"/>
          <w:szCs w:val="32"/>
        </w:rPr>
        <w:t>要求</w:t>
      </w:r>
    </w:p>
    <w:p w14:paraId="4FCB7586">
      <w:pPr>
        <w:keepNext w:val="0"/>
        <w:keepLines w:val="0"/>
        <w:pageBreakBefore w:val="0"/>
        <w:widowControl w:val="0"/>
        <w:kinsoku/>
        <w:wordWrap/>
        <w:overflowPunct/>
        <w:topLinePunct w:val="0"/>
        <w:autoSpaceDE/>
        <w:autoSpaceDN/>
        <w:bidi w:val="0"/>
        <w:snapToGrid w:val="0"/>
        <w:spacing w:line="336"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）测评人员要求：本项目的测评人员需具有1年或1年以上测评工作经验，项目</w:t>
      </w:r>
      <w:r>
        <w:rPr>
          <w:rFonts w:hint="eastAsia" w:ascii="仿宋_GB2312" w:hAnsi="仿宋_GB2312" w:eastAsia="仿宋_GB2312" w:cs="仿宋_GB2312"/>
          <w:sz w:val="32"/>
          <w:szCs w:val="32"/>
          <w:lang w:val="en-US" w:eastAsia="zh-CN"/>
        </w:rPr>
        <w:t>负责人</w:t>
      </w:r>
      <w:r>
        <w:rPr>
          <w:rFonts w:hint="eastAsia" w:ascii="仿宋_GB2312" w:hAnsi="仿宋_GB2312" w:eastAsia="仿宋_GB2312" w:cs="仿宋_GB2312"/>
          <w:sz w:val="32"/>
          <w:szCs w:val="32"/>
          <w:lang w:eastAsia="zh-CN"/>
        </w:rPr>
        <w:t>和质量负责人必须具备丰富的安全服务经验及相关资质认证，并提供人员管理及配备方案，并确保人员稳定</w:t>
      </w:r>
      <w:bookmarkStart w:id="4" w:name="_GoBack"/>
      <w:bookmarkEnd w:id="4"/>
      <w:r>
        <w:rPr>
          <w:rFonts w:hint="eastAsia" w:ascii="仿宋_GB2312" w:hAnsi="仿宋_GB2312" w:eastAsia="仿宋_GB2312" w:cs="仿宋_GB2312"/>
          <w:sz w:val="32"/>
          <w:szCs w:val="32"/>
          <w:lang w:eastAsia="zh-CN"/>
        </w:rPr>
        <w:t>。如需更换测评人员，须由采购人同意。</w:t>
      </w:r>
    </w:p>
    <w:p w14:paraId="0EA55DDC">
      <w:pPr>
        <w:keepNext w:val="0"/>
        <w:keepLines w:val="0"/>
        <w:pageBreakBefore w:val="0"/>
        <w:widowControl w:val="0"/>
        <w:kinsoku/>
        <w:wordWrap/>
        <w:overflowPunct/>
        <w:topLinePunct w:val="0"/>
        <w:autoSpaceDE/>
        <w:autoSpaceDN/>
        <w:bidi w:val="0"/>
        <w:snapToGrid w:val="0"/>
        <w:spacing w:line="336"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人员配备：供应商参与此项目不少于6人，现场测评人员不得少于4人，其中至少包含2名高级测评师，2名中级测评师。供应商必须为本项目成立本地化等级保护测评小组，由测评小组组长统一负责，测评小组组长具有一定的技术及管理知识和经验，能容易地与采购人沟通，能很好的执行与完成测评工作，并根据适当情况增加测评人员。</w:t>
      </w:r>
    </w:p>
    <w:p w14:paraId="3EE2275D">
      <w:pPr>
        <w:keepNext w:val="0"/>
        <w:keepLines w:val="0"/>
        <w:pageBreakBefore w:val="0"/>
        <w:widowControl w:val="0"/>
        <w:kinsoku/>
        <w:wordWrap/>
        <w:overflowPunct/>
        <w:topLinePunct w:val="0"/>
        <w:autoSpaceDE/>
        <w:autoSpaceDN/>
        <w:bidi w:val="0"/>
        <w:snapToGrid w:val="0"/>
        <w:spacing w:line="336"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rPr>
        <w:t>）供应商应按等级保护测评要求，编制测评过程中产生的文档，做到科学、规范、详尽、统一。</w:t>
      </w:r>
    </w:p>
    <w:p w14:paraId="24DE36A6">
      <w:pPr>
        <w:keepNext w:val="0"/>
        <w:keepLines w:val="0"/>
        <w:pageBreakBefore w:val="0"/>
        <w:widowControl w:val="0"/>
        <w:kinsoku/>
        <w:wordWrap/>
        <w:overflowPunct/>
        <w:topLinePunct w:val="0"/>
        <w:autoSpaceDE/>
        <w:autoSpaceDN/>
        <w:bidi w:val="0"/>
        <w:snapToGrid w:val="0"/>
        <w:spacing w:line="336"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四</w:t>
      </w:r>
      <w:r>
        <w:rPr>
          <w:rFonts w:hint="eastAsia" w:ascii="仿宋_GB2312" w:hAnsi="仿宋_GB2312" w:eastAsia="仿宋_GB2312" w:cs="仿宋_GB2312"/>
          <w:sz w:val="32"/>
          <w:szCs w:val="32"/>
        </w:rPr>
        <w:t>）供应商应严格遵守采购</w:t>
      </w:r>
      <w:r>
        <w:rPr>
          <w:rFonts w:hint="eastAsia" w:ascii="仿宋_GB2312" w:hAnsi="仿宋_GB2312" w:eastAsia="仿宋_GB2312" w:cs="仿宋_GB2312"/>
          <w:sz w:val="32"/>
          <w:szCs w:val="32"/>
          <w:lang w:val="en-US" w:eastAsia="zh-CN"/>
        </w:rPr>
        <w:t>人</w:t>
      </w:r>
      <w:r>
        <w:rPr>
          <w:rFonts w:hint="eastAsia" w:ascii="仿宋_GB2312" w:hAnsi="仿宋_GB2312" w:eastAsia="仿宋_GB2312" w:cs="仿宋_GB2312"/>
          <w:sz w:val="32"/>
          <w:szCs w:val="32"/>
        </w:rPr>
        <w:t>有关保密的相关规定，不得泄漏单位的任何机密。</w:t>
      </w:r>
    </w:p>
    <w:p w14:paraId="08D19FDB">
      <w:pPr>
        <w:keepNext w:val="0"/>
        <w:keepLines w:val="0"/>
        <w:pageBreakBefore w:val="0"/>
        <w:widowControl w:val="0"/>
        <w:numPr>
          <w:ilvl w:val="0"/>
          <w:numId w:val="0"/>
        </w:numPr>
        <w:kinsoku/>
        <w:wordWrap/>
        <w:overflowPunct/>
        <w:topLinePunct w:val="0"/>
        <w:autoSpaceDE/>
        <w:autoSpaceDN/>
        <w:bidi w:val="0"/>
        <w:snapToGrid w:val="0"/>
        <w:spacing w:line="336" w:lineRule="auto"/>
        <w:ind w:firstLine="643" w:firstLineChars="200"/>
        <w:jc w:val="left"/>
        <w:textAlignment w:val="auto"/>
        <w:rPr>
          <w:rFonts w:hint="eastAsia"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lang w:val="en-US" w:eastAsia="zh-CN"/>
        </w:rPr>
        <w:t>七、</w:t>
      </w:r>
      <w:r>
        <w:rPr>
          <w:rFonts w:hint="eastAsia" w:ascii="仿宋_GB2312" w:hAnsi="仿宋_GB2312" w:eastAsia="仿宋_GB2312" w:cs="仿宋_GB2312"/>
          <w:b/>
          <w:bCs/>
          <w:color w:val="000000"/>
          <w:sz w:val="32"/>
          <w:szCs w:val="32"/>
        </w:rPr>
        <w:t>交付内容</w:t>
      </w:r>
    </w:p>
    <w:p w14:paraId="5D96357F">
      <w:pPr>
        <w:pStyle w:val="17"/>
        <w:keepNext w:val="0"/>
        <w:keepLines w:val="0"/>
        <w:pageBreakBefore w:val="0"/>
        <w:widowControl w:val="0"/>
        <w:kinsoku/>
        <w:wordWrap/>
        <w:overflowPunct/>
        <w:topLinePunct w:val="0"/>
        <w:autoSpaceDE/>
        <w:autoSpaceDN/>
        <w:bidi w:val="0"/>
        <w:adjustRightInd w:val="0"/>
        <w:snapToGrid w:val="0"/>
        <w:spacing w:line="336" w:lineRule="auto"/>
        <w:ind w:lef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（一）《信息系统安全等级保护定级备案证明》(已向公安机关备案，领取信息系统安全等级保护定级备案证明的信息系统，不再发证）；</w:t>
      </w:r>
    </w:p>
    <w:p w14:paraId="52FFA4CA">
      <w:pPr>
        <w:pStyle w:val="17"/>
        <w:keepNext w:val="0"/>
        <w:keepLines w:val="0"/>
        <w:pageBreakBefore w:val="0"/>
        <w:widowControl w:val="0"/>
        <w:kinsoku/>
        <w:wordWrap/>
        <w:overflowPunct/>
        <w:topLinePunct w:val="0"/>
        <w:autoSpaceDE/>
        <w:autoSpaceDN/>
        <w:bidi w:val="0"/>
        <w:adjustRightInd w:val="0"/>
        <w:snapToGrid w:val="0"/>
        <w:spacing w:line="336" w:lineRule="auto"/>
        <w:ind w:lef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（二）《信息系统测评方案》；</w:t>
      </w:r>
    </w:p>
    <w:p w14:paraId="59F127B5">
      <w:pPr>
        <w:pStyle w:val="17"/>
        <w:keepNext w:val="0"/>
        <w:keepLines w:val="0"/>
        <w:pageBreakBefore w:val="0"/>
        <w:widowControl w:val="0"/>
        <w:kinsoku/>
        <w:wordWrap/>
        <w:overflowPunct/>
        <w:topLinePunct w:val="0"/>
        <w:autoSpaceDE/>
        <w:autoSpaceDN/>
        <w:bidi w:val="0"/>
        <w:adjustRightInd w:val="0"/>
        <w:snapToGrid w:val="0"/>
        <w:spacing w:line="336" w:lineRule="auto"/>
        <w:ind w:lef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（三）《信息系统整改建议书》；</w:t>
      </w:r>
    </w:p>
    <w:p w14:paraId="6CD6C9DA">
      <w:pPr>
        <w:pStyle w:val="17"/>
        <w:keepNext w:val="0"/>
        <w:keepLines w:val="0"/>
        <w:pageBreakBefore w:val="0"/>
        <w:widowControl w:val="0"/>
        <w:kinsoku/>
        <w:wordWrap/>
        <w:overflowPunct/>
        <w:topLinePunct w:val="0"/>
        <w:autoSpaceDE/>
        <w:autoSpaceDN/>
        <w:bidi w:val="0"/>
        <w:adjustRightInd w:val="0"/>
        <w:snapToGrid w:val="0"/>
        <w:spacing w:line="336" w:lineRule="auto"/>
        <w:ind w:lef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（四）《信息系统渗透测试报告》；</w:t>
      </w:r>
    </w:p>
    <w:p w14:paraId="75292998">
      <w:pPr>
        <w:pStyle w:val="17"/>
        <w:keepNext w:val="0"/>
        <w:keepLines w:val="0"/>
        <w:pageBreakBefore w:val="0"/>
        <w:widowControl w:val="0"/>
        <w:kinsoku/>
        <w:wordWrap/>
        <w:overflowPunct/>
        <w:topLinePunct w:val="0"/>
        <w:autoSpaceDE/>
        <w:autoSpaceDN/>
        <w:bidi w:val="0"/>
        <w:adjustRightInd w:val="0"/>
        <w:snapToGrid w:val="0"/>
        <w:spacing w:line="336" w:lineRule="auto"/>
        <w:ind w:lef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（五）《信息系统安全等级测评报告》。</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31136D"/>
    <w:multiLevelType w:val="multilevel"/>
    <w:tmpl w:val="8E31136D"/>
    <w:lvl w:ilvl="0" w:tentative="0">
      <w:start w:val="1"/>
      <w:numFmt w:val="chineseCounting"/>
      <w:pStyle w:val="3"/>
      <w:suff w:val="nothing"/>
      <w:lvlText w:val="%1、"/>
      <w:lvlJc w:val="left"/>
      <w:pPr>
        <w:ind w:left="0" w:firstLine="0"/>
      </w:pPr>
      <w:rPr>
        <w:rFonts w:hint="eastAsia"/>
      </w:rPr>
    </w:lvl>
    <w:lvl w:ilvl="1" w:tentative="0">
      <w:start w:val="1"/>
      <w:numFmt w:val="chineseCounting"/>
      <w:pStyle w:val="4"/>
      <w:suff w:val="nothing"/>
      <w:lvlText w:val="（%2）"/>
      <w:lvlJc w:val="left"/>
      <w:pPr>
        <w:ind w:left="0" w:firstLine="0"/>
      </w:pPr>
      <w:rPr>
        <w:rFonts w:hint="eastAsia"/>
      </w:rPr>
    </w:lvl>
    <w:lvl w:ilvl="2" w:tentative="0">
      <w:start w:val="1"/>
      <w:numFmt w:val="decimal"/>
      <w:pStyle w:val="5"/>
      <w:suff w:val="nothing"/>
      <w:lvlText w:val="%3．"/>
      <w:lvlJc w:val="left"/>
      <w:pPr>
        <w:ind w:left="0" w:firstLine="400"/>
      </w:pPr>
      <w:rPr>
        <w:rFonts w:hint="eastAsia"/>
      </w:rPr>
    </w:lvl>
    <w:lvl w:ilvl="3" w:tentative="0">
      <w:start w:val="1"/>
      <w:numFmt w:val="decimal"/>
      <w:pStyle w:val="6"/>
      <w:suff w:val="nothing"/>
      <w:lvlText w:val="（%4）"/>
      <w:lvlJc w:val="left"/>
      <w:pPr>
        <w:ind w:left="0" w:firstLine="402"/>
      </w:pPr>
      <w:rPr>
        <w:rFonts w:hint="eastAsia"/>
      </w:rPr>
    </w:lvl>
    <w:lvl w:ilvl="4" w:tentative="0">
      <w:start w:val="1"/>
      <w:numFmt w:val="decimalEnclosedCircleChinese"/>
      <w:pStyle w:val="7"/>
      <w:suff w:val="nothing"/>
      <w:lvlText w:val="%5"/>
      <w:lvlJc w:val="left"/>
      <w:pPr>
        <w:ind w:left="0" w:firstLine="402"/>
      </w:pPr>
      <w:rPr>
        <w:rFonts w:hint="eastAsia"/>
      </w:rPr>
    </w:lvl>
    <w:lvl w:ilvl="5" w:tentative="0">
      <w:start w:val="1"/>
      <w:numFmt w:val="decimal"/>
      <w:pStyle w:val="8"/>
      <w:suff w:val="nothing"/>
      <w:lvlText w:val="%6）"/>
      <w:lvlJc w:val="left"/>
      <w:pPr>
        <w:ind w:left="0" w:firstLine="402"/>
      </w:pPr>
      <w:rPr>
        <w:rFonts w:hint="eastAsia"/>
      </w:rPr>
    </w:lvl>
    <w:lvl w:ilvl="6" w:tentative="0">
      <w:start w:val="1"/>
      <w:numFmt w:val="lowerLetter"/>
      <w:pStyle w:val="9"/>
      <w:suff w:val="nothing"/>
      <w:lvlText w:val="%7．"/>
      <w:lvlJc w:val="left"/>
      <w:pPr>
        <w:ind w:left="0" w:firstLine="402"/>
      </w:pPr>
      <w:rPr>
        <w:rFonts w:hint="eastAsia"/>
      </w:rPr>
    </w:lvl>
    <w:lvl w:ilvl="7" w:tentative="0">
      <w:start w:val="1"/>
      <w:numFmt w:val="lowerLetter"/>
      <w:pStyle w:val="10"/>
      <w:suff w:val="nothing"/>
      <w:lvlText w:val="%8）"/>
      <w:lvlJc w:val="left"/>
      <w:pPr>
        <w:ind w:left="0" w:firstLine="402"/>
      </w:pPr>
      <w:rPr>
        <w:rFonts w:hint="eastAsia"/>
      </w:rPr>
    </w:lvl>
    <w:lvl w:ilvl="8" w:tentative="0">
      <w:start w:val="1"/>
      <w:numFmt w:val="lowerRoman"/>
      <w:pStyle w:val="11"/>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D3576C1"/>
    <w:rsid w:val="3E1E037D"/>
    <w:rsid w:val="4C02062A"/>
    <w:rsid w:val="511C2260"/>
    <w:rsid w:val="656C55A9"/>
    <w:rsid w:val="70113CA5"/>
    <w:rsid w:val="7A7103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15"/>
    <w:qFormat/>
    <w:uiPriority w:val="0"/>
    <w:pPr>
      <w:keepNext/>
      <w:numPr>
        <w:ilvl w:val="0"/>
        <w:numId w:val="1"/>
      </w:numPr>
      <w:spacing w:line="700" w:lineRule="exact"/>
      <w:jc w:val="center"/>
      <w:outlineLvl w:val="0"/>
    </w:pPr>
    <w:rPr>
      <w:rFonts w:ascii="黑体" w:hAnsi="黑体" w:eastAsia="宋体"/>
      <w:b/>
      <w:sz w:val="44"/>
    </w:rPr>
  </w:style>
  <w:style w:type="paragraph" w:styleId="4">
    <w:name w:val="heading 2"/>
    <w:basedOn w:val="1"/>
    <w:next w:val="1"/>
    <w:link w:val="16"/>
    <w:semiHidden/>
    <w:unhideWhenUsed/>
    <w:qFormat/>
    <w:uiPriority w:val="0"/>
    <w:pPr>
      <w:keepNext/>
      <w:numPr>
        <w:ilvl w:val="1"/>
        <w:numId w:val="1"/>
      </w:numPr>
      <w:spacing w:line="700" w:lineRule="exact"/>
      <w:outlineLvl w:val="1"/>
    </w:pPr>
    <w:rPr>
      <w:rFonts w:ascii="黑体" w:hAnsi="黑体" w:eastAsia="宋体"/>
      <w:b/>
      <w:sz w:val="44"/>
    </w:rPr>
  </w:style>
  <w:style w:type="paragraph" w:styleId="5">
    <w:name w:val="heading 3"/>
    <w:basedOn w:val="1"/>
    <w:next w:val="1"/>
    <w:semiHidden/>
    <w:unhideWhenUsed/>
    <w:qFormat/>
    <w:uiPriority w:val="0"/>
    <w:pPr>
      <w:keepNext/>
      <w:keepLines/>
      <w:numPr>
        <w:ilvl w:val="2"/>
        <w:numId w:val="1"/>
      </w:numPr>
      <w:snapToGrid w:val="0"/>
      <w:spacing w:before="260" w:beforeLines="0" w:beforeAutospacing="0" w:after="260" w:afterLines="0" w:afterAutospacing="0" w:line="300" w:lineRule="auto"/>
      <w:ind w:firstLine="403"/>
      <w:outlineLvl w:val="2"/>
    </w:pPr>
    <w:rPr>
      <w:rFonts w:eastAsia="仿宋_GB2312" w:asciiTheme="minorAscii" w:hAnsiTheme="minorAscii"/>
      <w:b/>
      <w:sz w:val="32"/>
    </w:rPr>
  </w:style>
  <w:style w:type="paragraph" w:styleId="6">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firstLine="402"/>
      <w:outlineLvl w:val="3"/>
    </w:pPr>
    <w:rPr>
      <w:rFonts w:ascii="Arial" w:hAnsi="Arial" w:eastAsia="黑体"/>
      <w:b/>
      <w:sz w:val="28"/>
    </w:rPr>
  </w:style>
  <w:style w:type="paragraph" w:styleId="7">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8">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9">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10">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1">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pPr>
      <w:jc w:val="left"/>
    </w:pPr>
    <w:rPr>
      <w:kern w:val="0"/>
    </w:rPr>
  </w:style>
  <w:style w:type="paragraph" w:styleId="12">
    <w:name w:val="Subtitle"/>
    <w:basedOn w:val="1"/>
    <w:next w:val="1"/>
    <w:qFormat/>
    <w:uiPriority w:val="0"/>
    <w:pPr>
      <w:spacing w:before="240" w:after="60" w:line="312" w:lineRule="auto"/>
      <w:jc w:val="center"/>
      <w:outlineLvl w:val="1"/>
    </w:pPr>
    <w:rPr>
      <w:rFonts w:ascii="Cambria" w:hAnsi="Cambria"/>
      <w:b/>
      <w:bCs/>
      <w:kern w:val="28"/>
      <w:sz w:val="32"/>
      <w:szCs w:val="32"/>
    </w:rPr>
  </w:style>
  <w:style w:type="character" w:customStyle="1" w:styleId="15">
    <w:name w:val="标题 1 Char"/>
    <w:link w:val="3"/>
    <w:qFormat/>
    <w:uiPriority w:val="0"/>
    <w:rPr>
      <w:rFonts w:ascii="黑体" w:hAnsi="黑体" w:eastAsia="宋体"/>
      <w:b/>
      <w:sz w:val="44"/>
    </w:rPr>
  </w:style>
  <w:style w:type="character" w:customStyle="1" w:styleId="16">
    <w:name w:val="标题 2 Char"/>
    <w:link w:val="4"/>
    <w:qFormat/>
    <w:uiPriority w:val="0"/>
    <w:rPr>
      <w:rFonts w:ascii="黑体" w:hAnsi="黑体" w:eastAsia="宋体"/>
      <w:b/>
      <w:sz w:val="44"/>
    </w:rPr>
  </w:style>
  <w:style w:type="paragraph" w:styleId="17">
    <w:name w:val="List Paragraph"/>
    <w:basedOn w:val="1"/>
    <w:qFormat/>
    <w:uiPriority w:val="99"/>
    <w:pPr>
      <w:ind w:left="100" w:firstLine="42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1918</Words>
  <Characters>2037</Characters>
  <Lines>0</Lines>
  <Paragraphs>0</Paragraphs>
  <TotalTime>1</TotalTime>
  <ScaleCrop>false</ScaleCrop>
  <LinksUpToDate>false</LinksUpToDate>
  <CharactersWithSpaces>2045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2024-03-15T06:24:00Z</dcterms:created>
  <dc:creator>DELL</dc:creator>
  <cp:lastModifiedBy>陕西华采招标有限公司</cp:lastModifiedBy>
  <cp:lastPrinted>2025-07-07T07:34:00Z</cp:lastPrinted>
  <dcterms:modified xsi:type="dcterms:W3CDTF">2026-09-09T08:32:17Z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452917B7DF5041F5A5C64AFCFAFA45B1_12</vt:lpwstr>
  </property>
  <property fmtid="{D5CDD505-2E9C-101B-9397-08002B2CF9AE}" pid="4" name="KSOTemplateDocerSaveRecord">
    <vt:lpwstr>eyJoZGlkIjoiNzlkYjQxZmY4MWQ0ZWY2YTZhOTY1MTMyMDgzMmE0NmEiLCJ1c2VySWQiOiI5MzY1NjA0ODAifQ==</vt:lpwstr>
  </property>
</Properties>
</file>