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C0528">
      <w:pPr>
        <w:ind w:firstLine="480" w:firstLineChars="150"/>
        <w:jc w:val="center"/>
        <w:rPr>
          <w:color w:val="000000"/>
          <w:sz w:val="32"/>
          <w:szCs w:val="32"/>
        </w:rPr>
      </w:pPr>
      <w:r>
        <w:rPr>
          <w:color w:val="000000"/>
          <w:sz w:val="32"/>
          <w:szCs w:val="32"/>
        </w:rPr>
        <w:t>××购置合同</w:t>
      </w:r>
    </w:p>
    <w:p w14:paraId="04CB34EE">
      <w:pPr>
        <w:ind w:firstLine="360" w:firstLineChars="150"/>
        <w:jc w:val="center"/>
        <w:rPr>
          <w:color w:val="000000"/>
          <w:sz w:val="24"/>
        </w:rPr>
      </w:pPr>
      <w:r>
        <w:rPr>
          <w:rFonts w:hint="eastAsia"/>
          <w:color w:val="000000"/>
          <w:sz w:val="24"/>
        </w:rPr>
        <w:t>（参考模版）</w:t>
      </w:r>
    </w:p>
    <w:p w14:paraId="30579B0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4A7BBB19">
      <w:pPr>
        <w:spacing w:line="360" w:lineRule="auto"/>
        <w:rPr>
          <w:rFonts w:ascii="仿宋" w:hAnsi="仿宋" w:eastAsia="仿宋" w:cs="仿宋"/>
          <w:b/>
          <w:sz w:val="24"/>
        </w:rPr>
      </w:pPr>
      <w:r>
        <w:rPr>
          <w:rFonts w:hint="eastAsia" w:ascii="仿宋" w:hAnsi="仿宋" w:eastAsia="仿宋" w:cs="仿宋"/>
          <w:b/>
          <w:sz w:val="24"/>
        </w:rPr>
        <w:t>一、合同内容</w:t>
      </w:r>
    </w:p>
    <w:p w14:paraId="6D20A16D">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3"/>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95CB6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2ABE83A">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4BD610EB">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2D01C733">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0D213097">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141981C2">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581A6FDC">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6C7B2AD4">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2C6F27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0F848758">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0BBF3F04">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25FE132B">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5E51F9BB">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2609FCB5">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A0B3623">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156CA62">
            <w:pPr>
              <w:spacing w:line="360" w:lineRule="auto"/>
              <w:rPr>
                <w:rFonts w:ascii="仿宋" w:hAnsi="仿宋" w:eastAsia="仿宋" w:cs="仿宋"/>
                <w:szCs w:val="21"/>
              </w:rPr>
            </w:pPr>
          </w:p>
        </w:tc>
      </w:tr>
      <w:tr w14:paraId="0D4EE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17ABDD5">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568A7A4F">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4CD2F186">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70A01596">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5CF988F4">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235F56A1">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7B0127BC">
            <w:pPr>
              <w:spacing w:line="360" w:lineRule="auto"/>
              <w:rPr>
                <w:rFonts w:ascii="仿宋" w:hAnsi="仿宋" w:eastAsia="仿宋" w:cs="仿宋"/>
                <w:szCs w:val="21"/>
              </w:rPr>
            </w:pPr>
          </w:p>
        </w:tc>
      </w:tr>
      <w:tr w14:paraId="5085AB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EE972CB">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6E830A96">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5D67D041">
            <w:pPr>
              <w:spacing w:line="360" w:lineRule="auto"/>
              <w:rPr>
                <w:rFonts w:ascii="仿宋" w:hAnsi="仿宋" w:eastAsia="仿宋" w:cs="仿宋"/>
                <w:szCs w:val="21"/>
              </w:rPr>
            </w:pPr>
            <w:r>
              <w:rPr>
                <w:rFonts w:hint="eastAsia" w:ascii="仿宋" w:hAnsi="仿宋" w:eastAsia="仿宋" w:cs="仿宋"/>
                <w:szCs w:val="21"/>
              </w:rPr>
              <w:t>小写</w:t>
            </w:r>
          </w:p>
        </w:tc>
      </w:tr>
    </w:tbl>
    <w:p w14:paraId="70F6845F">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3F96E1C6">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29A53B56">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1A9B8360">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1A68CAD0">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7E3CF0D2">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029DE74">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7FB842D5">
      <w:pPr>
        <w:spacing w:line="360" w:lineRule="auto"/>
        <w:ind w:firstLine="420"/>
        <w:rPr>
          <w:rFonts w:hint="eastAsia"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3</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51B7A0FE">
      <w:pPr>
        <w:spacing w:line="360" w:lineRule="auto"/>
        <w:ind w:firstLine="420"/>
        <w:rPr>
          <w:rFonts w:hint="default" w:ascii="仿宋" w:hAnsi="仿宋" w:eastAsia="仿宋" w:cs="仿宋"/>
          <w:szCs w:val="21"/>
          <w:lang w:val="en-US" w:eastAsia="zh-CN"/>
        </w:rPr>
      </w:pPr>
      <w:r>
        <w:rPr>
          <w:rFonts w:hint="eastAsia" w:ascii="仿宋" w:hAnsi="仿宋" w:eastAsia="仿宋" w:cs="仿宋"/>
          <w:szCs w:val="21"/>
          <w:lang w:val="en-US" w:eastAsia="zh-CN"/>
        </w:rPr>
        <w:t>6、本项目产生的包括但不限于定制软件、图纸、课程资源、影像资料等知识产权归甲方所有。</w:t>
      </w:r>
    </w:p>
    <w:p w14:paraId="4C25FE98">
      <w:pPr>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10224359">
      <w:pPr>
        <w:pStyle w:val="5"/>
        <w:spacing w:line="360" w:lineRule="auto"/>
        <w:ind w:firstLine="420" w:firstLineChars="200"/>
        <w:rPr>
          <w:rFonts w:hint="default" w:ascii="仿宋" w:hAnsi="仿宋" w:eastAsia="仿宋" w:cs="仿宋"/>
          <w:kern w:val="2"/>
          <w:sz w:val="21"/>
          <w:szCs w:val="21"/>
          <w:lang w:eastAsia="zh-CN"/>
        </w:rPr>
      </w:pPr>
      <w:r>
        <w:rPr>
          <w:rFonts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D7209F5">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41B6981E">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w:t>
      </w:r>
      <w:r>
        <w:rPr>
          <w:rFonts w:hint="eastAsia" w:ascii="仿宋" w:hAnsi="仿宋" w:eastAsia="仿宋" w:cs="仿宋"/>
          <w:szCs w:val="21"/>
          <w:u w:val="single"/>
          <w:lang w:val="en-US" w:eastAsia="zh-CN"/>
        </w:rPr>
        <w:t xml:space="preserve">  90  </w:t>
      </w:r>
      <w:r>
        <w:rPr>
          <w:rFonts w:hint="eastAsia" w:ascii="仿宋" w:hAnsi="仿宋" w:eastAsia="仿宋" w:cs="仿宋"/>
          <w:szCs w:val="21"/>
          <w:highlight w:val="none"/>
        </w:rPr>
        <w:t>天内</w:t>
      </w:r>
      <w:r>
        <w:rPr>
          <w:rFonts w:hint="eastAsia" w:ascii="仿宋" w:hAnsi="仿宋" w:eastAsia="仿宋" w:cs="仿宋"/>
          <w:szCs w:val="21"/>
        </w:rPr>
        <w:t>完成货物安装调试并交付使用。安装地点</w:t>
      </w:r>
      <w:r>
        <w:rPr>
          <w:rFonts w:hint="eastAsia" w:ascii="仿宋" w:hAnsi="仿宋" w:eastAsia="仿宋" w:cs="仿宋"/>
          <w:strike w:val="0"/>
          <w:dstrike w:val="0"/>
          <w:szCs w:val="21"/>
          <w:highlight w:val="none"/>
        </w:rPr>
        <w:t>：西安石油大学</w:t>
      </w:r>
      <w:r>
        <w:rPr>
          <w:rFonts w:hint="eastAsia" w:ascii="仿宋" w:hAnsi="仿宋" w:eastAsia="仿宋" w:cs="仿宋"/>
          <w:strike w:val="0"/>
          <w:dstrike w:val="0"/>
          <w:szCs w:val="21"/>
          <w:highlight w:val="none"/>
          <w:lang w:val="en-US" w:eastAsia="zh-CN"/>
        </w:rPr>
        <w:t>甲方指定地点</w:t>
      </w:r>
      <w:r>
        <w:rPr>
          <w:rFonts w:hint="eastAsia" w:ascii="仿宋" w:hAnsi="仿宋" w:eastAsia="仿宋" w:cs="仿宋"/>
          <w:szCs w:val="21"/>
        </w:rPr>
        <w:t>，所有产生费用乙方负责。甲方联系人：××，乙方联系人：××。</w:t>
      </w:r>
    </w:p>
    <w:p w14:paraId="42DAD57B">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043CCB6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40E2A10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66A40443">
      <w:pPr>
        <w:ind w:firstLine="361" w:firstLineChars="150"/>
        <w:rPr>
          <w:rFonts w:ascii="仿宋" w:hAnsi="仿宋" w:eastAsia="仿宋" w:cs="仿宋"/>
          <w:b/>
          <w:bCs/>
          <w:color w:val="000000"/>
          <w:sz w:val="24"/>
          <w:highlight w:val="none"/>
        </w:rPr>
      </w:pPr>
      <w:r>
        <w:rPr>
          <w:rFonts w:hint="eastAsia" w:ascii="仿宋" w:hAnsi="仿宋" w:eastAsia="仿宋" w:cs="仿宋"/>
          <w:b/>
          <w:bCs/>
          <w:color w:val="000000"/>
          <w:sz w:val="24"/>
          <w:highlight w:val="none"/>
        </w:rPr>
        <w:t>六、质保期及售后服务</w:t>
      </w:r>
    </w:p>
    <w:p w14:paraId="0366A31D">
      <w:pPr>
        <w:spacing w:line="360" w:lineRule="auto"/>
        <w:ind w:firstLine="315" w:firstLineChars="150"/>
        <w:rPr>
          <w:rFonts w:ascii="仿宋" w:hAnsi="仿宋" w:eastAsia="仿宋" w:cs="仿宋"/>
          <w:color w:val="000000"/>
          <w:szCs w:val="21"/>
          <w:highlight w:val="none"/>
        </w:rPr>
      </w:pPr>
      <w:r>
        <w:rPr>
          <w:rFonts w:hint="eastAsia" w:ascii="仿宋" w:hAnsi="仿宋" w:eastAsia="仿宋" w:cs="仿宋"/>
          <w:color w:val="000000"/>
          <w:szCs w:val="21"/>
          <w:highlight w:val="none"/>
        </w:rPr>
        <w:t>1、乙方提供的设备质保期限</w:t>
      </w:r>
      <w:r>
        <w:rPr>
          <w:rFonts w:hint="eastAsia" w:ascii="仿宋" w:hAnsi="仿宋" w:eastAsia="仿宋" w:cs="仿宋"/>
          <w:color w:val="000000"/>
          <w:szCs w:val="21"/>
          <w:highlight w:val="none"/>
          <w:lang w:val="en-US" w:eastAsia="zh-CN"/>
        </w:rPr>
        <w:t>3</w:t>
      </w:r>
      <w:r>
        <w:rPr>
          <w:rFonts w:hint="eastAsia" w:ascii="仿宋" w:hAnsi="仿宋" w:eastAsia="仿宋" w:cs="仿宋"/>
          <w:color w:val="000000"/>
          <w:szCs w:val="21"/>
          <w:highlight w:val="none"/>
        </w:rPr>
        <w:t>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394DAF83">
      <w:pPr>
        <w:spacing w:line="360" w:lineRule="auto"/>
        <w:ind w:firstLine="315" w:firstLineChars="150"/>
        <w:rPr>
          <w:rFonts w:ascii="仿宋" w:hAnsi="仿宋" w:eastAsia="仿宋" w:cs="仿宋"/>
          <w:color w:val="000000"/>
          <w:szCs w:val="21"/>
          <w:highlight w:val="none"/>
        </w:rPr>
      </w:pPr>
      <w:r>
        <w:rPr>
          <w:rFonts w:hint="eastAsia" w:ascii="仿宋" w:hAnsi="仿宋" w:eastAsia="仿宋" w:cs="仿宋"/>
          <w:color w:val="000000"/>
          <w:szCs w:val="21"/>
          <w:highlight w:val="none"/>
        </w:rPr>
        <w:t>2、安装调试后，乙方免费为甲方提供现场操作培训，通过培训使用户人员了解设备工作原理，熟悉设备的安装及使用、维护方法，掌握各种设备的初始化及故障诊断、定位和排除技能。</w:t>
      </w:r>
    </w:p>
    <w:p w14:paraId="27AE7CF9">
      <w:pPr>
        <w:spacing w:line="360" w:lineRule="auto"/>
        <w:ind w:firstLine="315" w:firstLineChars="150"/>
        <w:rPr>
          <w:rFonts w:ascii="仿宋" w:hAnsi="仿宋" w:eastAsia="仿宋" w:cs="仿宋"/>
          <w:color w:val="000000"/>
          <w:szCs w:val="21"/>
          <w:highlight w:val="none"/>
        </w:rPr>
      </w:pPr>
      <w:r>
        <w:rPr>
          <w:rFonts w:hint="eastAsia" w:ascii="仿宋" w:hAnsi="仿宋" w:eastAsia="仿宋" w:cs="仿宋"/>
          <w:color w:val="000000"/>
          <w:szCs w:val="21"/>
          <w:highlight w:val="none"/>
        </w:rPr>
        <w:t>3、设备正式运行后，定期回访用户，当系统出现重大缺陷问题而影响到甲方实际应用时需及时响应并派人到现场解决。</w:t>
      </w:r>
    </w:p>
    <w:p w14:paraId="1277A56B">
      <w:pPr>
        <w:spacing w:line="360" w:lineRule="auto"/>
        <w:ind w:firstLine="315" w:firstLineChars="15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乙方售后服务及维修专线：××××××。</w:t>
      </w:r>
    </w:p>
    <w:p w14:paraId="0ACF866A">
      <w:pPr>
        <w:spacing w:line="360" w:lineRule="auto"/>
        <w:ind w:firstLine="315" w:firstLineChars="150"/>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4、售后服务标准要求：</w:t>
      </w:r>
      <w:r>
        <w:rPr>
          <w:rFonts w:ascii="仿宋_GB2312" w:hAnsi="仿宋_GB2312" w:eastAsia="仿宋_GB2312" w:cs="仿宋_GB2312"/>
        </w:rPr>
        <w:t>售后服务效率要求：7*24即时响应（包括电话响应）；电话响应无法解决时，24小时内到达现场。修复时间48小时内；如48小时内无法修复，应提供相应解决方案。售后服务标准要求：技术服务：1</w:t>
      </w:r>
      <w:r>
        <w:rPr>
          <w:rFonts w:hint="eastAsia" w:ascii="仿宋_GB2312" w:hAnsi="仿宋_GB2312" w:eastAsia="仿宋_GB2312" w:cs="仿宋_GB2312"/>
          <w:lang w:eastAsia="zh-CN"/>
        </w:rPr>
        <w:t>）</w:t>
      </w:r>
      <w:r>
        <w:rPr>
          <w:rFonts w:ascii="仿宋_GB2312" w:hAnsi="仿宋_GB2312" w:eastAsia="仿宋_GB2312" w:cs="仿宋_GB2312"/>
        </w:rPr>
        <w:t>设备安装、调试和验收2</w:t>
      </w:r>
      <w:r>
        <w:rPr>
          <w:rFonts w:hint="eastAsia" w:ascii="仿宋_GB2312" w:hAnsi="仿宋_GB2312" w:eastAsia="仿宋_GB2312" w:cs="仿宋_GB2312"/>
          <w:lang w:eastAsia="zh-CN"/>
        </w:rPr>
        <w:t>）</w:t>
      </w:r>
      <w:r>
        <w:rPr>
          <w:rFonts w:ascii="仿宋_GB2312" w:hAnsi="仿宋_GB2312" w:eastAsia="仿宋_GB2312" w:cs="仿宋_GB2312"/>
        </w:rPr>
        <w:t>卖方应在合同生效后的1个月内向用户提供详细的安装要求并提供技术咨询。3</w:t>
      </w:r>
      <w:r>
        <w:rPr>
          <w:rFonts w:hint="eastAsia" w:ascii="仿宋_GB2312" w:hAnsi="仿宋_GB2312" w:eastAsia="仿宋_GB2312" w:cs="仿宋_GB2312"/>
          <w:lang w:eastAsia="zh-CN"/>
        </w:rPr>
        <w:t>）</w:t>
      </w:r>
      <w:r>
        <w:rPr>
          <w:rFonts w:ascii="仿宋_GB2312" w:hAnsi="仿宋_GB2312" w:eastAsia="仿宋_GB2312" w:cs="仿宋_GB2312"/>
        </w:rPr>
        <w:t>仪器到达用户所在地，在接到用户通知后一周内进行安装调试，直至通过验收。4</w:t>
      </w:r>
      <w:r>
        <w:rPr>
          <w:rFonts w:hint="eastAsia" w:ascii="仿宋_GB2312" w:hAnsi="仿宋_GB2312" w:eastAsia="仿宋_GB2312" w:cs="仿宋_GB2312"/>
          <w:lang w:eastAsia="zh-CN"/>
        </w:rPr>
        <w:t>）</w:t>
      </w:r>
      <w:r>
        <w:rPr>
          <w:rFonts w:ascii="仿宋_GB2312" w:hAnsi="仿宋_GB2312" w:eastAsia="仿宋_GB2312" w:cs="仿宋_GB2312"/>
        </w:rPr>
        <w:t>技术培训：在用户所在地对用户进行为期1周的培训。培训内容包括仪器的技术原理、操作、数据处理、基本维护等。验收后半年内组织买方相关人员2人参加举办的相关应用培训班。5</w:t>
      </w:r>
      <w:r>
        <w:rPr>
          <w:rFonts w:hint="eastAsia" w:ascii="仿宋_GB2312" w:hAnsi="仿宋_GB2312" w:eastAsia="仿宋_GB2312" w:cs="仿宋_GB2312"/>
          <w:lang w:eastAsia="zh-CN"/>
        </w:rPr>
        <w:t>）</w:t>
      </w:r>
      <w:r>
        <w:rPr>
          <w:rFonts w:ascii="仿宋_GB2312" w:hAnsi="仿宋_GB2312" w:eastAsia="仿宋_GB2312" w:cs="仿宋_GB2312"/>
        </w:rPr>
        <w:t>保修期：卖方提供三年的免费保修,保修期自仪器验收签字之日起计算。保修期间维修及零件更换费用由厂家负担。6</w:t>
      </w:r>
      <w:r>
        <w:rPr>
          <w:rFonts w:hint="eastAsia" w:ascii="仿宋_GB2312" w:hAnsi="仿宋_GB2312" w:eastAsia="仿宋_GB2312" w:cs="仿宋_GB2312"/>
          <w:lang w:eastAsia="zh-CN"/>
        </w:rPr>
        <w:t>）</w:t>
      </w:r>
      <w:r>
        <w:rPr>
          <w:rFonts w:ascii="仿宋_GB2312" w:hAnsi="仿宋_GB2312" w:eastAsia="仿宋_GB2312" w:cs="仿宋_GB2312"/>
        </w:rPr>
        <w:t>维修响应时间：卖方应在24小时内对用户的服务要求作出响应，维修服务包括电话指导和现场维修。</w:t>
      </w:r>
    </w:p>
    <w:p w14:paraId="7C73430F">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472CB896">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594DA2B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lang w:val="en-US" w:eastAsia="zh-CN"/>
        </w:rPr>
        <w:t>5</w:t>
      </w:r>
      <w:r>
        <w:rPr>
          <w:rFonts w:hint="eastAsia" w:ascii="仿宋" w:hAnsi="仿宋" w:eastAsia="仿宋" w:cs="仿宋"/>
          <w:szCs w:val="21"/>
        </w:rPr>
        <w:t>%作为履约保证金；</w:t>
      </w:r>
    </w:p>
    <w:p w14:paraId="728F32A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rPr>
        <w:t>1.2履约保</w:t>
      </w:r>
      <w:r>
        <w:rPr>
          <w:rFonts w:hint="eastAsia" w:ascii="仿宋" w:hAnsi="仿宋" w:eastAsia="仿宋" w:cs="仿宋"/>
          <w:szCs w:val="21"/>
          <w:highlight w:val="none"/>
        </w:rPr>
        <w:t>证金应使用人民币，按</w:t>
      </w:r>
      <w:r>
        <w:rPr>
          <w:rFonts w:hint="eastAsia" w:ascii="仿宋" w:hAnsi="仿宋" w:eastAsia="仿宋" w:cs="仿宋"/>
          <w:szCs w:val="21"/>
          <w:highlight w:val="none"/>
          <w:u w:val="single"/>
        </w:rPr>
        <w:t xml:space="preserve">   银行转账、支票/汇票/本票、保函/保险   </w:t>
      </w:r>
      <w:r>
        <w:rPr>
          <w:rFonts w:hint="eastAsia" w:ascii="仿宋" w:hAnsi="仿宋" w:eastAsia="仿宋" w:cs="仿宋"/>
          <w:szCs w:val="21"/>
          <w:highlight w:val="none"/>
        </w:rPr>
        <w:t xml:space="preserve"> 方式提交；</w:t>
      </w:r>
    </w:p>
    <w:p w14:paraId="23453F5D">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1.3设备到货并由甲方验收合格后，乙方申请，甲方应把履约保证金（无息）退还乙方。</w:t>
      </w:r>
    </w:p>
    <w:p w14:paraId="64CEA01E">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2、合同款支付（请在确定支付方式前面的“</w:t>
      </w:r>
      <w:r>
        <w:rPr>
          <w:rFonts w:hint="eastAsia" w:ascii="仿宋" w:hAnsi="仿宋" w:eastAsia="仿宋" w:cs="仿宋"/>
          <w:color w:val="000000" w:themeColor="text1"/>
          <w:szCs w:val="21"/>
          <w:highlight w:val="none"/>
          <w14:textFill>
            <w14:solidFill>
              <w14:schemeClr w14:val="tx1"/>
            </w14:solidFill>
          </w14:textFill>
        </w:rPr>
        <w:sym w:font="Wingdings 2" w:char="0052"/>
      </w:r>
      <w:r>
        <w:rPr>
          <w:rFonts w:hint="eastAsia" w:ascii="仿宋" w:hAnsi="仿宋" w:eastAsia="仿宋" w:cs="仿宋"/>
          <w:color w:val="000000" w:themeColor="text1"/>
          <w:szCs w:val="21"/>
          <w:highlight w:val="none"/>
          <w14:textFill>
            <w14:solidFill>
              <w14:schemeClr w14:val="tx1"/>
            </w14:solidFill>
          </w14:textFill>
        </w:rPr>
        <w:t xml:space="preserve"> ”内打“√” ）</w:t>
      </w:r>
    </w:p>
    <w:p w14:paraId="45A06B09">
      <w:pPr>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highlight w:val="none"/>
          <w:lang w:eastAsia="zh-CN"/>
        </w:rPr>
        <w:t>合同签订后，供应商开具预付款等额银行保函，采购人收到银行保函正本后10个工作日内支付预付款，最多支付至375万元， 剩余款项待验收合格后，并出具增值税专用发票，达到付款条件后10个工作日内付清，达到付款条件起10个工作日内，支付合同总金额的100.0%</w:t>
      </w:r>
      <w:bookmarkStart w:id="0" w:name="_GoBack"/>
      <w:bookmarkEnd w:id="0"/>
      <w:r>
        <w:rPr>
          <w:rFonts w:hint="eastAsia" w:ascii="仿宋" w:hAnsi="仿宋" w:eastAsia="仿宋" w:cs="仿宋"/>
          <w:highlight w:val="none"/>
          <w:lang w:eastAsia="zh-CN"/>
        </w:rPr>
        <w:t>。</w:t>
      </w:r>
    </w:p>
    <w:p w14:paraId="1ADB78F6">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0A04B59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516CD6B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09FF1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05E3D004">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0CE835F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0E50CB4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6BDE7C30">
      <w:pPr>
        <w:snapToGrid w:val="0"/>
        <w:spacing w:line="360" w:lineRule="auto"/>
        <w:ind w:firstLine="420" w:firstLineChars="200"/>
        <w:rPr>
          <w:rFonts w:ascii="仿宋" w:hAnsi="仿宋" w:eastAsia="仿宋" w:cs="仿宋"/>
          <w:strike/>
          <w:dstrike w:val="0"/>
          <w:szCs w:val="21"/>
          <w:highlight w:val="cyan"/>
        </w:rPr>
      </w:pPr>
      <w:r>
        <w:rPr>
          <w:rFonts w:hint="eastAsia" w:ascii="仿宋" w:hAnsi="仿宋" w:eastAsia="仿宋" w:cs="仿宋"/>
          <w:strike w:val="0"/>
          <w:dstrike w:val="0"/>
          <w:szCs w:val="21"/>
          <w:highlight w:val="none"/>
        </w:rPr>
        <w:t>7、合同履约过程中，甲方应积极配合乙方进行设备验收以及验收前的外围配套等工作。</w:t>
      </w:r>
    </w:p>
    <w:p w14:paraId="2C05C020">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九、解决合同纠纷方式：双方友好协商解决，协商未果由西安仲裁委员会仲裁。</w:t>
      </w:r>
    </w:p>
    <w:p w14:paraId="2BDB2604">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631A86DC">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494BA10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60619D51">
      <w:pPr>
        <w:spacing w:line="360" w:lineRule="auto"/>
        <w:ind w:firstLine="315" w:firstLineChars="150"/>
        <w:rPr>
          <w:rFonts w:hint="eastAsia" w:ascii="仿宋" w:hAnsi="仿宋" w:eastAsia="仿宋" w:cs="仿宋"/>
          <w:color w:val="000000"/>
          <w:szCs w:val="21"/>
          <w:lang w:val="en-US" w:eastAsia="zh-CN"/>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3"/>
        <w:tblW w:w="9363" w:type="dxa"/>
        <w:jc w:val="center"/>
        <w:tblLayout w:type="fixed"/>
        <w:tblCellMar>
          <w:top w:w="0" w:type="dxa"/>
          <w:left w:w="108" w:type="dxa"/>
          <w:bottom w:w="0" w:type="dxa"/>
          <w:right w:w="108" w:type="dxa"/>
        </w:tblCellMar>
      </w:tblPr>
      <w:tblGrid>
        <w:gridCol w:w="3780"/>
        <w:gridCol w:w="3088"/>
        <w:gridCol w:w="2495"/>
      </w:tblGrid>
      <w:tr w14:paraId="0546208B">
        <w:tblPrEx>
          <w:tblCellMar>
            <w:top w:w="0" w:type="dxa"/>
            <w:left w:w="108" w:type="dxa"/>
            <w:bottom w:w="0" w:type="dxa"/>
            <w:right w:w="108" w:type="dxa"/>
          </w:tblCellMar>
        </w:tblPrEx>
        <w:trPr>
          <w:jc w:val="center"/>
        </w:trPr>
        <w:tc>
          <w:tcPr>
            <w:tcW w:w="3780" w:type="dxa"/>
            <w:vAlign w:val="center"/>
          </w:tcPr>
          <w:p w14:paraId="5CF5A0B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6BD40B4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2C4B1FB7">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5F65BED9">
        <w:tblPrEx>
          <w:tblCellMar>
            <w:top w:w="0" w:type="dxa"/>
            <w:left w:w="108" w:type="dxa"/>
            <w:bottom w:w="0" w:type="dxa"/>
            <w:right w:w="108" w:type="dxa"/>
          </w:tblCellMar>
        </w:tblPrEx>
        <w:trPr>
          <w:jc w:val="center"/>
        </w:trPr>
        <w:tc>
          <w:tcPr>
            <w:tcW w:w="3780" w:type="dxa"/>
            <w:vAlign w:val="center"/>
          </w:tcPr>
          <w:p w14:paraId="6B9A926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772CB57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6F5431A4">
            <w:pPr>
              <w:spacing w:line="360" w:lineRule="auto"/>
              <w:ind w:firstLine="315" w:firstLineChars="150"/>
              <w:rPr>
                <w:rFonts w:ascii="仿宋" w:hAnsi="仿宋" w:eastAsia="仿宋" w:cs="仿宋"/>
                <w:color w:val="000000"/>
                <w:szCs w:val="21"/>
              </w:rPr>
            </w:pPr>
          </w:p>
        </w:tc>
      </w:tr>
      <w:tr w14:paraId="0D7784CE">
        <w:tblPrEx>
          <w:tblCellMar>
            <w:top w:w="0" w:type="dxa"/>
            <w:left w:w="108" w:type="dxa"/>
            <w:bottom w:w="0" w:type="dxa"/>
            <w:right w:w="108" w:type="dxa"/>
          </w:tblCellMar>
        </w:tblPrEx>
        <w:trPr>
          <w:jc w:val="center"/>
        </w:trPr>
        <w:tc>
          <w:tcPr>
            <w:tcW w:w="3780" w:type="dxa"/>
            <w:vAlign w:val="center"/>
          </w:tcPr>
          <w:p w14:paraId="3D4617D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7FC54AC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477E6071">
            <w:pPr>
              <w:spacing w:line="360" w:lineRule="auto"/>
              <w:ind w:firstLine="315" w:firstLineChars="150"/>
              <w:rPr>
                <w:rFonts w:ascii="仿宋" w:hAnsi="仿宋" w:eastAsia="仿宋" w:cs="仿宋"/>
                <w:color w:val="000000"/>
                <w:szCs w:val="21"/>
              </w:rPr>
            </w:pPr>
          </w:p>
        </w:tc>
      </w:tr>
      <w:tr w14:paraId="647A7B0E">
        <w:tblPrEx>
          <w:tblCellMar>
            <w:top w:w="0" w:type="dxa"/>
            <w:left w:w="108" w:type="dxa"/>
            <w:bottom w:w="0" w:type="dxa"/>
            <w:right w:w="108" w:type="dxa"/>
          </w:tblCellMar>
        </w:tblPrEx>
        <w:trPr>
          <w:jc w:val="center"/>
        </w:trPr>
        <w:tc>
          <w:tcPr>
            <w:tcW w:w="3780" w:type="dxa"/>
            <w:vAlign w:val="center"/>
          </w:tcPr>
          <w:p w14:paraId="5FDC4FE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38C9B80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5A6798C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14ABEA14">
        <w:tblPrEx>
          <w:tblCellMar>
            <w:top w:w="0" w:type="dxa"/>
            <w:left w:w="108" w:type="dxa"/>
            <w:bottom w:w="0" w:type="dxa"/>
            <w:right w:w="108" w:type="dxa"/>
          </w:tblCellMar>
        </w:tblPrEx>
        <w:trPr>
          <w:jc w:val="center"/>
        </w:trPr>
        <w:tc>
          <w:tcPr>
            <w:tcW w:w="3780" w:type="dxa"/>
            <w:vAlign w:val="center"/>
          </w:tcPr>
          <w:p w14:paraId="7A70C0D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0B89FCC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0EA92A4B">
            <w:pPr>
              <w:spacing w:line="360" w:lineRule="auto"/>
              <w:ind w:firstLine="315" w:firstLineChars="150"/>
              <w:rPr>
                <w:rFonts w:ascii="仿宋" w:hAnsi="仿宋" w:eastAsia="仿宋" w:cs="仿宋"/>
                <w:color w:val="000000"/>
                <w:szCs w:val="21"/>
              </w:rPr>
            </w:pPr>
          </w:p>
        </w:tc>
      </w:tr>
      <w:tr w14:paraId="32A69E2D">
        <w:tblPrEx>
          <w:tblCellMar>
            <w:top w:w="0" w:type="dxa"/>
            <w:left w:w="108" w:type="dxa"/>
            <w:bottom w:w="0" w:type="dxa"/>
            <w:right w:w="108" w:type="dxa"/>
          </w:tblCellMar>
        </w:tblPrEx>
        <w:trPr>
          <w:jc w:val="center"/>
        </w:trPr>
        <w:tc>
          <w:tcPr>
            <w:tcW w:w="3780" w:type="dxa"/>
            <w:vAlign w:val="center"/>
          </w:tcPr>
          <w:p w14:paraId="1481138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3CF0029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39B586E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4A826313">
        <w:tblPrEx>
          <w:tblCellMar>
            <w:top w:w="0" w:type="dxa"/>
            <w:left w:w="108" w:type="dxa"/>
            <w:bottom w:w="0" w:type="dxa"/>
            <w:right w:w="108" w:type="dxa"/>
          </w:tblCellMar>
        </w:tblPrEx>
        <w:trPr>
          <w:jc w:val="center"/>
        </w:trPr>
        <w:tc>
          <w:tcPr>
            <w:tcW w:w="3780" w:type="dxa"/>
            <w:vAlign w:val="center"/>
          </w:tcPr>
          <w:p w14:paraId="16BD004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2F1777F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073A399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1C0085E7">
        <w:tblPrEx>
          <w:tblCellMar>
            <w:top w:w="0" w:type="dxa"/>
            <w:left w:w="108" w:type="dxa"/>
            <w:bottom w:w="0" w:type="dxa"/>
            <w:right w:w="108" w:type="dxa"/>
          </w:tblCellMar>
        </w:tblPrEx>
        <w:trPr>
          <w:jc w:val="center"/>
        </w:trPr>
        <w:tc>
          <w:tcPr>
            <w:tcW w:w="3780" w:type="dxa"/>
            <w:vAlign w:val="center"/>
          </w:tcPr>
          <w:p w14:paraId="24532DA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6068970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5C1BD04D">
            <w:pPr>
              <w:spacing w:line="360" w:lineRule="auto"/>
              <w:ind w:firstLine="315" w:firstLineChars="150"/>
              <w:rPr>
                <w:rFonts w:ascii="仿宋" w:hAnsi="仿宋" w:eastAsia="仿宋" w:cs="仿宋"/>
                <w:color w:val="000000"/>
                <w:szCs w:val="21"/>
              </w:rPr>
            </w:pPr>
          </w:p>
        </w:tc>
      </w:tr>
    </w:tbl>
    <w:p w14:paraId="0A770203">
      <w:pPr>
        <w:ind w:firstLine="480" w:firstLineChars="150"/>
        <w:jc w:val="center"/>
        <w:rPr>
          <w:color w:val="000000"/>
          <w:sz w:val="32"/>
          <w:szCs w:val="32"/>
        </w:rPr>
      </w:pPr>
    </w:p>
    <w:p w14:paraId="414DD733">
      <w:pPr>
        <w:ind w:firstLine="480" w:firstLineChars="150"/>
        <w:jc w:val="center"/>
        <w:rPr>
          <w:color w:val="000000"/>
          <w:sz w:val="32"/>
          <w:szCs w:val="32"/>
        </w:rPr>
      </w:pPr>
    </w:p>
    <w:p w14:paraId="6046109E">
      <w:pPr>
        <w:ind w:firstLine="480" w:firstLineChars="150"/>
        <w:jc w:val="center"/>
        <w:rPr>
          <w:color w:val="000000"/>
          <w:sz w:val="32"/>
          <w:szCs w:val="32"/>
        </w:rPr>
      </w:pPr>
    </w:p>
    <w:p w14:paraId="0A2C9D1C">
      <w:pPr>
        <w:ind w:firstLine="480" w:firstLineChars="150"/>
        <w:jc w:val="center"/>
        <w:rPr>
          <w:color w:val="000000"/>
          <w:sz w:val="32"/>
          <w:szCs w:val="32"/>
        </w:rPr>
      </w:pPr>
    </w:p>
    <w:p w14:paraId="0D4396DC">
      <w:pPr>
        <w:rPr>
          <w:color w:val="000000"/>
          <w:sz w:val="32"/>
          <w:szCs w:val="32"/>
        </w:rPr>
      </w:pPr>
      <w:r>
        <w:rPr>
          <w:color w:val="000000"/>
          <w:sz w:val="32"/>
          <w:szCs w:val="32"/>
        </w:rPr>
        <w:br w:type="page"/>
      </w:r>
    </w:p>
    <w:p w14:paraId="3E8197DF">
      <w:pPr>
        <w:ind w:firstLine="452" w:firstLineChars="150"/>
        <w:jc w:val="center"/>
        <w:rPr>
          <w:rFonts w:ascii="仿宋" w:hAnsi="仿宋" w:eastAsia="仿宋" w:cs="仿宋"/>
          <w:color w:val="000000"/>
          <w:sz w:val="24"/>
        </w:rPr>
      </w:pPr>
      <w:r>
        <w:rPr>
          <w:rFonts w:hint="eastAsia" w:ascii="仿宋" w:hAnsi="仿宋" w:eastAsia="仿宋" w:cs="仿宋"/>
          <w:b/>
          <w:bCs/>
          <w:color w:val="000000"/>
          <w:sz w:val="30"/>
          <w:szCs w:val="30"/>
        </w:rPr>
        <w:t>××技术协议</w:t>
      </w:r>
    </w:p>
    <w:p w14:paraId="2335DD58">
      <w:pPr>
        <w:ind w:firstLine="361" w:firstLineChars="150"/>
        <w:rPr>
          <w:rFonts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36BAC8FD">
      <w:pPr>
        <w:tabs>
          <w:tab w:val="left" w:pos="2880"/>
        </w:tabs>
        <w:ind w:firstLine="360" w:firstLineChars="150"/>
        <w:rPr>
          <w:rFonts w:ascii="仿宋" w:hAnsi="仿宋" w:eastAsia="仿宋" w:cs="仿宋"/>
          <w:color w:val="000000"/>
          <w:sz w:val="24"/>
        </w:rPr>
      </w:pPr>
      <w:r>
        <w:rPr>
          <w:rFonts w:hint="eastAsia" w:ascii="仿宋" w:hAnsi="仿宋" w:eastAsia="仿宋" w:cs="仿宋"/>
          <w:color w:val="000000"/>
          <w:sz w:val="24"/>
        </w:rPr>
        <w:t>甲方：西安石油大学</w:t>
      </w:r>
      <w:r>
        <w:rPr>
          <w:rFonts w:hint="eastAsia" w:ascii="仿宋" w:hAnsi="仿宋" w:eastAsia="仿宋" w:cs="仿宋"/>
          <w:color w:val="000000"/>
          <w:sz w:val="24"/>
        </w:rPr>
        <w:tab/>
      </w:r>
    </w:p>
    <w:p w14:paraId="4AF126FC">
      <w:pPr>
        <w:ind w:firstLine="360" w:firstLineChars="150"/>
        <w:rPr>
          <w:rFonts w:ascii="仿宋" w:hAnsi="仿宋" w:eastAsia="仿宋" w:cs="仿宋"/>
          <w:color w:val="000000"/>
          <w:sz w:val="24"/>
        </w:rPr>
      </w:pPr>
      <w:r>
        <w:rPr>
          <w:rFonts w:hint="eastAsia" w:ascii="仿宋" w:hAnsi="仿宋" w:eastAsia="仿宋" w:cs="仿宋"/>
          <w:color w:val="000000"/>
          <w:sz w:val="24"/>
        </w:rPr>
        <w:t>乙方：××公司</w:t>
      </w:r>
    </w:p>
    <w:p w14:paraId="4EB039FF">
      <w:pPr>
        <w:ind w:firstLine="360" w:firstLineChars="150"/>
        <w:rPr>
          <w:rFonts w:ascii="仿宋" w:hAnsi="仿宋" w:eastAsia="仿宋" w:cs="仿宋"/>
          <w:color w:val="000000"/>
          <w:sz w:val="24"/>
        </w:rPr>
      </w:pPr>
      <w:r>
        <w:rPr>
          <w:rFonts w:hint="eastAsia" w:ascii="仿宋" w:hAnsi="仿宋" w:eastAsia="仿宋" w:cs="仿宋"/>
          <w:color w:val="000000"/>
          <w:sz w:val="24"/>
        </w:rPr>
        <w:t>西安石油大学（以下简称甲方）和××公司（以下简称乙方）通过谈判，就甲方××院××购置，达成以下技术协议：</w:t>
      </w:r>
    </w:p>
    <w:p w14:paraId="00685CA3">
      <w:pPr>
        <w:ind w:firstLine="360" w:firstLineChars="150"/>
        <w:rPr>
          <w:rFonts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4BF30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44877C00">
            <w:pPr>
              <w:jc w:val="center"/>
              <w:rPr>
                <w:rFonts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235A7AF">
            <w:pPr>
              <w:jc w:val="center"/>
              <w:rPr>
                <w:rFonts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15632F69">
            <w:pPr>
              <w:jc w:val="center"/>
              <w:rPr>
                <w:rFonts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1D337965">
            <w:pPr>
              <w:jc w:val="center"/>
              <w:rPr>
                <w:rFonts w:ascii="仿宋" w:hAnsi="仿宋" w:eastAsia="仿宋" w:cs="仿宋"/>
                <w:color w:val="000000"/>
                <w:sz w:val="24"/>
              </w:rPr>
            </w:pPr>
            <w:r>
              <w:rPr>
                <w:rFonts w:hint="eastAsia" w:ascii="仿宋" w:hAnsi="仿宋" w:eastAsia="仿宋" w:cs="仿宋"/>
                <w:color w:val="000000"/>
                <w:sz w:val="24"/>
              </w:rPr>
              <w:t>生产厂家</w:t>
            </w:r>
          </w:p>
        </w:tc>
      </w:tr>
      <w:tr w14:paraId="2A2F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67D8550D">
            <w:pPr>
              <w:ind w:firstLine="360" w:firstLineChars="150"/>
              <w:rPr>
                <w:rFonts w:ascii="仿宋" w:hAnsi="仿宋" w:eastAsia="仿宋" w:cs="仿宋"/>
                <w:color w:val="000000"/>
                <w:sz w:val="24"/>
              </w:rPr>
            </w:pPr>
          </w:p>
        </w:tc>
        <w:tc>
          <w:tcPr>
            <w:tcW w:w="2270" w:type="dxa"/>
            <w:vAlign w:val="center"/>
          </w:tcPr>
          <w:p w14:paraId="66083F61">
            <w:pPr>
              <w:ind w:firstLine="360" w:firstLineChars="150"/>
              <w:rPr>
                <w:rFonts w:ascii="仿宋" w:hAnsi="仿宋" w:eastAsia="仿宋" w:cs="仿宋"/>
                <w:color w:val="000000"/>
                <w:sz w:val="24"/>
              </w:rPr>
            </w:pPr>
          </w:p>
        </w:tc>
        <w:tc>
          <w:tcPr>
            <w:tcW w:w="2541" w:type="dxa"/>
            <w:vAlign w:val="center"/>
          </w:tcPr>
          <w:p w14:paraId="29E87651">
            <w:pPr>
              <w:ind w:firstLine="360" w:firstLineChars="150"/>
              <w:rPr>
                <w:rFonts w:ascii="仿宋" w:hAnsi="仿宋" w:eastAsia="仿宋" w:cs="仿宋"/>
                <w:color w:val="000000"/>
                <w:sz w:val="24"/>
              </w:rPr>
            </w:pPr>
          </w:p>
        </w:tc>
        <w:tc>
          <w:tcPr>
            <w:tcW w:w="2149" w:type="dxa"/>
            <w:vAlign w:val="center"/>
          </w:tcPr>
          <w:p w14:paraId="134EB33C">
            <w:pPr>
              <w:ind w:firstLine="360" w:firstLineChars="150"/>
              <w:rPr>
                <w:rFonts w:ascii="仿宋" w:hAnsi="仿宋" w:eastAsia="仿宋" w:cs="仿宋"/>
                <w:color w:val="000000"/>
                <w:sz w:val="24"/>
              </w:rPr>
            </w:pPr>
          </w:p>
        </w:tc>
      </w:tr>
    </w:tbl>
    <w:p w14:paraId="294F01D4">
      <w:pPr>
        <w:ind w:firstLine="360" w:firstLineChars="150"/>
        <w:rPr>
          <w:rFonts w:ascii="仿宋" w:hAnsi="仿宋" w:eastAsia="仿宋" w:cs="仿宋"/>
          <w:color w:val="000000"/>
          <w:sz w:val="24"/>
        </w:rPr>
      </w:pPr>
      <w:r>
        <w:rPr>
          <w:rFonts w:hint="eastAsia" w:ascii="仿宋" w:hAnsi="仿宋" w:eastAsia="仿宋" w:cs="仿宋"/>
          <w:color w:val="000000"/>
          <w:sz w:val="24"/>
        </w:rPr>
        <w:t>二、设备配置及技术指标:</w:t>
      </w:r>
    </w:p>
    <w:p w14:paraId="57E04315">
      <w:pPr>
        <w:ind w:firstLine="240" w:firstLineChars="100"/>
        <w:rPr>
          <w:rFonts w:ascii="仿宋" w:hAnsi="仿宋" w:eastAsia="仿宋" w:cs="仿宋"/>
          <w:color w:val="000000"/>
          <w:sz w:val="24"/>
        </w:rPr>
      </w:pPr>
      <w:r>
        <w:rPr>
          <w:rFonts w:hint="eastAsia" w:ascii="仿宋" w:hAnsi="仿宋" w:eastAsia="仿宋" w:cs="仿宋"/>
          <w:color w:val="000000"/>
          <w:sz w:val="24"/>
        </w:rPr>
        <w:t xml:space="preserve"> 1、××××××××××；</w:t>
      </w:r>
    </w:p>
    <w:p w14:paraId="013186A1">
      <w:pPr>
        <w:ind w:firstLine="360" w:firstLineChars="150"/>
        <w:rPr>
          <w:rFonts w:ascii="仿宋" w:hAnsi="仿宋" w:eastAsia="仿宋" w:cs="仿宋"/>
          <w:color w:val="000000"/>
          <w:sz w:val="24"/>
        </w:rPr>
      </w:pPr>
      <w:r>
        <w:rPr>
          <w:rFonts w:hint="eastAsia" w:ascii="仿宋" w:hAnsi="仿宋" w:eastAsia="仿宋" w:cs="仿宋"/>
          <w:color w:val="000000"/>
          <w:sz w:val="24"/>
        </w:rPr>
        <w:t>2、××××××××××；</w:t>
      </w:r>
    </w:p>
    <w:p w14:paraId="4879580E">
      <w:pPr>
        <w:ind w:firstLine="360" w:firstLineChars="150"/>
        <w:rPr>
          <w:rFonts w:ascii="仿宋" w:hAnsi="仿宋" w:eastAsia="仿宋" w:cs="仿宋"/>
          <w:color w:val="000000"/>
          <w:sz w:val="24"/>
        </w:rPr>
      </w:pPr>
      <w:r>
        <w:rPr>
          <w:rFonts w:hint="eastAsia" w:ascii="仿宋" w:hAnsi="仿宋" w:eastAsia="仿宋" w:cs="仿宋"/>
          <w:color w:val="000000"/>
          <w:sz w:val="24"/>
        </w:rPr>
        <w:t>3、××××××××××。</w:t>
      </w:r>
    </w:p>
    <w:p w14:paraId="6658374B">
      <w:pPr>
        <w:ind w:firstLine="360" w:firstLineChars="150"/>
        <w:rPr>
          <w:rFonts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三、解决协议纠纷方式：双方友好协商解决，协商未果由西安仲裁委员会仲裁。</w:t>
      </w:r>
    </w:p>
    <w:p w14:paraId="32D15F23">
      <w:pPr>
        <w:ind w:firstLine="360" w:firstLineChars="150"/>
        <w:rPr>
          <w:rFonts w:ascii="仿宋" w:hAnsi="仿宋" w:eastAsia="仿宋" w:cs="仿宋"/>
          <w:color w:val="000000"/>
          <w:sz w:val="24"/>
        </w:rPr>
      </w:pPr>
      <w:r>
        <w:rPr>
          <w:rFonts w:hint="eastAsia" w:ascii="仿宋" w:hAnsi="仿宋" w:eastAsia="仿宋" w:cs="仿宋"/>
          <w:color w:val="000000"/>
          <w:sz w:val="24"/>
        </w:rPr>
        <w:t>四、其它事项</w:t>
      </w:r>
    </w:p>
    <w:p w14:paraId="34C16E20">
      <w:pPr>
        <w:ind w:firstLine="360" w:firstLineChars="150"/>
        <w:rPr>
          <w:rFonts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6278549C">
      <w:pPr>
        <w:ind w:firstLine="360" w:firstLineChars="150"/>
        <w:rPr>
          <w:rFonts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11C28B8E">
      <w:pPr>
        <w:ind w:firstLine="360" w:firstLineChars="150"/>
        <w:rPr>
          <w:rFonts w:ascii="仿宋" w:hAnsi="仿宋" w:eastAsia="仿宋" w:cs="仿宋"/>
          <w:color w:val="000000"/>
          <w:sz w:val="2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732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3373485">
            <w:pPr>
              <w:ind w:firstLine="360" w:firstLineChars="150"/>
              <w:rPr>
                <w:rFonts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71923439">
            <w:pPr>
              <w:ind w:firstLine="360" w:firstLineChars="150"/>
              <w:rPr>
                <w:rFonts w:ascii="仿宋" w:hAnsi="仿宋" w:eastAsia="仿宋" w:cs="仿宋"/>
                <w:color w:val="000000"/>
                <w:sz w:val="24"/>
              </w:rPr>
            </w:pPr>
            <w:r>
              <w:rPr>
                <w:rFonts w:hint="eastAsia" w:ascii="仿宋" w:hAnsi="仿宋" w:eastAsia="仿宋" w:cs="仿宋"/>
                <w:color w:val="000000"/>
                <w:sz w:val="24"/>
              </w:rPr>
              <w:t>乙  方</w:t>
            </w:r>
          </w:p>
        </w:tc>
      </w:tr>
      <w:tr w14:paraId="19CB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295D565">
            <w:pPr>
              <w:ind w:firstLine="360" w:firstLineChars="150"/>
              <w:rPr>
                <w:rFonts w:ascii="仿宋" w:hAnsi="仿宋" w:eastAsia="仿宋" w:cs="仿宋"/>
                <w:color w:val="000000"/>
                <w:sz w:val="24"/>
              </w:rPr>
            </w:pPr>
            <w:r>
              <w:rPr>
                <w:rFonts w:hint="eastAsia" w:ascii="仿宋" w:hAnsi="仿宋" w:eastAsia="仿宋" w:cs="仿宋"/>
                <w:color w:val="000000"/>
                <w:sz w:val="24"/>
              </w:rPr>
              <w:t>单位名称：西安石油大学XXXX（部门）</w:t>
            </w:r>
          </w:p>
        </w:tc>
        <w:tc>
          <w:tcPr>
            <w:tcW w:w="4829" w:type="dxa"/>
            <w:tcBorders>
              <w:top w:val="nil"/>
              <w:left w:val="nil"/>
              <w:bottom w:val="nil"/>
              <w:right w:val="nil"/>
            </w:tcBorders>
            <w:vAlign w:val="center"/>
          </w:tcPr>
          <w:p w14:paraId="5B440BE8">
            <w:pPr>
              <w:ind w:firstLine="360" w:firstLineChars="150"/>
              <w:rPr>
                <w:rFonts w:ascii="仿宋" w:hAnsi="仿宋" w:eastAsia="仿宋" w:cs="仿宋"/>
                <w:color w:val="000000"/>
                <w:sz w:val="24"/>
              </w:rPr>
            </w:pPr>
            <w:r>
              <w:rPr>
                <w:rFonts w:hint="eastAsia" w:ascii="仿宋" w:hAnsi="仿宋" w:eastAsia="仿宋" w:cs="仿宋"/>
                <w:color w:val="000000"/>
                <w:sz w:val="24"/>
              </w:rPr>
              <w:t>单位名称：××公司</w:t>
            </w:r>
          </w:p>
        </w:tc>
      </w:tr>
      <w:tr w14:paraId="44E2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7B7F17F">
            <w:pPr>
              <w:ind w:firstLine="360" w:firstLineChars="150"/>
              <w:rPr>
                <w:rFonts w:ascii="仿宋" w:hAnsi="仿宋" w:eastAsia="仿宋" w:cs="仿宋"/>
                <w:color w:val="000000"/>
                <w:sz w:val="24"/>
              </w:rPr>
            </w:pPr>
            <w:r>
              <w:rPr>
                <w:rFonts w:hint="eastAsia" w:ascii="仿宋" w:hAnsi="仿宋" w:eastAsia="仿宋" w:cs="仿宋"/>
                <w:color w:val="000000"/>
                <w:sz w:val="24"/>
              </w:rPr>
              <w:t>地    址：西安市电子二路18号</w:t>
            </w:r>
          </w:p>
        </w:tc>
        <w:tc>
          <w:tcPr>
            <w:tcW w:w="4829" w:type="dxa"/>
            <w:tcBorders>
              <w:top w:val="nil"/>
              <w:left w:val="nil"/>
              <w:bottom w:val="nil"/>
              <w:right w:val="nil"/>
            </w:tcBorders>
            <w:vAlign w:val="center"/>
          </w:tcPr>
          <w:p w14:paraId="6FF6969D">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地    址： </w:t>
            </w:r>
          </w:p>
        </w:tc>
      </w:tr>
      <w:tr w14:paraId="431F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91C198F">
            <w:pPr>
              <w:ind w:firstLine="360" w:firstLineChars="150"/>
              <w:rPr>
                <w:rFonts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65EC7469">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代表人： </w:t>
            </w:r>
          </w:p>
        </w:tc>
      </w:tr>
      <w:tr w14:paraId="32C1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3AA4E6D">
            <w:pPr>
              <w:ind w:firstLine="360" w:firstLineChars="150"/>
              <w:rPr>
                <w:rFonts w:ascii="仿宋" w:hAnsi="仿宋" w:eastAsia="仿宋" w:cs="仿宋"/>
                <w:color w:val="000000"/>
                <w:sz w:val="24"/>
              </w:rPr>
            </w:pPr>
            <w:r>
              <w:rPr>
                <w:rFonts w:hint="eastAsia" w:ascii="仿宋" w:hAnsi="仿宋" w:eastAsia="仿宋" w:cs="仿宋"/>
                <w:color w:val="000000"/>
                <w:sz w:val="24"/>
              </w:rPr>
              <w:t>联系电话：029—88382333</w:t>
            </w:r>
          </w:p>
        </w:tc>
        <w:tc>
          <w:tcPr>
            <w:tcW w:w="4829" w:type="dxa"/>
            <w:tcBorders>
              <w:top w:val="nil"/>
              <w:left w:val="nil"/>
              <w:bottom w:val="nil"/>
              <w:right w:val="nil"/>
            </w:tcBorders>
            <w:vAlign w:val="center"/>
          </w:tcPr>
          <w:p w14:paraId="1DCAD24B">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r>
      <w:tr w14:paraId="0B9E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F28302B">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111006E4">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r>
    </w:tbl>
    <w:p w14:paraId="4F052541">
      <w:pPr>
        <w:ind w:firstLine="360" w:firstLineChars="150"/>
        <w:rPr>
          <w:color w:val="000000"/>
          <w:sz w:val="24"/>
        </w:rPr>
      </w:pPr>
    </w:p>
    <w:p w14:paraId="53D82BC2"/>
    <w:p w14:paraId="4ABE8A13"/>
    <w:p w14:paraId="3C832CCA">
      <w:pPr>
        <w:pStyle w:val="5"/>
        <w:rPr>
          <w:rFonts w:hint="default" w:ascii="仿宋" w:hAnsi="仿宋" w:eastAsia="仿宋" w:cs="仿宋"/>
        </w:rPr>
      </w:pPr>
    </w:p>
    <w:p w14:paraId="3F43CAD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7B9B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5F535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5F535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1B6E3A"/>
    <w:rsid w:val="5CF71B3F"/>
    <w:rsid w:val="5E8A7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1999</Words>
  <Characters>2021</Characters>
  <Lines>0</Lines>
  <Paragraphs>0</Paragraphs>
  <TotalTime>0</TotalTime>
  <ScaleCrop>false</ScaleCrop>
  <LinksUpToDate>false</LinksUpToDate>
  <CharactersWithSpaces>2048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2025-09-29T13:09:00Z</dcterms:created>
  <dc:creator>Administrator</dc:creator>
  <cp:lastModifiedBy>王馨</cp:lastModifiedBy>
  <dcterms:modified xsi:type="dcterms:W3CDTF">2026-06-23T12:45:31Z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C2DF062D5C0948BF87FAA24353FFB36A_12</vt:lpwstr>
  </property>
</Properties>
</file>