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版本号：YDZXZC202601420260605001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国家高水平体育后备人才基地训练器材购置项目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YDZXZC2026014</w:t>
      </w:r>
      <w:r>
        <w:br/>
      </w:r>
      <w:r>
        <w:br/>
      </w:r>
      <w:r>
        <w:br/>
      </w:r>
    </w:p>
    <w:p>
      <w:pPr>
        <w:pStyle w:val="null3"/>
        <w:jc w:val="center"/>
        <w:outlineLvl w:val="2"/>
      </w:pPr>
      <w:r>
        <w:rPr>
          <w:rFonts w:ascii="仿宋_GB2312" w:hAnsi="仿宋_GB2312" w:cs="仿宋_GB2312" w:eastAsia="仿宋_GB2312"/>
          <w:sz w:val="28"/>
          <w:b/>
        </w:rPr>
        <w:t>西安市青少年体育学校</w:t>
      </w:r>
    </w:p>
    <w:p>
      <w:pPr>
        <w:pStyle w:val="null3"/>
        <w:jc w:val="center"/>
        <w:outlineLvl w:val="2"/>
      </w:pPr>
      <w:r>
        <w:rPr>
          <w:rFonts w:ascii="仿宋_GB2312" w:hAnsi="仿宋_GB2312" w:cs="仿宋_GB2312" w:eastAsia="仿宋_GB2312"/>
          <w:sz w:val="28"/>
          <w:b/>
        </w:rPr>
        <w:t>元鼎咨询有限公司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元鼎咨询有限公司</w:t>
      </w:r>
      <w:r>
        <w:rPr>
          <w:rFonts w:ascii="仿宋_GB2312" w:hAnsi="仿宋_GB2312" w:cs="仿宋_GB2312" w:eastAsia="仿宋_GB2312"/>
        </w:rPr>
        <w:t>（以下简称“代理机构”）受</w:t>
      </w:r>
      <w:r>
        <w:rPr>
          <w:rFonts w:ascii="仿宋_GB2312" w:hAnsi="仿宋_GB2312" w:cs="仿宋_GB2312" w:eastAsia="仿宋_GB2312"/>
        </w:rPr>
        <w:t>西安市青少年体育学校</w:t>
      </w:r>
      <w:r>
        <w:rPr>
          <w:rFonts w:ascii="仿宋_GB2312" w:hAnsi="仿宋_GB2312" w:cs="仿宋_GB2312" w:eastAsia="仿宋_GB2312"/>
        </w:rPr>
        <w:t>委托，拟对</w:t>
      </w:r>
      <w:r>
        <w:rPr>
          <w:rFonts w:ascii="仿宋_GB2312" w:hAnsi="仿宋_GB2312" w:cs="仿宋_GB2312" w:eastAsia="仿宋_GB2312"/>
        </w:rPr>
        <w:t>国家高水平体育后备人才基地训练器材购置项目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YDZXZC2026014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国家高水平体育后备人才基地训练器材购置项目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羽毛球地胶及球网12套：主要功能或目标:提升场馆的专业训练水平、保障队员安全并优化运动体验。需满足的要求:1.产品质量有保障；2.提供售后服务；3.专业合规、耐用。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采购包1（国家高水平体育后备人才基地训练器材购置项目）：属于专门面向中小企业采购。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1、供应商的营业执照等证明文件：根据“资格证明文件”中提供的要求和说明，提供符合自身条件且合法有效的主体资格证明材料。</w:t>
      </w:r>
    </w:p>
    <w:p>
      <w:pPr>
        <w:pStyle w:val="null3"/>
      </w:pPr>
      <w:r>
        <w:rPr>
          <w:rFonts w:ascii="仿宋_GB2312" w:hAnsi="仿宋_GB2312" w:cs="仿宋_GB2312" w:eastAsia="仿宋_GB2312"/>
        </w:rPr>
        <w:t>2、法定代表人（单位负责人）身份证明/法定代表人（单位负责人）委托授权书：根据“资格证明文件”中提供的格式和说明，提供符合自身条件的证明材料。 (说明：按照电子化全流程要求，投标（响应）文件递交时，签到的人员信息应为法定代表人或授权委托人，否则，按无效响应（投标）文件处理)</w:t>
      </w:r>
    </w:p>
    <w:p>
      <w:pPr>
        <w:pStyle w:val="null3"/>
      </w:pPr>
      <w:r>
        <w:rPr>
          <w:rFonts w:ascii="仿宋_GB2312" w:hAnsi="仿宋_GB2312" w:cs="仿宋_GB2312" w:eastAsia="仿宋_GB2312"/>
        </w:rPr>
        <w:t>3、提供供应商自响应文件提交截止时间前1年内已缴纳任意时段完税（任意税种，个人所得税除外）凭证或税务机关开具的完税证明：根据“资格证明文件”中提供的要求和说明，提供符合自身条件且合法有效的税收缴纳证明材料。</w:t>
      </w:r>
    </w:p>
    <w:p>
      <w:pPr>
        <w:pStyle w:val="null3"/>
      </w:pPr>
      <w:r>
        <w:rPr>
          <w:rFonts w:ascii="仿宋_GB2312" w:hAnsi="仿宋_GB2312" w:cs="仿宋_GB2312" w:eastAsia="仿宋_GB2312"/>
        </w:rPr>
        <w:t>4、提供供应商自响应文件提交截止时间前1年内已缴存的任意时段的社会保障资金缴存单据或社保机构开具的社会保险参保缴费情况证明：根据“资格证明文件”中提供的要求和说明，提供符合自身条件且合法有效的社会保障资金缴纳证明材料。</w:t>
      </w:r>
    </w:p>
    <w:p>
      <w:pPr>
        <w:pStyle w:val="null3"/>
      </w:pPr>
      <w:r>
        <w:rPr>
          <w:rFonts w:ascii="仿宋_GB2312" w:hAnsi="仿宋_GB2312" w:cs="仿宋_GB2312" w:eastAsia="仿宋_GB2312"/>
        </w:rPr>
        <w:t>5、具备履行合同所必需的设备和专业技术能力的证明：根据“资格证明文件”中提供的要求和说明，提供符合条件的证明材料。</w:t>
      </w:r>
    </w:p>
    <w:p>
      <w:pPr>
        <w:pStyle w:val="null3"/>
      </w:pPr>
      <w:r>
        <w:rPr>
          <w:rFonts w:ascii="仿宋_GB2312" w:hAnsi="仿宋_GB2312" w:cs="仿宋_GB2312" w:eastAsia="仿宋_GB2312"/>
        </w:rPr>
        <w:t>6、参加本次采购活动3年内，在经营活动中没有重大违法记录的书面声明：在项目电子化交易系统中按要求填写《响应函》完成承诺并进行电子签章</w:t>
      </w:r>
    </w:p>
    <w:p>
      <w:pPr>
        <w:pStyle w:val="null3"/>
      </w:pPr>
      <w:r>
        <w:rPr>
          <w:rFonts w:ascii="仿宋_GB2312" w:hAnsi="仿宋_GB2312" w:cs="仿宋_GB2312" w:eastAsia="仿宋_GB2312"/>
        </w:rPr>
        <w:t>7、信用查询：供应商未被“信用中国”网站（www.creditchina.gov.cn）列入失信被执行人和重大税收违法失信主体，未被中国政府采购网（www.ccgp.gov.cn）列入政府采购严重违法失信行为记录名单；（以现场信用记录查询结果为准）</w:t>
      </w:r>
    </w:p>
    <w:p>
      <w:pPr>
        <w:pStyle w:val="null3"/>
      </w:pPr>
      <w:r>
        <w:rPr>
          <w:rFonts w:ascii="仿宋_GB2312" w:hAnsi="仿宋_GB2312" w:cs="仿宋_GB2312" w:eastAsia="仿宋_GB2312"/>
        </w:rPr>
        <w:t>8、联合体投标：本项目不接受联合体投标，提供声明函。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西安市青少年体育学校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西安市碑林区伞塔路89号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西安市青少年体育学校经办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029-82282523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元鼎咨询有限公司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陕西省西安市未央区陕西省西安市经济技术开发区凤城二路27号天心大厦17层1703室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余雪儿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17792395227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请将采购代理服务费汇至下列指定账户：开户名称：元鼎咨询有限公司 开户行：中国建设银行股份有限公司西安长安区富力城支行 账号：6105 0170 5262 0000 0644（备注：项目名称+代理服务费）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西安市青少年体育学校</w:t>
      </w:r>
      <w:r>
        <w:rPr>
          <w:rFonts w:ascii="仿宋_GB2312" w:hAnsi="仿宋_GB2312" w:cs="仿宋_GB2312" w:eastAsia="仿宋_GB2312"/>
        </w:rPr>
        <w:t>和</w:t>
      </w:r>
      <w:r>
        <w:rPr>
          <w:rFonts w:ascii="仿宋_GB2312" w:hAnsi="仿宋_GB2312" w:cs="仿宋_GB2312" w:eastAsia="仿宋_GB2312"/>
        </w:rPr>
        <w:t>元鼎咨询有限公司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西安市青少年体育学校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元鼎咨询有限公司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西安市青少年体育学校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元鼎咨询有限公司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严格按照竞争性谈判文件、响应文件和合同项下所述的标准和要求进行验收，如竞争性谈判文件、响应文件与合同的标准和要求有冲突的，以竞争性谈判文件、响应文件为准。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元鼎咨询有限公司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元鼎咨询有限公司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元鼎咨询有限公司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联系人：余雪儿</w:t>
      </w:r>
    </w:p>
    <w:p>
      <w:pPr>
        <w:pStyle w:val="null3"/>
      </w:pPr>
      <w:r>
        <w:rPr>
          <w:rFonts w:ascii="仿宋_GB2312" w:hAnsi="仿宋_GB2312" w:cs="仿宋_GB2312" w:eastAsia="仿宋_GB2312"/>
        </w:rPr>
        <w:t>联系电话：17792395227</w:t>
      </w:r>
    </w:p>
    <w:p>
      <w:pPr>
        <w:pStyle w:val="null3"/>
      </w:pPr>
      <w:r>
        <w:rPr>
          <w:rFonts w:ascii="仿宋_GB2312" w:hAnsi="仿宋_GB2312" w:cs="仿宋_GB2312" w:eastAsia="仿宋_GB2312"/>
        </w:rPr>
        <w:t>地址：陕西省西安市经济技术开发区凤城二路27号天心大厦17层1703室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羽毛球地胶及球网12套：主要功能或目标:提升场馆的专业训练水平、保障队员安全并优化运动体验。需满足的要求:1.产品质量有保障；2.提供售后服务；3.专业合规、耐用。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羽毛球地胶及球网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标的名称：羽毛球地胶及球网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w:t>
            </w:r>
            <w:r>
              <w:rPr>
                <w:rFonts w:ascii="仿宋_GB2312" w:hAnsi="仿宋_GB2312" w:cs="仿宋_GB2312" w:eastAsia="仿宋_GB2312"/>
                <w:sz w:val="21"/>
                <w:color w:val="000000"/>
              </w:rPr>
              <w:t>、项目概况</w:t>
            </w:r>
          </w:p>
          <w:p>
            <w:pPr>
              <w:pStyle w:val="null3"/>
              <w:ind w:firstLine="480"/>
            </w:pPr>
            <w:r>
              <w:rPr>
                <w:rFonts w:ascii="仿宋_GB2312" w:hAnsi="仿宋_GB2312" w:cs="仿宋_GB2312" w:eastAsia="仿宋_GB2312"/>
                <w:sz w:val="21"/>
              </w:rPr>
              <w:t>采购包含：羽毛球地胶及球网</w:t>
            </w:r>
            <w:r>
              <w:rPr>
                <w:rFonts w:ascii="仿宋_GB2312" w:hAnsi="仿宋_GB2312" w:cs="仿宋_GB2312" w:eastAsia="仿宋_GB2312"/>
                <w:sz w:val="21"/>
              </w:rPr>
              <w:t>12套：主要功能或目标:提升场馆的专业训练水平、保障队员安全并优化运动体验。需满足的要求:1.产品质量有保障；2.提供售后服务；3.专业合规、耐用。</w:t>
            </w:r>
          </w:p>
          <w:p>
            <w:pPr>
              <w:pStyle w:val="null3"/>
              <w:ind w:firstLine="367"/>
              <w:jc w:val="both"/>
            </w:pPr>
            <w:r>
              <w:rPr>
                <w:rFonts w:ascii="仿宋_GB2312" w:hAnsi="仿宋_GB2312" w:cs="仿宋_GB2312" w:eastAsia="仿宋_GB2312"/>
                <w:sz w:val="21"/>
              </w:rPr>
              <w:t>1.</w:t>
            </w:r>
            <w:r>
              <w:rPr>
                <w:rFonts w:ascii="仿宋_GB2312" w:hAnsi="仿宋_GB2312" w:cs="仿宋_GB2312" w:eastAsia="仿宋_GB2312"/>
                <w:sz w:val="21"/>
                <w:b/>
              </w:rPr>
              <w:t>本项目所属行业为</w:t>
            </w:r>
            <w:r>
              <w:rPr>
                <w:rFonts w:ascii="仿宋_GB2312" w:hAnsi="仿宋_GB2312" w:cs="仿宋_GB2312" w:eastAsia="仿宋_GB2312"/>
                <w:sz w:val="21"/>
                <w:b/>
              </w:rPr>
              <w:t>:</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工业</w:t>
            </w:r>
            <w:r>
              <w:rPr>
                <w:rFonts w:ascii="仿宋_GB2312" w:hAnsi="仿宋_GB2312" w:cs="仿宋_GB2312" w:eastAsia="仿宋_GB2312"/>
                <w:sz w:val="21"/>
              </w:rPr>
              <w:t>。</w:t>
            </w:r>
            <w:r>
              <w:rPr>
                <w:rFonts w:ascii="仿宋_GB2312" w:hAnsi="仿宋_GB2312" w:cs="仿宋_GB2312" w:eastAsia="仿宋_GB2312"/>
                <w:sz w:val="21"/>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二、技术要求</w:t>
            </w:r>
          </w:p>
          <w:p>
            <w:pPr>
              <w:pStyle w:val="null3"/>
              <w:spacing w:after="150"/>
              <w:ind w:firstLine="420"/>
              <w:jc w:val="both"/>
            </w:pPr>
            <w:r>
              <w:rPr>
                <w:rFonts w:ascii="仿宋_GB2312" w:hAnsi="仿宋_GB2312" w:cs="仿宋_GB2312" w:eastAsia="仿宋_GB2312"/>
                <w:sz w:val="21"/>
                <w:b/>
              </w:rPr>
              <w:t>1、</w:t>
            </w:r>
            <w:r>
              <w:rPr>
                <w:rFonts w:ascii="仿宋_GB2312" w:hAnsi="仿宋_GB2312" w:cs="仿宋_GB2312" w:eastAsia="仿宋_GB2312"/>
                <w:sz w:val="24"/>
                <w:b/>
                <w:color w:val="000000"/>
              </w:rPr>
              <w:t>采购需求清单：</w:t>
            </w:r>
          </w:p>
          <w:tbl>
            <w:tblPr>
              <w:tblInd w:type="dxa" w:w="120"/>
              <w:tblBorders>
                <w:top w:val="none" w:color="000000" w:sz="4"/>
                <w:left w:val="none" w:color="000000" w:sz="4"/>
                <w:bottom w:val="none" w:color="000000" w:sz="4"/>
                <w:right w:val="none" w:color="000000" w:sz="4"/>
                <w:insideH w:val="none"/>
                <w:insideV w:val="none"/>
              </w:tblBorders>
            </w:tblPr>
            <w:tblGrid>
              <w:gridCol w:w="137"/>
              <w:gridCol w:w="222"/>
              <w:gridCol w:w="319"/>
              <w:gridCol w:w="1867"/>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类别</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数量（套）</w:t>
                  </w:r>
                </w:p>
              </w:tc>
              <w:tc>
                <w:tcPr>
                  <w:tcW w:type="dxa" w:w="1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参数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羽毛球地胶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邵氏硬度</w:t>
                  </w:r>
                  <w:r>
                    <w:rPr>
                      <w:rFonts w:ascii="仿宋_GB2312" w:hAnsi="仿宋_GB2312" w:cs="仿宋_GB2312" w:eastAsia="仿宋_GB2312"/>
                      <w:sz w:val="24"/>
                    </w:rPr>
                    <w:t>70-90度（邵A）</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拉伸强度</w:t>
                  </w:r>
                  <w:r>
                    <w:rPr>
                      <w:rFonts w:ascii="仿宋_GB2312" w:hAnsi="仿宋_GB2312" w:cs="仿宋_GB2312" w:eastAsia="仿宋_GB2312"/>
                      <w:sz w:val="24"/>
                    </w:rPr>
                    <w:t>≥1.5MPa</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拉断伸长率</w:t>
                  </w:r>
                  <w:r>
                    <w:rPr>
                      <w:rFonts w:ascii="仿宋_GB2312" w:hAnsi="仿宋_GB2312" w:cs="仿宋_GB2312" w:eastAsia="仿宋_GB2312"/>
                      <w:sz w:val="24"/>
                    </w:rPr>
                    <w:t>≥120%</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面质量偏差</w:t>
                  </w:r>
                  <w:r>
                    <w:rPr>
                      <w:rFonts w:ascii="仿宋_GB2312" w:hAnsi="仿宋_GB2312" w:cs="仿宋_GB2312" w:eastAsia="仿宋_GB2312"/>
                      <w:sz w:val="24"/>
                    </w:rPr>
                    <w:t>≤±3%</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加热尺寸变化率（纵向，横向）</w:t>
                  </w:r>
                  <w:r>
                    <w:rPr>
                      <w:rFonts w:ascii="仿宋_GB2312" w:hAnsi="仿宋_GB2312" w:cs="仿宋_GB2312" w:eastAsia="仿宋_GB2312"/>
                      <w:sz w:val="24"/>
                    </w:rPr>
                    <w:t>≤0.4%</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耐磨性</w:t>
                  </w:r>
                  <w:r>
                    <w:rPr>
                      <w:rFonts w:ascii="仿宋_GB2312" w:hAnsi="仿宋_GB2312" w:cs="仿宋_GB2312" w:eastAsia="仿宋_GB2312"/>
                      <w:sz w:val="24"/>
                    </w:rPr>
                    <w:t>T级，体积损失≤2.0mm³</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焊接强度，平均值</w:t>
                  </w:r>
                  <w:r>
                    <w:rPr>
                      <w:rFonts w:ascii="仿宋_GB2312" w:hAnsi="仿宋_GB2312" w:cs="仿宋_GB2312" w:eastAsia="仿宋_GB2312"/>
                      <w:sz w:val="24"/>
                    </w:rPr>
                    <w:t>≥500N/50mm；最小值≥400N/50mm</w:t>
                  </w:r>
                </w:p>
                <w:p>
                  <w:pPr>
                    <w:pStyle w:val="null3"/>
                    <w:ind w:left="420"/>
                  </w:pPr>
                  <w:r>
                    <w:rPr>
                      <w:rFonts w:ascii="仿宋_GB2312" w:hAnsi="仿宋_GB2312" w:cs="仿宋_GB2312" w:eastAsia="仿宋_GB2312"/>
                      <w:sz w:val="24"/>
                    </w:rPr>
                    <w:t>8.</w:t>
                  </w:r>
                  <w:r>
                    <w:rPr>
                      <w:rFonts w:ascii="仿宋_GB2312" w:hAnsi="仿宋_GB2312" w:cs="仿宋_GB2312" w:eastAsia="仿宋_GB2312"/>
                      <w:sz w:val="24"/>
                    </w:rPr>
                    <w:t>防滑性</w:t>
                  </w:r>
                  <w:r>
                    <w:rPr>
                      <w:rFonts w:ascii="仿宋_GB2312" w:hAnsi="仿宋_GB2312" w:cs="仿宋_GB2312" w:eastAsia="仿宋_GB2312"/>
                      <w:sz w:val="24"/>
                    </w:rPr>
                    <w:t>(湿法)≥0.6</w:t>
                  </w:r>
                </w:p>
                <w:p>
                  <w:pPr>
                    <w:pStyle w:val="null3"/>
                    <w:ind w:left="420"/>
                  </w:pPr>
                  <w:r>
                    <w:rPr>
                      <w:rFonts w:ascii="仿宋_GB2312" w:hAnsi="仿宋_GB2312" w:cs="仿宋_GB2312" w:eastAsia="仿宋_GB2312"/>
                      <w:sz w:val="24"/>
                    </w:rPr>
                    <w:t>9.</w:t>
                  </w:r>
                  <w:r>
                    <w:rPr>
                      <w:rFonts w:ascii="仿宋_GB2312" w:hAnsi="仿宋_GB2312" w:cs="仿宋_GB2312" w:eastAsia="仿宋_GB2312"/>
                      <w:sz w:val="24"/>
                    </w:rPr>
                    <w:t>灰分含量</w:t>
                  </w:r>
                  <w:r>
                    <w:rPr>
                      <w:rFonts w:ascii="仿宋_GB2312" w:hAnsi="仿宋_GB2312" w:cs="仿宋_GB2312" w:eastAsia="仿宋_GB2312"/>
                      <w:sz w:val="24"/>
                    </w:rPr>
                    <w:t>≤0.2%</w:t>
                  </w:r>
                </w:p>
                <w:p>
                  <w:pPr>
                    <w:pStyle w:val="null3"/>
                    <w:ind w:left="420"/>
                  </w:pPr>
                  <w:r>
                    <w:rPr>
                      <w:rFonts w:ascii="仿宋_GB2312" w:hAnsi="仿宋_GB2312" w:cs="仿宋_GB2312" w:eastAsia="仿宋_GB2312"/>
                      <w:sz w:val="24"/>
                    </w:rPr>
                    <w:t>10.</w:t>
                  </w:r>
                  <w:r>
                    <w:rPr>
                      <w:rFonts w:ascii="仿宋_GB2312" w:hAnsi="仿宋_GB2312" w:cs="仿宋_GB2312" w:eastAsia="仿宋_GB2312"/>
                      <w:sz w:val="24"/>
                    </w:rPr>
                    <w:t>阻燃性：</w:t>
                  </w:r>
                  <w:r>
                    <w:rPr>
                      <w:rFonts w:ascii="仿宋_GB2312" w:hAnsi="仿宋_GB2312" w:cs="仿宋_GB2312" w:eastAsia="仿宋_GB2312"/>
                      <w:sz w:val="24"/>
                    </w:rPr>
                    <w:t>Ⅰ级</w:t>
                  </w:r>
                </w:p>
                <w:p>
                  <w:pPr>
                    <w:pStyle w:val="null3"/>
                    <w:ind w:left="420"/>
                  </w:pPr>
                  <w:r>
                    <w:rPr>
                      <w:rFonts w:ascii="仿宋_GB2312" w:hAnsi="仿宋_GB2312" w:cs="仿宋_GB2312" w:eastAsia="仿宋_GB2312"/>
                      <w:sz w:val="24"/>
                    </w:rPr>
                    <w:t>11.</w:t>
                  </w:r>
                  <w:r>
                    <w:rPr>
                      <w:rFonts w:ascii="仿宋_GB2312" w:hAnsi="仿宋_GB2312" w:cs="仿宋_GB2312" w:eastAsia="仿宋_GB2312"/>
                      <w:sz w:val="24"/>
                    </w:rPr>
                    <w:t>可溶性重金属铅含量</w:t>
                  </w:r>
                  <w:r>
                    <w:rPr>
                      <w:rFonts w:ascii="仿宋_GB2312" w:hAnsi="仿宋_GB2312" w:cs="仿宋_GB2312" w:eastAsia="仿宋_GB2312"/>
                      <w:sz w:val="24"/>
                    </w:rPr>
                    <w:t>≤20mg/㎡</w:t>
                  </w:r>
                </w:p>
                <w:p>
                  <w:pPr>
                    <w:pStyle w:val="null3"/>
                    <w:ind w:left="420"/>
                  </w:pPr>
                  <w:r>
                    <w:rPr>
                      <w:rFonts w:ascii="仿宋_GB2312" w:hAnsi="仿宋_GB2312" w:cs="仿宋_GB2312" w:eastAsia="仿宋_GB2312"/>
                      <w:sz w:val="24"/>
                    </w:rPr>
                    <w:t>12.</w:t>
                  </w:r>
                  <w:r>
                    <w:rPr>
                      <w:rFonts w:ascii="仿宋_GB2312" w:hAnsi="仿宋_GB2312" w:cs="仿宋_GB2312" w:eastAsia="仿宋_GB2312"/>
                      <w:sz w:val="24"/>
                    </w:rPr>
                    <w:t>可溶性重金属镉含量</w:t>
                  </w:r>
                  <w:r>
                    <w:rPr>
                      <w:rFonts w:ascii="仿宋_GB2312" w:hAnsi="仿宋_GB2312" w:cs="仿宋_GB2312" w:eastAsia="仿宋_GB2312"/>
                      <w:sz w:val="24"/>
                    </w:rPr>
                    <w:t>≤20mg/㎡</w:t>
                  </w:r>
                </w:p>
                <w:p>
                  <w:pPr>
                    <w:pStyle w:val="null3"/>
                    <w:ind w:left="420"/>
                  </w:pPr>
                  <w:r>
                    <w:rPr>
                      <w:rFonts w:ascii="仿宋_GB2312" w:hAnsi="仿宋_GB2312" w:cs="仿宋_GB2312" w:eastAsia="仿宋_GB2312"/>
                      <w:sz w:val="24"/>
                    </w:rPr>
                    <w:t>13.</w:t>
                  </w:r>
                  <w:r>
                    <w:rPr>
                      <w:rFonts w:ascii="仿宋_GB2312" w:hAnsi="仿宋_GB2312" w:cs="仿宋_GB2312" w:eastAsia="仿宋_GB2312"/>
                      <w:sz w:val="24"/>
                    </w:rPr>
                    <w:t>氯乙烯含量：未检出</w:t>
                  </w:r>
                </w:p>
                <w:p>
                  <w:pPr>
                    <w:pStyle w:val="null3"/>
                    <w:ind w:left="420"/>
                  </w:pPr>
                  <w:r>
                    <w:rPr>
                      <w:rFonts w:ascii="仿宋_GB2312" w:hAnsi="仿宋_GB2312" w:cs="仿宋_GB2312" w:eastAsia="仿宋_GB2312"/>
                      <w:sz w:val="24"/>
                    </w:rPr>
                    <w:t>14.</w:t>
                  </w:r>
                  <w:r>
                    <w:rPr>
                      <w:rFonts w:ascii="仿宋_GB2312" w:hAnsi="仿宋_GB2312" w:cs="仿宋_GB2312" w:eastAsia="仿宋_GB2312"/>
                      <w:sz w:val="21"/>
                    </w:rPr>
                    <w:t>★</w:t>
                  </w:r>
                  <w:r>
                    <w:rPr>
                      <w:rFonts w:ascii="仿宋_GB2312" w:hAnsi="仿宋_GB2312" w:cs="仿宋_GB2312" w:eastAsia="仿宋_GB2312"/>
                      <w:sz w:val="24"/>
                    </w:rPr>
                    <w:t>提供检测日期</w:t>
                  </w:r>
                  <w:r>
                    <w:rPr>
                      <w:rFonts w:ascii="仿宋_GB2312" w:hAnsi="仿宋_GB2312" w:cs="仿宋_GB2312" w:eastAsia="仿宋_GB2312"/>
                      <w:sz w:val="24"/>
                      <w:color w:val="000000"/>
                    </w:rPr>
                    <w:t>≥</w:t>
                  </w:r>
                  <w:r>
                    <w:rPr>
                      <w:rFonts w:ascii="仿宋_GB2312" w:hAnsi="仿宋_GB2312" w:cs="仿宋_GB2312" w:eastAsia="仿宋_GB2312"/>
                      <w:sz w:val="24"/>
                    </w:rPr>
                    <w:t>28</w:t>
                  </w:r>
                  <w:r>
                    <w:rPr>
                      <w:rFonts w:ascii="仿宋_GB2312" w:hAnsi="仿宋_GB2312" w:cs="仿宋_GB2312" w:eastAsia="仿宋_GB2312"/>
                      <w:sz w:val="24"/>
                    </w:rPr>
                    <w:t>天，甲苯、乙苯</w:t>
                  </w:r>
                  <w:r>
                    <w:rPr>
                      <w:rFonts w:ascii="仿宋_GB2312" w:hAnsi="仿宋_GB2312" w:cs="仿宋_GB2312" w:eastAsia="仿宋_GB2312"/>
                      <w:sz w:val="24"/>
                    </w:rPr>
                    <w:t>释放量（</w:t>
                  </w:r>
                  <w:r>
                    <w:rPr>
                      <w:rFonts w:ascii="仿宋_GB2312" w:hAnsi="仿宋_GB2312" w:cs="仿宋_GB2312" w:eastAsia="仿宋_GB2312"/>
                      <w:sz w:val="24"/>
                    </w:rPr>
                    <w:t>mg/m³）和释放速率mg/(m²·h)均未检出，</w:t>
                  </w:r>
                  <w:r>
                    <w:rPr>
                      <w:rFonts w:ascii="仿宋_GB2312" w:hAnsi="仿宋_GB2312" w:cs="仿宋_GB2312" w:eastAsia="仿宋_GB2312"/>
                      <w:sz w:val="24"/>
                      <w:b/>
                    </w:rPr>
                    <w:t>需提供有</w:t>
                  </w:r>
                  <w:r>
                    <w:rPr>
                      <w:rFonts w:ascii="仿宋_GB2312" w:hAnsi="仿宋_GB2312" w:cs="仿宋_GB2312" w:eastAsia="仿宋_GB2312"/>
                      <w:sz w:val="24"/>
                      <w:b/>
                    </w:rPr>
                    <w:t>“CMA”标志且检测样品名称为PVC运动地胶的检测报告佐证</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color w:val="000000"/>
                    </w:rPr>
                    <w:t>15.</w:t>
                  </w:r>
                  <w:r>
                    <w:rPr>
                      <w:rFonts w:ascii="仿宋_GB2312" w:hAnsi="仿宋_GB2312" w:cs="仿宋_GB2312" w:eastAsia="仿宋_GB2312"/>
                      <w:sz w:val="21"/>
                    </w:rPr>
                    <w:t>★</w:t>
                  </w:r>
                  <w:r>
                    <w:rPr>
                      <w:rFonts w:ascii="仿宋_GB2312" w:hAnsi="仿宋_GB2312" w:cs="仿宋_GB2312" w:eastAsia="仿宋_GB2312"/>
                      <w:sz w:val="24"/>
                      <w:color w:val="000000"/>
                    </w:rPr>
                    <w:t>提供耐酸耐碱循环处理（检测周期</w:t>
                  </w:r>
                  <w:r>
                    <w:rPr>
                      <w:rFonts w:ascii="仿宋_GB2312" w:hAnsi="仿宋_GB2312" w:cs="仿宋_GB2312" w:eastAsia="仿宋_GB2312"/>
                      <w:sz w:val="24"/>
                      <w:color w:val="000000"/>
                    </w:rPr>
                    <w:t>≥6000h），阻燃性达到Ⅰ级阻燃，耐磨性≤4g，抗滑值80-110，</w:t>
                  </w:r>
                  <w:r>
                    <w:rPr>
                      <w:rFonts w:ascii="仿宋_GB2312" w:hAnsi="仿宋_GB2312" w:cs="仿宋_GB2312" w:eastAsia="仿宋_GB2312"/>
                      <w:sz w:val="24"/>
                      <w:b/>
                    </w:rPr>
                    <w:t>需提供有</w:t>
                  </w:r>
                  <w:r>
                    <w:rPr>
                      <w:rFonts w:ascii="仿宋_GB2312" w:hAnsi="仿宋_GB2312" w:cs="仿宋_GB2312" w:eastAsia="仿宋_GB2312"/>
                      <w:sz w:val="24"/>
                      <w:b/>
                    </w:rPr>
                    <w:t>“CMA”标志且检测样品名称为PVC运动地胶的检测报告佐证</w:t>
                  </w:r>
                  <w:r>
                    <w:rPr>
                      <w:rFonts w:ascii="仿宋_GB2312" w:hAnsi="仿宋_GB2312" w:cs="仿宋_GB2312" w:eastAsia="仿宋_GB2312"/>
                      <w:sz w:val="24"/>
                    </w:rPr>
                    <w:t>。</w:t>
                  </w:r>
                </w:p>
                <w:p>
                  <w:pPr>
                    <w:pStyle w:val="null3"/>
                    <w:ind w:left="420"/>
                  </w:pPr>
                  <w:r>
                    <w:rPr>
                      <w:rFonts w:ascii="仿宋_GB2312" w:hAnsi="仿宋_GB2312" w:cs="仿宋_GB2312" w:eastAsia="仿宋_GB2312"/>
                      <w:sz w:val="24"/>
                      <w:color w:val="000000"/>
                    </w:rPr>
                    <w:t>16.</w:t>
                  </w:r>
                  <w:r>
                    <w:rPr>
                      <w:rFonts w:ascii="仿宋_GB2312" w:hAnsi="仿宋_GB2312" w:cs="仿宋_GB2312" w:eastAsia="仿宋_GB2312"/>
                      <w:sz w:val="21"/>
                    </w:rPr>
                    <w:t>★</w:t>
                  </w:r>
                  <w:r>
                    <w:rPr>
                      <w:rFonts w:ascii="仿宋_GB2312" w:hAnsi="仿宋_GB2312" w:cs="仿宋_GB2312" w:eastAsia="仿宋_GB2312"/>
                      <w:sz w:val="24"/>
                      <w:color w:val="000000"/>
                    </w:rPr>
                    <w:t>提供耐环境应力开裂（检测起止日期</w:t>
                  </w:r>
                  <w:r>
                    <w:rPr>
                      <w:rFonts w:ascii="仿宋_GB2312" w:hAnsi="仿宋_GB2312" w:cs="仿宋_GB2312" w:eastAsia="仿宋_GB2312"/>
                      <w:sz w:val="24"/>
                      <w:color w:val="000000"/>
                    </w:rPr>
                    <w:t>≥6000h），达到破裂率0%，</w:t>
                  </w:r>
                  <w:r>
                    <w:rPr>
                      <w:rFonts w:ascii="仿宋_GB2312" w:hAnsi="仿宋_GB2312" w:cs="仿宋_GB2312" w:eastAsia="仿宋_GB2312"/>
                      <w:sz w:val="24"/>
                      <w:b/>
                    </w:rPr>
                    <w:t>需提供有</w:t>
                  </w:r>
                  <w:r>
                    <w:rPr>
                      <w:rFonts w:ascii="仿宋_GB2312" w:hAnsi="仿宋_GB2312" w:cs="仿宋_GB2312" w:eastAsia="仿宋_GB2312"/>
                      <w:sz w:val="24"/>
                      <w:b/>
                    </w:rPr>
                    <w:t>“CMA”标志且检测样品名称为PVC运动地胶的检测报告佐证</w:t>
                  </w:r>
                  <w:r>
                    <w:rPr>
                      <w:rFonts w:ascii="仿宋_GB2312" w:hAnsi="仿宋_GB2312" w:cs="仿宋_GB2312" w:eastAsia="仿宋_GB2312"/>
                      <w:sz w:val="24"/>
                    </w:rPr>
                    <w:t>。</w:t>
                  </w:r>
                </w:p>
                <w:p>
                  <w:pPr>
                    <w:pStyle w:val="null3"/>
                    <w:ind w:left="420"/>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4"/>
                      <w:color w:val="000000"/>
                    </w:rPr>
                    <w:t>提供耐人工气候（透过窗玻璃）老化（检测日期</w:t>
                  </w:r>
                  <w:r>
                    <w:rPr>
                      <w:rFonts w:ascii="仿宋_GB2312" w:hAnsi="仿宋_GB2312" w:cs="仿宋_GB2312" w:eastAsia="仿宋_GB2312"/>
                      <w:sz w:val="24"/>
                      <w:color w:val="000000"/>
                    </w:rPr>
                    <w:t>≥</w:t>
                  </w:r>
                  <w:r>
                    <w:rPr>
                      <w:rFonts w:ascii="仿宋_GB2312" w:hAnsi="仿宋_GB2312" w:cs="仿宋_GB2312" w:eastAsia="仿宋_GB2312"/>
                      <w:sz w:val="24"/>
                      <w:b/>
                      <w:color w:val="0000FF"/>
                    </w:rPr>
                    <w:t>10</w:t>
                  </w:r>
                  <w:r>
                    <w:rPr>
                      <w:rFonts w:ascii="仿宋_GB2312" w:hAnsi="仿宋_GB2312" w:cs="仿宋_GB2312" w:eastAsia="仿宋_GB2312"/>
                      <w:sz w:val="24"/>
                      <w:b/>
                      <w:color w:val="0000FF"/>
                    </w:rPr>
                    <w:t>000h</w:t>
                  </w:r>
                  <w:r>
                    <w:rPr>
                      <w:rFonts w:ascii="仿宋_GB2312" w:hAnsi="仿宋_GB2312" w:cs="仿宋_GB2312" w:eastAsia="仿宋_GB2312"/>
                      <w:sz w:val="24"/>
                      <w:color w:val="000000"/>
                    </w:rPr>
                    <w:t>），冲击吸收</w:t>
                  </w:r>
                  <w:r>
                    <w:rPr>
                      <w:rFonts w:ascii="仿宋_GB2312" w:hAnsi="仿宋_GB2312" w:cs="仿宋_GB2312" w:eastAsia="仿宋_GB2312"/>
                      <w:sz w:val="24"/>
                      <w:color w:val="000000"/>
                    </w:rPr>
                    <w:t>≥20%，抗滑值(20℃)/BPN 80-110（干测），</w:t>
                  </w:r>
                  <w:r>
                    <w:rPr>
                      <w:rFonts w:ascii="仿宋_GB2312" w:hAnsi="仿宋_GB2312" w:cs="仿宋_GB2312" w:eastAsia="仿宋_GB2312"/>
                      <w:sz w:val="24"/>
                      <w:b/>
                    </w:rPr>
                    <w:t>需提供有</w:t>
                  </w:r>
                  <w:r>
                    <w:rPr>
                      <w:rFonts w:ascii="仿宋_GB2312" w:hAnsi="仿宋_GB2312" w:cs="仿宋_GB2312" w:eastAsia="仿宋_GB2312"/>
                      <w:sz w:val="24"/>
                      <w:b/>
                    </w:rPr>
                    <w:t>“CMA”标志且检测样品名称为PVC运动地胶的检测报告佐证。</w:t>
                  </w:r>
                </w:p>
                <w:p>
                  <w:pPr>
                    <w:pStyle w:val="null3"/>
                    <w:ind w:left="420"/>
                  </w:pPr>
                  <w:r>
                    <w:rPr>
                      <w:rFonts w:ascii="仿宋_GB2312" w:hAnsi="仿宋_GB2312" w:cs="仿宋_GB2312" w:eastAsia="仿宋_GB2312"/>
                      <w:sz w:val="24"/>
                    </w:rPr>
                    <w:t>18.</w:t>
                  </w:r>
                  <w:r>
                    <w:rPr>
                      <w:rFonts w:ascii="仿宋_GB2312" w:hAnsi="仿宋_GB2312" w:cs="仿宋_GB2312" w:eastAsia="仿宋_GB2312"/>
                      <w:sz w:val="21"/>
                    </w:rPr>
                    <w:t>★</w:t>
                  </w:r>
                  <w:r>
                    <w:rPr>
                      <w:rFonts w:ascii="仿宋_GB2312" w:hAnsi="仿宋_GB2312" w:cs="仿宋_GB2312" w:eastAsia="仿宋_GB2312"/>
                      <w:sz w:val="24"/>
                    </w:rPr>
                    <w:t>PVC运动地胶产品采用优质PVC原生料，为保障产品不添加回收料，提供不少于三个批次产品依据GB/T 9345.5-2010标准灰分含量≤0.5%，</w:t>
                  </w:r>
                  <w:r>
                    <w:rPr>
                      <w:rFonts w:ascii="仿宋_GB2312" w:hAnsi="仿宋_GB2312" w:cs="仿宋_GB2312" w:eastAsia="仿宋_GB2312"/>
                      <w:sz w:val="24"/>
                      <w:b/>
                    </w:rPr>
                    <w:t>需提供有</w:t>
                  </w:r>
                  <w:r>
                    <w:rPr>
                      <w:rFonts w:ascii="仿宋_GB2312" w:hAnsi="仿宋_GB2312" w:cs="仿宋_GB2312" w:eastAsia="仿宋_GB2312"/>
                      <w:sz w:val="24"/>
                      <w:b/>
                    </w:rPr>
                    <w:t>“CMA”标志且检测样品名称为PVC运动地胶的检测报告佐证。</w:t>
                  </w:r>
                </w:p>
                <w:p>
                  <w:pPr>
                    <w:pStyle w:val="null3"/>
                    <w:ind w:left="420"/>
                  </w:pPr>
                  <w:r>
                    <w:rPr>
                      <w:rFonts w:ascii="仿宋_GB2312" w:hAnsi="仿宋_GB2312" w:cs="仿宋_GB2312" w:eastAsia="仿宋_GB2312"/>
                      <w:sz w:val="24"/>
                    </w:rPr>
                    <w:t>19.</w:t>
                  </w:r>
                  <w:r>
                    <w:rPr>
                      <w:rFonts w:ascii="仿宋_GB2312" w:hAnsi="仿宋_GB2312" w:cs="仿宋_GB2312" w:eastAsia="仿宋_GB2312"/>
                      <w:sz w:val="21"/>
                    </w:rPr>
                    <w:t>★</w:t>
                  </w:r>
                  <w:r>
                    <w:rPr>
                      <w:rFonts w:ascii="仿宋_GB2312" w:hAnsi="仿宋_GB2312" w:cs="仿宋_GB2312" w:eastAsia="仿宋_GB2312"/>
                      <w:sz w:val="24"/>
                    </w:rPr>
                    <w:t>PVC运动地胶采用优质PVC原生料不易滋生病毒等微生物，依据ISO 21702:2019标准抗病毒活性率≥50%，</w:t>
                  </w:r>
                  <w:r>
                    <w:rPr>
                      <w:rFonts w:ascii="仿宋_GB2312" w:hAnsi="仿宋_GB2312" w:cs="仿宋_GB2312" w:eastAsia="仿宋_GB2312"/>
                      <w:sz w:val="24"/>
                      <w:b/>
                    </w:rPr>
                    <w:t>需提供有</w:t>
                  </w:r>
                  <w:r>
                    <w:rPr>
                      <w:rFonts w:ascii="仿宋_GB2312" w:hAnsi="仿宋_GB2312" w:cs="仿宋_GB2312" w:eastAsia="仿宋_GB2312"/>
                      <w:sz w:val="24"/>
                      <w:b/>
                    </w:rPr>
                    <w:t>“CMA”标志且检测样品名称为PVC运动地胶</w:t>
                  </w:r>
                  <w:r>
                    <w:rPr>
                      <w:rFonts w:ascii="仿宋_GB2312" w:hAnsi="仿宋_GB2312" w:cs="仿宋_GB2312" w:eastAsia="仿宋_GB2312"/>
                      <w:sz w:val="24"/>
                      <w:b/>
                    </w:rPr>
                    <w:t>原料</w:t>
                  </w:r>
                  <w:r>
                    <w:rPr>
                      <w:rFonts w:ascii="仿宋_GB2312" w:hAnsi="仿宋_GB2312" w:cs="仿宋_GB2312" w:eastAsia="仿宋_GB2312"/>
                      <w:sz w:val="24"/>
                      <w:b/>
                    </w:rPr>
                    <w:t>的检测报告佐证。</w:t>
                  </w:r>
                </w:p>
                <w:p>
                  <w:pPr>
                    <w:pStyle w:val="null3"/>
                    <w:ind w:left="420"/>
                  </w:pPr>
                  <w:r>
                    <w:rPr>
                      <w:rFonts w:ascii="仿宋_GB2312" w:hAnsi="仿宋_GB2312" w:cs="仿宋_GB2312" w:eastAsia="仿宋_GB2312"/>
                      <w:sz w:val="24"/>
                    </w:rPr>
                    <w:t>20.</w:t>
                  </w:r>
                  <w:r>
                    <w:rPr>
                      <w:rFonts w:ascii="仿宋_GB2312" w:hAnsi="仿宋_GB2312" w:cs="仿宋_GB2312" w:eastAsia="仿宋_GB2312"/>
                      <w:sz w:val="21"/>
                    </w:rPr>
                    <w:t>★</w:t>
                  </w:r>
                  <w:r>
                    <w:rPr>
                      <w:rFonts w:ascii="仿宋_GB2312" w:hAnsi="仿宋_GB2312" w:cs="仿宋_GB2312" w:eastAsia="仿宋_GB2312"/>
                      <w:sz w:val="24"/>
                    </w:rPr>
                    <w:t>为确保</w:t>
                  </w:r>
                  <w:r>
                    <w:rPr>
                      <w:rFonts w:ascii="仿宋_GB2312" w:hAnsi="仿宋_GB2312" w:cs="仿宋_GB2312" w:eastAsia="仿宋_GB2312"/>
                      <w:sz w:val="24"/>
                    </w:rPr>
                    <w:t>PVC运动地胶产品经过人员长期运动踩踏后产品性能稳定，提供模拟人员踩踏不少于10万次，依据GB/T 43565-2023、GB/T 11982.1-2015、GB/T10654-2001标准产品外观无裂纹、无断裂，色牢度无脱色，拉伸强度≥2MPa，</w:t>
                  </w:r>
                  <w:r>
                    <w:rPr>
                      <w:rFonts w:ascii="仿宋_GB2312" w:hAnsi="仿宋_GB2312" w:cs="仿宋_GB2312" w:eastAsia="仿宋_GB2312"/>
                      <w:sz w:val="24"/>
                      <w:b/>
                    </w:rPr>
                    <w:t>需提供有</w:t>
                  </w:r>
                  <w:r>
                    <w:rPr>
                      <w:rFonts w:ascii="仿宋_GB2312" w:hAnsi="仿宋_GB2312" w:cs="仿宋_GB2312" w:eastAsia="仿宋_GB2312"/>
                      <w:sz w:val="24"/>
                      <w:b/>
                    </w:rPr>
                    <w:t>“CMA”标志且检测样品名称为PVC运动地胶的检测报告佐证。</w:t>
                  </w:r>
                </w:p>
                <w:p>
                  <w:pPr>
                    <w:pStyle w:val="null3"/>
                    <w:ind w:left="420"/>
                  </w:pPr>
                  <w:r>
                    <w:rPr>
                      <w:rFonts w:ascii="仿宋_GB2312" w:hAnsi="仿宋_GB2312" w:cs="仿宋_GB2312" w:eastAsia="仿宋_GB2312"/>
                      <w:sz w:val="24"/>
                    </w:rPr>
                    <w:t>21.</w:t>
                  </w:r>
                  <w:r>
                    <w:rPr>
                      <w:rFonts w:ascii="仿宋_GB2312" w:hAnsi="仿宋_GB2312" w:cs="仿宋_GB2312" w:eastAsia="仿宋_GB2312"/>
                      <w:sz w:val="21"/>
                    </w:rPr>
                    <w:t>★</w:t>
                  </w:r>
                  <w:r>
                    <w:rPr>
                      <w:rFonts w:ascii="仿宋_GB2312" w:hAnsi="仿宋_GB2312" w:cs="仿宋_GB2312" w:eastAsia="仿宋_GB2312"/>
                      <w:sz w:val="24"/>
                    </w:rPr>
                    <w:t>为确保</w:t>
                  </w:r>
                  <w:r>
                    <w:rPr>
                      <w:rFonts w:ascii="仿宋_GB2312" w:hAnsi="仿宋_GB2312" w:cs="仿宋_GB2312" w:eastAsia="仿宋_GB2312"/>
                      <w:sz w:val="24"/>
                    </w:rPr>
                    <w:t>PVC运动地胶产品在日常维护卫生过程中产品防滑和耐磨性稳定，提供耐洗刷50万次，依据GB/T 43565-2023、GB/T 9279.1-2015标准耐划痕未划伤，抗滑值90-110，</w:t>
                  </w:r>
                  <w:r>
                    <w:rPr>
                      <w:rFonts w:ascii="仿宋_GB2312" w:hAnsi="仿宋_GB2312" w:cs="仿宋_GB2312" w:eastAsia="仿宋_GB2312"/>
                      <w:sz w:val="24"/>
                      <w:b/>
                    </w:rPr>
                    <w:t>需提供有</w:t>
                  </w:r>
                  <w:r>
                    <w:rPr>
                      <w:rFonts w:ascii="仿宋_GB2312" w:hAnsi="仿宋_GB2312" w:cs="仿宋_GB2312" w:eastAsia="仿宋_GB2312"/>
                      <w:sz w:val="24"/>
                      <w:b/>
                    </w:rPr>
                    <w:t>“CMA”标志且检测样品名称为PVC运动地胶的检测报告佐证。</w:t>
                  </w:r>
                </w:p>
                <w:p>
                  <w:pPr>
                    <w:pStyle w:val="null3"/>
                    <w:jc w:val="left"/>
                  </w:pPr>
                  <w:r>
                    <w:rPr>
                      <w:rFonts w:ascii="仿宋_GB2312" w:hAnsi="仿宋_GB2312" w:cs="仿宋_GB2312" w:eastAsia="仿宋_GB2312"/>
                      <w:sz w:val="24"/>
                      <w:b/>
                    </w:rPr>
                    <w:t>带有</w:t>
                  </w:r>
                  <w:r>
                    <w:rPr>
                      <w:rFonts w:ascii="仿宋_GB2312" w:hAnsi="仿宋_GB2312" w:cs="仿宋_GB2312" w:eastAsia="仿宋_GB2312"/>
                      <w:sz w:val="24"/>
                      <w:b/>
                    </w:rPr>
                    <w:t>“</w:t>
                  </w:r>
                  <w:r>
                    <w:rPr>
                      <w:rFonts w:ascii="仿宋_GB2312" w:hAnsi="仿宋_GB2312" w:cs="仿宋_GB2312" w:eastAsia="仿宋_GB2312"/>
                      <w:sz w:val="21"/>
                    </w:rPr>
                    <w:t>★</w:t>
                  </w:r>
                  <w:r>
                    <w:rPr>
                      <w:rFonts w:ascii="仿宋_GB2312" w:hAnsi="仿宋_GB2312" w:cs="仿宋_GB2312" w:eastAsia="仿宋_GB2312"/>
                      <w:sz w:val="24"/>
                      <w:b/>
                    </w:rPr>
                    <w:t>”为重要参数，不满足或未提供按无效响应处理。</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羽毛球网柱（含网）</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1.产品规格：2只羽毛球柱总重量≥180kg</w:t>
                  </w:r>
                  <w:r>
                    <w:br/>
                  </w:r>
                  <w:r>
                    <w:rPr>
                      <w:rFonts w:ascii="仿宋_GB2312" w:hAnsi="仿宋_GB2312" w:cs="仿宋_GB2312" w:eastAsia="仿宋_GB2312"/>
                      <w:sz w:val="22"/>
                      <w:color w:val="000000"/>
                    </w:rPr>
                    <w:t>2.产品材质：立柱部分为无缝钢管，柱体直径≥4.2cm，网柱尺寸：高度为155cm；底座部分为固化钢板</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三、配送要求</w:t>
            </w:r>
          </w:p>
          <w:p>
            <w:pPr>
              <w:pStyle w:val="null3"/>
            </w:pPr>
            <w:r>
              <w:rPr>
                <w:rFonts w:ascii="仿宋_GB2312" w:hAnsi="仿宋_GB2312" w:cs="仿宋_GB2312" w:eastAsia="仿宋_GB2312"/>
              </w:rPr>
              <w:t>接到采购人通知15日内完成配送至采购人指定地点，保证货物安全配送到位。</w:t>
            </w:r>
          </w:p>
          <w:p>
            <w:pPr>
              <w:pStyle w:val="null3"/>
            </w:pPr>
            <w:r>
              <w:rPr>
                <w:rFonts w:ascii="仿宋_GB2312" w:hAnsi="仿宋_GB2312" w:cs="仿宋_GB2312" w:eastAsia="仿宋_GB2312"/>
              </w:rPr>
              <w:t>送货单一式两联，采购人收货人验收货物品种、数量、质量后，供应商送货员确认无误后、双方在送货单上签字确认，其中一联交给采购人留存。</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四、其他要求：</w:t>
            </w:r>
          </w:p>
          <w:p>
            <w:pPr>
              <w:pStyle w:val="null3"/>
            </w:pPr>
            <w:r>
              <w:rPr>
                <w:rFonts w:ascii="仿宋_GB2312" w:hAnsi="仿宋_GB2312" w:cs="仿宋_GB2312" w:eastAsia="仿宋_GB2312"/>
                <w:b/>
              </w:rPr>
              <w:t>产品“三包”要求：</w:t>
            </w:r>
          </w:p>
          <w:p>
            <w:pPr>
              <w:pStyle w:val="null3"/>
            </w:pPr>
            <w:r>
              <w:rPr>
                <w:rFonts w:ascii="仿宋_GB2312" w:hAnsi="仿宋_GB2312" w:cs="仿宋_GB2312" w:eastAsia="仿宋_GB2312"/>
              </w:rPr>
              <w:t>货物（产品）属于国家规定的“三包产品”，产品制造商、经销代理商应遵守“三包”的规定，在产品发生质量问题时，及时对所提供产品实行“包退、包换、保修”服务。</w:t>
            </w:r>
          </w:p>
          <w:p>
            <w:pPr>
              <w:pStyle w:val="null3"/>
            </w:pPr>
            <w:r>
              <w:rPr>
                <w:rFonts w:ascii="仿宋_GB2312" w:hAnsi="仿宋_GB2312" w:cs="仿宋_GB2312" w:eastAsia="仿宋_GB2312"/>
              </w:rPr>
              <w:t>安全要求：认真贯彻执行国家及省、市有关安全文明生产的法律法规规章和强制性标准、安全操作规程等，所有产品应符合国家相关安全标准，所有货物（产品）能够承受频繁使用和可能的不当操作，结构稳定，不易损坏，无锐利边角、无毒无害、不易造成意外伤害，与实际使用场地相匹配；建立健全安装现场安全文明生产保证体系，落实各项具体措施，切实履行安全文明生产责任和义务，保持安装现场整齐有序。</w:t>
            </w:r>
          </w:p>
          <w:p>
            <w:pPr>
              <w:pStyle w:val="null3"/>
            </w:pPr>
            <w:r>
              <w:rPr>
                <w:rFonts w:ascii="仿宋_GB2312" w:hAnsi="仿宋_GB2312" w:cs="仿宋_GB2312" w:eastAsia="仿宋_GB2312"/>
                <w:b/>
              </w:rPr>
              <w:t>售后服务要求：</w:t>
            </w:r>
          </w:p>
          <w:p>
            <w:pPr>
              <w:pStyle w:val="null3"/>
            </w:pPr>
            <w:r>
              <w:rPr>
                <w:rFonts w:ascii="仿宋_GB2312" w:hAnsi="仿宋_GB2312" w:cs="仿宋_GB2312" w:eastAsia="仿宋_GB2312"/>
              </w:rPr>
              <w:t>（1）成交供应商须指派专人负责与采购人联系售后服务事宜；</w:t>
            </w:r>
            <w:r>
              <w:br/>
            </w:r>
            <w:r>
              <w:rPr>
                <w:rFonts w:ascii="仿宋_GB2312" w:hAnsi="仿宋_GB2312" w:cs="仿宋_GB2312" w:eastAsia="仿宋_GB2312"/>
              </w:rPr>
              <w:t xml:space="preserve"> （2）成交供应商负责羽毛球球网和地胶的现场安装、平整度调试、网高及张力测试等；</w:t>
            </w:r>
            <w:r>
              <w:br/>
            </w:r>
            <w:r>
              <w:rPr>
                <w:rFonts w:ascii="仿宋_GB2312" w:hAnsi="仿宋_GB2312" w:cs="仿宋_GB2312" w:eastAsia="仿宋_GB2312"/>
              </w:rPr>
              <w:t xml:space="preserve"> （3）成交供应商负责对其所提供的球网、地胶及配套配件的备品供应，提供长期维修服务，并提供技术咨询等；所有维修记录交由采购人现场技术人员一份，并详细说明问题所在、解决办法及注意事项；</w:t>
            </w:r>
            <w:r>
              <w:br/>
            </w:r>
            <w:r>
              <w:rPr>
                <w:rFonts w:ascii="仿宋_GB2312" w:hAnsi="仿宋_GB2312" w:cs="仿宋_GB2312" w:eastAsia="仿宋_GB2312"/>
              </w:rPr>
              <w:t xml:space="preserve"> （4）球网或地胶出现破损、松动、起鼓等问题时，报修响应时间为：7×24小时免费上门服务；</w:t>
            </w:r>
            <w:r>
              <w:br/>
            </w:r>
            <w:r>
              <w:rPr>
                <w:rFonts w:ascii="仿宋_GB2312" w:hAnsi="仿宋_GB2312" w:cs="仿宋_GB2312" w:eastAsia="仿宋_GB2312"/>
              </w:rPr>
              <w:t xml:space="preserve"> （5）所有服务方式均为成交供应商上门服务，即由成交供应商派人到安装使用现场进行维修、保养，由此产生的一切费用均由成交供应商承担。对球网和地胶进行定期的检查、清洁、紧固（或调整）等保养工作，并与用户沟通，定期开展技术交流或使用培训，预防损坏或故障发生，保证器材的正常使用；</w:t>
            </w:r>
          </w:p>
          <w:p>
            <w:pPr>
              <w:pStyle w:val="null3"/>
            </w:pPr>
            <w:r>
              <w:rPr>
                <w:rFonts w:ascii="仿宋_GB2312" w:hAnsi="仿宋_GB2312" w:cs="仿宋_GB2312" w:eastAsia="仿宋_GB2312"/>
              </w:rPr>
              <w:t>（6）质保期满后，成交供应商仍应提供终身维护服务，只收取合理的维修成本费用。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自合同签订生效之日起15日内完成供货、安装、调试等所有工作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西安市青少年体育学校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其他，具体按合同相关条款执行，所有货物交货完成，验收合格，达到付款条件起30个工作日内，支付合同总金额的100.0%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成交供应商所供货物（产品）或服务进行检查或验收，成交供应商须无条件地接受采购人检查或验收；若验收不通过或质量不合格，成交供应商应在一定期限内进行整改完善，以采购人要求的标准提供合格的货物（产品）或服务；若成交供应商在接受检查整改后，仍不能提供符合采购要求的合格货物（产品）或服务，采购人有权按违约予以撤项，具体按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要求：采用公路或铁路运输方式，选择风险小、运费低和运距短的运输路线。运杂费一次性包死在总价内，采购人不再额外支付，包括从生产厂家到使用（安装）现场的包装、装载、运输、卸载、现场保管、二次倒运等费用。 （2）包装要求：①全部货物（产品）均应按照国家、行业规定的标准和保护措施进行包装，该包装应适应于远距离运输、防潮、防震、防锈和防野蛮装卸，以确保货物安全运抵指定地点；②当包装使用塑料、纸质、木材等包装材料时，除应当按照国家、行业规定的包装标准进行包装外，还需按照《商品包装政府采购需求标准（试行）》（财办库〔2020〕）123号）规定的环保要求进行包装；③当采用快递交货方式时，快递包装除应当按照国家、行业规定的包装标准进行包装外，还需按照《快递包装政府采购需求标准（试行）》（财办库〔2020〕）123号）规定的环保要求进行包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本项目整体质保期≥12个月，供应商承诺超过谈判文件要求的，按其承诺的质保期进行质保，质保期起始时间为终验合格之日。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详见合同相关条款</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的报价是供应商响应采购项目要求的全部工作内容的价格体现，包括供应商完成本项目所需的直接费、间接费、利润、税金及其他相关的一切费用，包括但不限于：产品费、附件费、工具费、验收费、运输费、保险费、安装费、调试费、技术服务费（含售后）、招标代理费、税金、利润及不可预见费等费用；谈判总价中不得包含采购文件要求以外的内容，否则，在评标时不予核减。在供货、安装、调试、培训等工作中出现的任何遗漏，均由成交供应商免费提供，采购人将不再支付任何费用。 二、谈判有效期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3.中标人的谈判有效期自动延长至合同终止为止。 三、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四、文件中签名是指：手写签名或加盖签名章（含电子章、印章、签名章），盖章是指加盖单位章（含电子章）。 五、资格性、符合性审查完成后，最终报价中如出现异常低价情形，执行财库〔2026〕2号《关于推动解决政府采购异常低价问题的通知》，谈判小组可在最后报价审查表中审核是否通过审查。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陕西省西安市经济技术开发区凤城二路27号天心大厦17层1703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中小企业声明函 商务应答表 偏离表.docx 报价表 资格证明文件.docx 响应文件封面 分项报价表.docx 产品技术参数表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中小企业声明函 商务应答表 偏离表.docx 报价表 资格证明文件.docx 响应文件封面 分项报价表.docx 产品技术参数表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中小企业声明函 商务应答表 偏离表.docx 报价表 资格证明文件.docx 响应文件封面 分项报价表.docx 产品技术参数表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中小企业声明函 商务应答表 偏离表.docx 报价表 资格证明文件.docx 响应文件封面 分项报价表.docx 产品技术参数表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偏离表.docx 报价表 资格证明文件.docx 响应文件封面 分项报价表.docx 产品技术参数表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符合谈判文件中的规定</w:t>
            </w:r>
          </w:p>
        </w:tc>
        <w:tc>
          <w:tcPr>
            <w:tcW w:type="dxa" w:w="1661"/>
          </w:tcPr>
          <w:p>
            <w:pPr>
              <w:pStyle w:val="null3"/>
            </w:pPr>
            <w:r>
              <w:rPr>
                <w:rFonts w:ascii="仿宋_GB2312" w:hAnsi="仿宋_GB2312" w:cs="仿宋_GB2312" w:eastAsia="仿宋_GB2312"/>
              </w:rPr>
              <w:t>中小企业声明函 商务应答表 偏离表.docx 报价表 资格证明文件.docx 响应文件封面 分项报价表.docx 产品技术参数表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中小企业声明函 商务应答表 偏离表.docx 报价表 资格证明文件.docx 响应文件封面 分项报价表.docx 产品技术参数表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中小企业声明函 商务应答表 偏离表.docx 报价表 资格证明文件.docx 响应文件封面 分项报价表.docx 产品技术参数表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不存在法律、法规和谈判文件规定的其他无效投标情形</w:t>
            </w:r>
          </w:p>
        </w:tc>
        <w:tc>
          <w:tcPr>
            <w:tcW w:type="dxa" w:w="1661"/>
          </w:tcPr>
          <w:p>
            <w:pPr>
              <w:pStyle w:val="null3"/>
            </w:pPr>
            <w:r>
              <w:rPr>
                <w:rFonts w:ascii="仿宋_GB2312" w:hAnsi="仿宋_GB2312" w:cs="仿宋_GB2312" w:eastAsia="仿宋_GB2312"/>
              </w:rPr>
              <w:t>中小企业声明函 商务应答表 偏离表.docx 报价表 资格证明文件.docx 响应文件封面 分项报价表.docx 产品技术参数表 供应商认为有必要补充说明的事项.docx 残疾人福利性单位声明函 标的清单 承诺文件.docx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详见附件：承诺文件.docx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