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28CF2">
      <w:pPr>
        <w:pStyle w:val="7"/>
        <w:numPr>
          <w:ilvl w:val="0"/>
          <w:numId w:val="0"/>
        </w:numPr>
        <w:jc w:val="center"/>
        <w:rPr>
          <w:rFonts w:asciiTheme="minorEastAsia" w:hAnsiTheme="minorEastAsia"/>
          <w:b/>
          <w:sz w:val="36"/>
        </w:rPr>
      </w:pPr>
    </w:p>
    <w:p w14:paraId="26674944">
      <w:pPr>
        <w:pStyle w:val="7"/>
        <w:numPr>
          <w:ilvl w:val="0"/>
          <w:numId w:val="0"/>
        </w:numPr>
        <w:jc w:val="center"/>
        <w:rPr>
          <w:rFonts w:asciiTheme="minorEastAsia" w:hAnsiTheme="minorEastAsia"/>
          <w:b/>
          <w:sz w:val="36"/>
        </w:rPr>
      </w:pPr>
    </w:p>
    <w:p w14:paraId="3F386C23">
      <w:pPr>
        <w:pStyle w:val="7"/>
        <w:numPr>
          <w:ilvl w:val="0"/>
          <w:numId w:val="0"/>
        </w:numPr>
        <w:jc w:val="center"/>
        <w:rPr>
          <w:rFonts w:asciiTheme="minorEastAsia" w:hAnsiTheme="minorEastAsia"/>
          <w:b/>
          <w:sz w:val="36"/>
        </w:rPr>
      </w:pPr>
    </w:p>
    <w:p w14:paraId="190D80D8">
      <w:pPr>
        <w:pStyle w:val="7"/>
        <w:numPr>
          <w:ilvl w:val="0"/>
          <w:numId w:val="0"/>
        </w:numPr>
        <w:jc w:val="center"/>
        <w:rPr>
          <w:rFonts w:asciiTheme="minorEastAsia" w:hAnsiTheme="minorEastAsia"/>
          <w:b/>
          <w:sz w:val="36"/>
        </w:rPr>
      </w:pPr>
    </w:p>
    <w:p w14:paraId="30DAFB8B">
      <w:pPr>
        <w:pStyle w:val="7"/>
        <w:numPr>
          <w:ilvl w:val="0"/>
          <w:numId w:val="0"/>
        </w:numPr>
        <w:jc w:val="center"/>
        <w:rPr>
          <w:rFonts w:asciiTheme="minorEastAsia" w:hAnsiTheme="minorEastAsia"/>
          <w:b/>
          <w:sz w:val="36"/>
        </w:rPr>
      </w:pPr>
    </w:p>
    <w:p w14:paraId="3552DA43">
      <w:pPr>
        <w:pStyle w:val="7"/>
        <w:numPr>
          <w:ilvl w:val="0"/>
          <w:numId w:val="0"/>
        </w:numPr>
        <w:jc w:val="center"/>
        <w:rPr>
          <w:rFonts w:asciiTheme="minorEastAsia" w:hAnsiTheme="minorEastAsia"/>
          <w:b/>
          <w:sz w:val="36"/>
        </w:rPr>
      </w:pPr>
    </w:p>
    <w:p w14:paraId="1C4EB547">
      <w:pPr>
        <w:pStyle w:val="7"/>
        <w:numPr>
          <w:ilvl w:val="0"/>
          <w:numId w:val="0"/>
        </w:numPr>
        <w:jc w:val="center"/>
        <w:rPr>
          <w:rFonts w:asciiTheme="minorEastAsia" w:hAnsiTheme="minorEastAsia"/>
          <w:b/>
          <w:sz w:val="36"/>
        </w:rPr>
      </w:pPr>
    </w:p>
    <w:p w14:paraId="11352EEF">
      <w:pPr>
        <w:pStyle w:val="7"/>
        <w:numPr>
          <w:ilvl w:val="0"/>
          <w:numId w:val="0"/>
        </w:numPr>
        <w:jc w:val="center"/>
        <w:rPr>
          <w:rFonts w:asciiTheme="minorEastAsia" w:hAnsiTheme="minorEastAsia"/>
          <w:b/>
          <w:sz w:val="36"/>
        </w:rPr>
      </w:pPr>
    </w:p>
    <w:p w14:paraId="4863BD86">
      <w:pPr>
        <w:pStyle w:val="7"/>
        <w:numPr>
          <w:ilvl w:val="0"/>
          <w:numId w:val="0"/>
        </w:numPr>
        <w:jc w:val="center"/>
        <w:rPr>
          <w:rFonts w:asciiTheme="minorEastAsia" w:hAnsiTheme="minorEastAsia"/>
          <w:b/>
          <w:sz w:val="36"/>
        </w:rPr>
      </w:pPr>
    </w:p>
    <w:p w14:paraId="2C87F621">
      <w:pPr>
        <w:pStyle w:val="7"/>
        <w:numPr>
          <w:ilvl w:val="0"/>
          <w:numId w:val="0"/>
        </w:numPr>
        <w:jc w:val="center"/>
        <w:rPr>
          <w:rFonts w:hint="default" w:asciiTheme="minorEastAsia" w:hAnsiTheme="minorEastAsia"/>
          <w:b/>
          <w:sz w:val="36"/>
        </w:rPr>
      </w:pPr>
      <w:r>
        <w:rPr>
          <w:rFonts w:asciiTheme="minorEastAsia" w:hAnsiTheme="minorEastAsia"/>
          <w:b/>
          <w:sz w:val="36"/>
        </w:rPr>
        <w:t>拟签订采购合同文本</w:t>
      </w:r>
    </w:p>
    <w:p w14:paraId="1006D47C">
      <w:pPr>
        <w:rPr>
          <w:rFonts w:hint="default" w:asciiTheme="minorEastAsia" w:hAnsiTheme="minorEastAsia"/>
          <w:b/>
          <w:bCs/>
          <w:sz w:val="28"/>
        </w:rPr>
      </w:pPr>
      <w:r>
        <w:rPr>
          <w:rFonts w:hint="default" w:asciiTheme="minorEastAsia" w:hAnsiTheme="minorEastAsia"/>
          <w:b/>
          <w:bCs/>
          <w:sz w:val="28"/>
        </w:rPr>
        <w:br w:type="page"/>
      </w:r>
    </w:p>
    <w:p w14:paraId="1345D8A7">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采购人（全称）：</w:t>
      </w:r>
      <w:r>
        <w:rPr>
          <w:rFonts w:hint="eastAsia" w:cs="宋体" w:asciiTheme="minorEastAsia" w:hAnsiTheme="minorEastAsia"/>
          <w:sz w:val="24"/>
          <w:u w:val="single"/>
          <w:lang w:eastAsia="zh-Hans"/>
        </w:rPr>
        <w:t xml:space="preserve">                                      </w:t>
      </w:r>
    </w:p>
    <w:p w14:paraId="46B6B33B">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供应商（全称）：</w:t>
      </w:r>
      <w:r>
        <w:rPr>
          <w:rFonts w:hint="eastAsia" w:cs="宋体" w:asciiTheme="minorEastAsia" w:hAnsiTheme="minorEastAsia"/>
          <w:sz w:val="24"/>
          <w:u w:val="single"/>
          <w:lang w:eastAsia="zh-Hans"/>
        </w:rPr>
        <w:t xml:space="preserve">                                      </w:t>
      </w:r>
    </w:p>
    <w:p w14:paraId="449DD94D">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根据《中华人民共和国民法典》及其他有关法律、法规，遵循平等、自愿、公平和诚信的原则，双方就下述项目范围与相关服务事项协商一致，订立本合同。</w:t>
      </w:r>
    </w:p>
    <w:p w14:paraId="475B30A9">
      <w:pPr>
        <w:spacing w:line="360" w:lineRule="auto"/>
        <w:rPr>
          <w:rFonts w:cs="宋体" w:asciiTheme="minorEastAsia" w:hAnsiTheme="minorEastAsia"/>
          <w:b/>
          <w:sz w:val="28"/>
          <w:lang w:eastAsia="zh-Hans"/>
        </w:rPr>
      </w:pPr>
      <w:r>
        <w:rPr>
          <w:rFonts w:hint="eastAsia" w:cs="宋体" w:asciiTheme="minorEastAsia" w:hAnsiTheme="minorEastAsia"/>
          <w:b/>
          <w:sz w:val="28"/>
          <w:lang w:eastAsia="zh-Hans"/>
        </w:rPr>
        <w:t>一、项目概况</w:t>
      </w:r>
    </w:p>
    <w:p w14:paraId="012387C6">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1.项目名称：</w:t>
      </w:r>
      <w:r>
        <w:rPr>
          <w:rFonts w:hint="eastAsia" w:cs="宋体" w:asciiTheme="minorEastAsia" w:hAnsiTheme="minorEastAsia"/>
          <w:sz w:val="24"/>
          <w:u w:val="single"/>
          <w:lang w:eastAsia="zh-Hans"/>
        </w:rPr>
        <w:t xml:space="preserve">                       </w:t>
      </w:r>
      <w:r>
        <w:rPr>
          <w:rFonts w:hint="eastAsia" w:cs="宋体" w:asciiTheme="minorEastAsia" w:hAnsiTheme="minorEastAsia"/>
          <w:sz w:val="24"/>
          <w:lang w:eastAsia="zh-Hans"/>
        </w:rPr>
        <w:t>；</w:t>
      </w:r>
    </w:p>
    <w:p w14:paraId="695922F4">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2.项目地点：</w:t>
      </w:r>
      <w:r>
        <w:rPr>
          <w:rFonts w:hint="eastAsia" w:cs="宋体" w:asciiTheme="minorEastAsia" w:hAnsiTheme="minorEastAsia"/>
          <w:sz w:val="24"/>
          <w:u w:val="single"/>
          <w:lang w:eastAsia="zh-Hans"/>
        </w:rPr>
        <w:t xml:space="preserve">                </w:t>
      </w:r>
      <w:r>
        <w:rPr>
          <w:rFonts w:hint="eastAsia" w:cs="宋体" w:asciiTheme="minorEastAsia" w:hAnsiTheme="minorEastAsia"/>
          <w:sz w:val="24"/>
          <w:u w:val="single"/>
        </w:rPr>
        <w:t xml:space="preserve"> </w:t>
      </w:r>
      <w:r>
        <w:rPr>
          <w:rFonts w:hint="eastAsia" w:cs="宋体" w:asciiTheme="minorEastAsia" w:hAnsiTheme="minorEastAsia"/>
          <w:sz w:val="24"/>
          <w:u w:val="single"/>
          <w:lang w:eastAsia="zh-Hans"/>
        </w:rPr>
        <w:t xml:space="preserve">      </w:t>
      </w:r>
      <w:r>
        <w:rPr>
          <w:rFonts w:hint="eastAsia" w:cs="宋体" w:asciiTheme="minorEastAsia" w:hAnsiTheme="minorEastAsia"/>
          <w:sz w:val="24"/>
          <w:lang w:eastAsia="zh-Hans"/>
        </w:rPr>
        <w:t>；</w:t>
      </w:r>
    </w:p>
    <w:p w14:paraId="0FF318E1">
      <w:pPr>
        <w:spacing w:line="360" w:lineRule="auto"/>
        <w:rPr>
          <w:rFonts w:cs="宋体" w:asciiTheme="minorEastAsia" w:hAnsiTheme="minorEastAsia"/>
          <w:b/>
          <w:sz w:val="28"/>
          <w:lang w:eastAsia="zh-Hans"/>
        </w:rPr>
      </w:pPr>
      <w:r>
        <w:rPr>
          <w:rFonts w:hint="eastAsia" w:cs="宋体" w:asciiTheme="minorEastAsia" w:hAnsiTheme="minorEastAsia"/>
          <w:b/>
          <w:sz w:val="28"/>
          <w:lang w:eastAsia="zh-Hans"/>
        </w:rPr>
        <w:t>二、组成本合同的文件</w:t>
      </w:r>
    </w:p>
    <w:p w14:paraId="61FE8730">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1.协议书；</w:t>
      </w:r>
    </w:p>
    <w:p w14:paraId="0E7A7364">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2.成交通知书、谈判响应文件、谈判文件、澄清、谈判补充文件（或委托书）；</w:t>
      </w:r>
    </w:p>
    <w:p w14:paraId="16EF7CF1">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3.相关服务建议书；</w:t>
      </w:r>
    </w:p>
    <w:p w14:paraId="05745639">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4.附录，即：附表内相关服务的范围和内容；</w:t>
      </w:r>
    </w:p>
    <w:p w14:paraId="5E78E096">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本合同签订后，双方依法签订的补充协议也是本合同文件的组成部分。</w:t>
      </w:r>
    </w:p>
    <w:p w14:paraId="52F1C883">
      <w:pPr>
        <w:spacing w:line="360" w:lineRule="auto"/>
        <w:rPr>
          <w:rFonts w:hint="default" w:cs="宋体" w:asciiTheme="minorEastAsia" w:hAnsiTheme="minorEastAsia" w:eastAsiaTheme="minorEastAsia"/>
          <w:b/>
          <w:sz w:val="28"/>
          <w:lang w:val="en-US" w:eastAsia="zh-CN"/>
        </w:rPr>
      </w:pPr>
      <w:r>
        <w:rPr>
          <w:rFonts w:hint="eastAsia" w:cs="宋体" w:asciiTheme="minorEastAsia" w:hAnsiTheme="minorEastAsia"/>
          <w:b/>
          <w:sz w:val="28"/>
          <w:lang w:eastAsia="zh-Hans"/>
        </w:rPr>
        <w:t>三、合同价款</w:t>
      </w:r>
      <w:r>
        <w:rPr>
          <w:rFonts w:hint="eastAsia" w:cs="宋体" w:asciiTheme="minorEastAsia" w:hAnsiTheme="minorEastAsia"/>
          <w:b/>
          <w:sz w:val="28"/>
          <w:lang w:val="en-US" w:eastAsia="zh-CN"/>
        </w:rPr>
        <w:t>/购置清单</w:t>
      </w:r>
    </w:p>
    <w:p w14:paraId="1ED59EEA">
      <w:pPr>
        <w:keepNext w:val="0"/>
        <w:keepLines w:val="0"/>
        <w:widowControl w:val="0"/>
        <w:suppressLineNumbers w:val="0"/>
        <w:spacing w:before="0" w:beforeAutospacing="0" w:after="0" w:afterAutospacing="0" w:line="360" w:lineRule="auto"/>
        <w:ind w:left="0" w:right="0" w:firstLine="480" w:firstLineChars="200"/>
        <w:jc w:val="both"/>
        <w:rPr>
          <w:rFonts w:hint="default" w:ascii="宋体" w:hAnsi="宋体" w:eastAsia="宋体" w:cs="宋体"/>
          <w:color w:val="auto"/>
          <w:kern w:val="2"/>
          <w:sz w:val="24"/>
          <w:szCs w:val="24"/>
          <w:lang w:val="en-US"/>
        </w:rPr>
      </w:pPr>
      <w:r>
        <w:rPr>
          <w:rFonts w:hint="eastAsia" w:ascii="宋体" w:hAnsi="宋体" w:eastAsia="宋体" w:cs="宋体"/>
          <w:color w:val="auto"/>
          <w:kern w:val="2"/>
          <w:sz w:val="24"/>
          <w:szCs w:val="24"/>
          <w:lang w:val="en-US" w:eastAsia="zh-CN" w:bidi="ar"/>
        </w:rPr>
        <w:t>1.购置清单：详见附件</w:t>
      </w:r>
    </w:p>
    <w:p w14:paraId="0ADD96E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2.合同总额：</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元，是指货物到达采购人指定地点、完成验收后的价格，其中已包含货物价格、包装、运杂费（含保险）、税费、工程费、安装调试费及相关费用等。</w:t>
      </w:r>
    </w:p>
    <w:p w14:paraId="2C9ACFC2">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3.合同总额为一次性包死价格，不受市场价格的变化和影响，在合同不发生变更时作为付款结算的依据。</w:t>
      </w:r>
    </w:p>
    <w:p w14:paraId="670FB1A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lang w:val="en-US" w:eastAsia="zh-CN" w:bidi="ar"/>
        </w:rPr>
        <w:t>四.交货时间及交货地点</w:t>
      </w:r>
    </w:p>
    <w:p w14:paraId="79D2CBF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1.交货时间：本合同生效后</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天内到货，货到后</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日</w:t>
      </w:r>
      <w:r>
        <w:rPr>
          <w:rFonts w:hint="eastAsia" w:ascii="宋体" w:hAnsi="宋体" w:eastAsia="宋体" w:cs="宋体"/>
          <w:color w:val="auto"/>
          <w:kern w:val="2"/>
          <w:sz w:val="24"/>
          <w:szCs w:val="24"/>
          <w:lang w:val="en-US" w:eastAsia="zh-CN" w:bidi="ar"/>
        </w:rPr>
        <w:t>内安装调试并完成所有交付工作。</w:t>
      </w:r>
    </w:p>
    <w:p w14:paraId="60CE07C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2.交货地点：采购人指定地点。</w:t>
      </w:r>
    </w:p>
    <w:p w14:paraId="630DF81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lang w:val="en-US" w:eastAsia="zh-CN" w:bidi="ar"/>
        </w:rPr>
        <w:t>五.</w:t>
      </w:r>
      <w:r>
        <w:rPr>
          <w:rFonts w:hint="eastAsia" w:ascii="宋体" w:hAnsi="宋体" w:cs="宋体"/>
          <w:b/>
          <w:bCs w:val="0"/>
          <w:color w:val="auto"/>
          <w:kern w:val="2"/>
          <w:sz w:val="24"/>
          <w:szCs w:val="24"/>
          <w:lang w:val="en-US" w:eastAsia="zh-CN" w:bidi="ar"/>
        </w:rPr>
        <w:t>质量要求</w:t>
      </w:r>
    </w:p>
    <w:p w14:paraId="71188BDB">
      <w:pPr>
        <w:keepNext w:val="0"/>
        <w:keepLines w:val="0"/>
        <w:widowControl/>
        <w:suppressLineNumbers w:val="0"/>
        <w:spacing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质量要求:乙方提供的货物必须同时符合以下标准，当标准间存在差异时，按排列顺序在前者优先适用：(1)竞争性谈判文件及响应文件明确的技术要求；（2）中华人民共和国国家标准；(2)行业标准；(3)地方标准；(4)货物生产商的产品质量标准；(5)其他标准:(如有请补充，否则请填无)等质量标准，若乙方提供的货物不符合上述约定的，</w:t>
      </w:r>
      <w:r>
        <w:rPr>
          <w:rFonts w:hint="eastAsia" w:ascii="宋体" w:hAnsi="宋体" w:eastAsia="宋体" w:cs="宋体"/>
          <w:color w:val="auto"/>
          <w:kern w:val="2"/>
          <w:sz w:val="24"/>
          <w:szCs w:val="24"/>
          <w:lang w:val="en-US" w:eastAsia="zh-CN" w:bidi="ar"/>
        </w:rPr>
        <w:t>甲方有权作退货处理。</w:t>
      </w:r>
    </w:p>
    <w:p w14:paraId="0D34840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2.技术要求:乙方承诺提供的货物完全符合招投标文件中作出的承诺，否则甲方有权作退货处理。</w:t>
      </w:r>
    </w:p>
    <w:p w14:paraId="529E65C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3.包装及运输要求:乙方提供的货物必须是制造厂商全新的原厂原装产品(含零部件、配件、随机工具、技术文件等)，包装外观完好、表面无划损、破损，无任何缺陷及隐患，且进货渠道合法，在中国境内可依常规安全合法使用。如因包装造成的一切损失(包括但不限于商品损坏、损失、锈蚀、费用增长等)，概由乙方负责赔偿。</w:t>
      </w:r>
    </w:p>
    <w:p w14:paraId="528D5E53">
      <w:pPr>
        <w:keepNext w:val="0"/>
        <w:keepLines w:val="0"/>
        <w:widowControl/>
        <w:suppressLineNumbers w:val="0"/>
        <w:spacing w:line="360" w:lineRule="auto"/>
        <w:ind w:firstLine="480" w:firstLineChars="200"/>
        <w:jc w:val="left"/>
        <w:rPr>
          <w:color w:val="auto"/>
        </w:rPr>
      </w:pPr>
      <w:r>
        <w:rPr>
          <w:rFonts w:hint="eastAsia" w:ascii="宋体" w:hAnsi="宋体" w:eastAsia="宋体" w:cs="宋体"/>
          <w:color w:val="auto"/>
          <w:kern w:val="2"/>
          <w:sz w:val="24"/>
          <w:szCs w:val="24"/>
          <w:lang w:val="en-US" w:eastAsia="zh-CN" w:bidi="ar"/>
        </w:rPr>
        <w:t>4.乙方应免费提供中文的产品正式说明书，场地准备书，使用手册及维护手册等，以及所有有关本合同执行的技术文件（随货同时送达）</w:t>
      </w:r>
      <w:r>
        <w:rPr>
          <w:rFonts w:hint="eastAsia" w:ascii="宋体" w:hAnsi="宋体" w:eastAsia="宋体" w:cs="宋体"/>
          <w:color w:val="auto"/>
          <w:kern w:val="2"/>
          <w:sz w:val="24"/>
          <w:szCs w:val="24"/>
          <w:lang w:val="en-US" w:eastAsia="zh-CN" w:bidi="ar"/>
        </w:rPr>
        <w:t>。如果项目必需但合同又未作规定的，需要乙方才能提供的技术文件，乙方也应在收到甲方通知后五日内</w:t>
      </w:r>
      <w:r>
        <w:rPr>
          <w:rFonts w:hint="eastAsia" w:ascii="宋体" w:hAnsi="宋体" w:eastAsia="宋体" w:cs="宋体"/>
          <w:color w:val="auto"/>
          <w:kern w:val="2"/>
          <w:sz w:val="24"/>
          <w:szCs w:val="24"/>
          <w:lang w:val="en-US" w:eastAsia="zh-CN" w:bidi="ar"/>
        </w:rPr>
        <w:t>及时向甲方提供。逾期未提供的，每逾期一日，乙方应向甲方支付合同总金额千分之二的违约金。</w:t>
      </w:r>
    </w:p>
    <w:p w14:paraId="10C0F59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技术文件可以是手册、图纸或其他形式的文件资料。上述技术文件应包含保证甲方能够正确进行安装、操作、检查、维修、维护、测试、调试、验收和运作的需要的所有内容。</w:t>
      </w:r>
    </w:p>
    <w:p w14:paraId="24B9C439">
      <w:pPr>
        <w:keepNext w:val="0"/>
        <w:keepLines w:val="0"/>
        <w:widowControl w:val="0"/>
        <w:suppressLineNumbers w:val="0"/>
        <w:spacing w:before="0" w:beforeAutospacing="0" w:after="0" w:afterAutospacing="0" w:line="360" w:lineRule="auto"/>
        <w:ind w:left="0" w:right="0"/>
        <w:jc w:val="both"/>
        <w:rPr>
          <w:rFonts w:hint="eastAsia" w:ascii="宋体" w:hAnsi="宋体" w:cs="宋体"/>
          <w:b/>
          <w:bCs w:val="0"/>
          <w:color w:val="auto"/>
          <w:kern w:val="2"/>
          <w:sz w:val="24"/>
          <w:szCs w:val="24"/>
          <w:lang w:val="en-US" w:eastAsia="zh-CN" w:bidi="ar"/>
        </w:rPr>
      </w:pPr>
      <w:r>
        <w:rPr>
          <w:rFonts w:hint="eastAsia" w:ascii="宋体" w:hAnsi="宋体" w:cs="宋体"/>
          <w:b/>
          <w:bCs w:val="0"/>
          <w:color w:val="auto"/>
          <w:kern w:val="2"/>
          <w:sz w:val="24"/>
          <w:szCs w:val="24"/>
          <w:lang w:val="en-US" w:eastAsia="zh-CN" w:bidi="ar"/>
        </w:rPr>
        <w:t>六.货物安装及验收</w:t>
      </w:r>
    </w:p>
    <w:p w14:paraId="6F6A8EE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1.乙方应在签订合同后5天内向甲方提出产品安装、调试应准备的条件。乙方必须在货物测试与验收前，向甲方提供按本合同的技术规格、技术规范的要求进行的测试与验收方案。</w:t>
      </w:r>
    </w:p>
    <w:p w14:paraId="4D06D7C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2.货物交付甲方后，甲乙双方商定日期，双方一起开箱验货，不得单方面开箱，由乙方免费现场安装调试。</w:t>
      </w:r>
    </w:p>
    <w:p w14:paraId="54F8FB7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3.甲方在开箱验货中如发现货物不符合合同的约定，有权拒绝接受货物，经各方确认后，乙方应于5天内重新提供符合合同约定的货物，否则，视为乙方逾期交货。</w:t>
      </w:r>
    </w:p>
    <w:p w14:paraId="48DDEEEA">
      <w:pPr>
        <w:keepNext w:val="0"/>
        <w:keepLines w:val="0"/>
        <w:widowControl w:val="0"/>
        <w:suppressLineNumbers w:val="0"/>
        <w:spacing w:before="0" w:beforeAutospacing="0" w:after="0" w:afterAutospacing="0" w:line="360" w:lineRule="auto"/>
        <w:ind w:left="0" w:right="0" w:firstLine="480" w:firstLineChars="200"/>
        <w:jc w:val="both"/>
        <w:rPr>
          <w:rFonts w:hint="default" w:ascii="宋体" w:hAnsi="宋体" w:eastAsia="宋体" w:cs="宋体"/>
          <w:color w:val="FF0000"/>
          <w:kern w:val="2"/>
          <w:sz w:val="24"/>
          <w:szCs w:val="24"/>
          <w:lang w:val="en-US" w:eastAsia="zh-CN" w:bidi="ar"/>
        </w:rPr>
      </w:pPr>
      <w:r>
        <w:rPr>
          <w:rFonts w:hint="eastAsia" w:ascii="宋体" w:hAnsi="宋体" w:eastAsia="宋体" w:cs="宋体"/>
          <w:color w:val="auto"/>
          <w:kern w:val="2"/>
          <w:sz w:val="24"/>
          <w:szCs w:val="24"/>
          <w:lang w:val="en-US" w:eastAsia="zh-CN" w:bidi="ar"/>
        </w:rPr>
        <w:t>4.乙方应于货到甲方指定交货地点之日起</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天内完成安装调试。货物安装调试完毕且正常运行7天后，乙方应备齐甲方要求提供的验收文件，并提出书面验收申请。甲方将按流程进行验收，并出具采购物资验收报告给乙方。货物验收合格之日为甲方签署采购物资验收报告的日期。如验收不合格，乙方应当按甲方要求整改。整改期间不抵扣工期。</w:t>
      </w:r>
    </w:p>
    <w:p w14:paraId="5C58D7A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5.货物验收标准:</w:t>
      </w:r>
      <w:bookmarkStart w:id="0" w:name="_GoBack"/>
      <w:r>
        <w:rPr>
          <w:rFonts w:hint="eastAsia" w:ascii="宋体" w:hAnsi="宋体" w:eastAsia="宋体" w:cs="宋体"/>
          <w:color w:val="auto"/>
          <w:kern w:val="2"/>
          <w:sz w:val="24"/>
          <w:szCs w:val="24"/>
          <w:lang w:val="en-US" w:eastAsia="zh-CN" w:bidi="ar"/>
        </w:rPr>
        <w:t>以竞争性谈判文件、响应文件和合同项下所述的标准和要求进行验收，如竞争性谈判文件、响应文件与合同的标准和要求有冲突的，以竞争性谈判文件、响应文件为准。</w:t>
      </w:r>
    </w:p>
    <w:bookmarkEnd w:id="0"/>
    <w:p w14:paraId="47B7361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lang w:val="en-US" w:eastAsia="zh-CN" w:bidi="ar"/>
        </w:rPr>
      </w:pPr>
      <w:r>
        <w:rPr>
          <w:rFonts w:hint="eastAsia" w:ascii="宋体" w:hAnsi="宋体" w:eastAsia="宋体" w:cs="宋体"/>
          <w:b/>
          <w:bCs w:val="0"/>
          <w:color w:val="auto"/>
          <w:kern w:val="2"/>
          <w:sz w:val="24"/>
          <w:szCs w:val="24"/>
          <w:lang w:val="en-US" w:eastAsia="zh-CN" w:bidi="ar"/>
        </w:rPr>
        <w:t>七.质保期</w:t>
      </w:r>
    </w:p>
    <w:p w14:paraId="508F9CD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bCs w:val="0"/>
          <w:color w:val="auto"/>
          <w:kern w:val="2"/>
          <w:sz w:val="24"/>
          <w:szCs w:val="24"/>
          <w:lang w:val="en-US" w:eastAsia="zh-CN" w:bidi="ar"/>
        </w:rPr>
      </w:pPr>
      <w:r>
        <w:rPr>
          <w:rFonts w:hint="eastAsia" w:ascii="宋体" w:hAnsi="宋体" w:eastAsia="宋体" w:cs="宋体"/>
          <w:b w:val="0"/>
          <w:bCs w:val="0"/>
          <w:color w:val="auto"/>
          <w:kern w:val="2"/>
          <w:sz w:val="24"/>
          <w:szCs w:val="24"/>
          <w:lang w:val="en-US" w:eastAsia="zh-CN" w:bidi="ar"/>
        </w:rPr>
        <w:t>乙方提供的货物质保期自货物验收合格之日起计算，质保期为</w:t>
      </w:r>
      <w:r>
        <w:rPr>
          <w:rFonts w:hint="eastAsia" w:ascii="宋体" w:hAnsi="宋体" w:eastAsia="宋体" w:cs="宋体"/>
          <w:b w:val="0"/>
          <w:bCs w:val="0"/>
          <w:color w:val="auto"/>
          <w:kern w:val="2"/>
          <w:sz w:val="24"/>
          <w:szCs w:val="24"/>
          <w:u w:val="single"/>
          <w:lang w:val="en-US" w:eastAsia="zh-CN" w:bidi="ar"/>
        </w:rPr>
        <w:t xml:space="preserve">   </w:t>
      </w:r>
      <w:r>
        <w:rPr>
          <w:rFonts w:hint="eastAsia" w:ascii="宋体" w:hAnsi="宋体" w:eastAsia="宋体" w:cs="宋体"/>
          <w:b w:val="0"/>
          <w:bCs w:val="0"/>
          <w:color w:val="auto"/>
          <w:kern w:val="2"/>
          <w:sz w:val="24"/>
          <w:szCs w:val="24"/>
          <w:lang w:val="en-US" w:eastAsia="zh-CN" w:bidi="ar"/>
        </w:rPr>
        <w:t>年。在质保期内，乙方应免费提供货物维修、更换等服务，确保货物正常运行。</w:t>
      </w:r>
    </w:p>
    <w:p w14:paraId="6514A87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lang w:val="en-US" w:eastAsia="zh-CN" w:bidi="ar"/>
        </w:rPr>
        <w:t>八.技术服务承诺</w:t>
      </w:r>
    </w:p>
    <w:p w14:paraId="26E749B3">
      <w:pPr>
        <w:pStyle w:val="4"/>
        <w:widowControl/>
        <w:spacing w:line="360" w:lineRule="auto"/>
        <w:ind w:left="0" w:leftChars="0" w:firstLine="480" w:firstLineChars="20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lang w:val="en-US" w:eastAsia="zh-CN"/>
        </w:rPr>
        <w:t>.</w:t>
      </w:r>
      <w:r>
        <w:rPr>
          <w:rFonts w:hint="eastAsia" w:ascii="宋体" w:hAnsi="宋体" w:eastAsia="宋体" w:cs="宋体"/>
          <w:color w:val="auto"/>
          <w:kern w:val="2"/>
          <w:sz w:val="24"/>
          <w:szCs w:val="24"/>
        </w:rPr>
        <w:t>乙方负责提供货物相应的技术资料，包括产品合格证、产品保修单、安装使用及维护说明书以及运输装箱清单等。</w:t>
      </w:r>
    </w:p>
    <w:p w14:paraId="41302B48">
      <w:pPr>
        <w:keepNext w:val="0"/>
        <w:keepLines w:val="0"/>
        <w:widowControl/>
        <w:suppressLineNumbers w:val="0"/>
        <w:spacing w:line="360" w:lineRule="auto"/>
        <w:ind w:firstLine="480" w:firstLineChars="200"/>
        <w:jc w:val="left"/>
        <w:rPr>
          <w:color w:val="auto"/>
          <w:highlight w:val="none"/>
        </w:rPr>
      </w:pPr>
      <w:r>
        <w:rPr>
          <w:rFonts w:hint="eastAsia" w:ascii="宋体" w:hAnsi="宋体" w:eastAsia="宋体" w:cs="宋体"/>
          <w:color w:val="auto"/>
          <w:kern w:val="2"/>
          <w:sz w:val="24"/>
          <w:szCs w:val="24"/>
          <w:lang w:val="en-US" w:eastAsia="zh-CN" w:bidi="ar"/>
        </w:rPr>
        <w:t>2.售后服务：若货物在质保期内出现质量问题，乙方应在接到甲方通知后的</w:t>
      </w:r>
      <w:r>
        <w:rPr>
          <w:rFonts w:hint="eastAsia" w:ascii="宋体" w:hAnsi="宋体" w:eastAsia="宋体" w:cs="宋体"/>
          <w:color w:val="auto"/>
          <w:kern w:val="2"/>
          <w:sz w:val="24"/>
          <w:szCs w:val="24"/>
          <w:highlight w:val="none"/>
          <w:lang w:val="en-US" w:eastAsia="zh-CN" w:bidi="ar"/>
        </w:rPr>
        <w:t>2</w:t>
      </w:r>
      <w:r>
        <w:rPr>
          <w:rFonts w:hint="eastAsia" w:ascii="宋体" w:hAnsi="宋体" w:eastAsia="宋体" w:cs="宋体"/>
          <w:color w:val="auto"/>
          <w:kern w:val="2"/>
          <w:sz w:val="24"/>
          <w:szCs w:val="24"/>
          <w:lang w:val="en-US" w:eastAsia="zh-CN" w:bidi="ar"/>
        </w:rPr>
        <w:t>小时内做出响应（提供解决方案）</w:t>
      </w:r>
      <w:r>
        <w:rPr>
          <w:rFonts w:hint="eastAsia" w:ascii="宋体" w:hAnsi="宋体" w:eastAsia="宋体" w:cs="宋体"/>
          <w:color w:val="auto"/>
          <w:kern w:val="2"/>
          <w:sz w:val="24"/>
          <w:szCs w:val="24"/>
          <w:lang w:val="en-US" w:eastAsia="zh-CN" w:bidi="ar"/>
        </w:rPr>
        <w:t>，12小</w:t>
      </w:r>
      <w:r>
        <w:rPr>
          <w:rFonts w:hint="eastAsia" w:ascii="宋体" w:hAnsi="宋体" w:eastAsia="宋体" w:cs="宋体"/>
          <w:color w:val="auto"/>
          <w:kern w:val="2"/>
          <w:sz w:val="24"/>
          <w:szCs w:val="24"/>
          <w:lang w:val="en-US" w:eastAsia="zh-CN" w:bidi="ar"/>
        </w:rPr>
        <w:t>时内到达现场(包含节假日）进行维修处理。如乙方未能及时响应或处理问题，甲方有权自行或委托第三方进行维修，相关（所产生的所有）费用由乙方承担。甲方有权从应付乙方的任何款项中直接抵扣或向乙方追偿。</w:t>
      </w:r>
    </w:p>
    <w:p w14:paraId="2EA1AB8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lang w:val="en-US" w:eastAsia="zh-CN" w:bidi="ar"/>
        </w:rPr>
      </w:pPr>
      <w:r>
        <w:rPr>
          <w:rFonts w:hint="eastAsia" w:ascii="宋体" w:hAnsi="宋体" w:eastAsia="宋体" w:cs="宋体"/>
          <w:color w:val="auto"/>
          <w:kern w:val="2"/>
          <w:sz w:val="24"/>
          <w:szCs w:val="24"/>
          <w:lang w:val="en-US" w:eastAsia="zh-CN" w:bidi="ar"/>
        </w:rPr>
        <w:t>质保期满后，乙方仍应提供终身维护服务，只收取合理的维修</w:t>
      </w:r>
      <w:r>
        <w:rPr>
          <w:rFonts w:hint="eastAsia" w:ascii="宋体" w:hAnsi="宋体" w:eastAsia="宋体" w:cs="宋体"/>
          <w:color w:val="auto"/>
          <w:kern w:val="2"/>
          <w:sz w:val="24"/>
          <w:szCs w:val="24"/>
          <w:lang w:val="en-US" w:eastAsia="zh-CN" w:bidi="ar"/>
        </w:rPr>
        <w:t>成本费用。</w:t>
      </w:r>
    </w:p>
    <w:p w14:paraId="2495AA1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lang w:val="en-US" w:eastAsia="zh-CN" w:bidi="ar"/>
        </w:rPr>
      </w:pPr>
      <w:r>
        <w:rPr>
          <w:rFonts w:hint="eastAsia" w:ascii="宋体" w:hAnsi="宋体" w:eastAsia="宋体" w:cs="宋体"/>
          <w:b/>
          <w:bCs w:val="0"/>
          <w:color w:val="auto"/>
          <w:kern w:val="2"/>
          <w:sz w:val="24"/>
          <w:szCs w:val="24"/>
          <w:lang w:val="en-US" w:eastAsia="zh-CN" w:bidi="ar"/>
        </w:rPr>
        <w:t>九.合同款项支付方式</w:t>
      </w:r>
    </w:p>
    <w:p w14:paraId="52222ECE">
      <w:pPr>
        <w:keepNext w:val="0"/>
        <w:keepLines w:val="0"/>
        <w:widowControl w:val="0"/>
        <w:suppressLineNumbers w:val="0"/>
        <w:spacing w:before="0" w:beforeAutospacing="0" w:after="0" w:afterAutospacing="0" w:line="360" w:lineRule="auto"/>
        <w:ind w:left="0" w:right="0" w:firstLine="482" w:firstLineChars="200"/>
        <w:jc w:val="both"/>
        <w:rPr>
          <w:rFonts w:hint="default"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lang w:val="en-US" w:eastAsia="zh-CN" w:bidi="ar"/>
        </w:rPr>
        <w:t>1.所有货物交货完成，验收合格，达到付款条件起30日内，支付合</w:t>
      </w:r>
      <w:r>
        <w:rPr>
          <w:rFonts w:hint="eastAsia" w:ascii="宋体" w:hAnsi="宋体" w:eastAsia="宋体" w:cs="宋体"/>
          <w:b/>
          <w:bCs w:val="0"/>
          <w:color w:val="auto"/>
          <w:kern w:val="2"/>
          <w:sz w:val="24"/>
          <w:szCs w:val="24"/>
          <w:highlight w:val="none"/>
          <w:lang w:val="en-US" w:eastAsia="zh-CN" w:bidi="ar"/>
        </w:rPr>
        <w:t>同总金额的100.00%。</w:t>
      </w:r>
    </w:p>
    <w:p w14:paraId="327517D6">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green"/>
        </w:rPr>
      </w:pPr>
      <w:r>
        <w:rPr>
          <w:rFonts w:hint="eastAsia" w:ascii="宋体" w:hAnsi="宋体" w:eastAsia="宋体" w:cs="宋体"/>
          <w:color w:val="auto"/>
          <w:kern w:val="2"/>
          <w:sz w:val="24"/>
          <w:szCs w:val="24"/>
          <w:lang w:val="en-US" w:eastAsia="zh-CN" w:bidi="ar"/>
        </w:rPr>
        <w:t>2.甲方付款前，乙方应按照甲方要求提交正规发票。</w:t>
      </w:r>
    </w:p>
    <w:p w14:paraId="31540EA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lang w:val="en-US" w:eastAsia="zh-CN" w:bidi="ar"/>
        </w:rPr>
      </w:pPr>
      <w:r>
        <w:rPr>
          <w:rFonts w:hint="eastAsia" w:ascii="宋体" w:hAnsi="宋体" w:cs="宋体"/>
          <w:b/>
          <w:bCs w:val="0"/>
          <w:color w:val="auto"/>
          <w:kern w:val="2"/>
          <w:sz w:val="24"/>
          <w:szCs w:val="24"/>
          <w:lang w:val="en-US" w:eastAsia="zh-CN" w:bidi="ar"/>
        </w:rPr>
        <w:t>十.</w:t>
      </w:r>
      <w:r>
        <w:rPr>
          <w:rFonts w:hint="eastAsia" w:ascii="宋体" w:hAnsi="宋体" w:eastAsia="宋体" w:cs="宋体"/>
          <w:b/>
          <w:bCs w:val="0"/>
          <w:color w:val="auto"/>
          <w:kern w:val="2"/>
          <w:sz w:val="24"/>
          <w:szCs w:val="24"/>
          <w:lang w:val="en-US" w:eastAsia="zh-CN" w:bidi="ar"/>
        </w:rPr>
        <w:t>甲方权利义务</w:t>
      </w:r>
    </w:p>
    <w:p w14:paraId="4C31283B">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1.甲方有权对乙方提供的货物进行检验和验收，如发现货物不符合合同约定，有权要求乙方更换或处理。</w:t>
      </w:r>
    </w:p>
    <w:p w14:paraId="37D9974A">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2.甲方应按照合同约定的付款方式和时间向乙方支付合同款项。</w:t>
      </w:r>
    </w:p>
    <w:p w14:paraId="45A4D350">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3.甲方有义务为乙方提供必要的协助，如提供安装场地、配合调试等。</w:t>
      </w:r>
    </w:p>
    <w:p w14:paraId="44B70929">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4.甲方不得随意变更合同内容，如需变更，应与乙方协商一致并签订书面变更协议。</w:t>
      </w:r>
    </w:p>
    <w:p w14:paraId="7079557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lang w:val="en-US" w:eastAsia="zh-CN" w:bidi="ar"/>
        </w:rPr>
      </w:pPr>
      <w:r>
        <w:rPr>
          <w:rFonts w:hint="eastAsia" w:ascii="宋体" w:hAnsi="宋体" w:eastAsia="宋体" w:cs="宋体"/>
          <w:b/>
          <w:bCs w:val="0"/>
          <w:color w:val="auto"/>
          <w:kern w:val="2"/>
          <w:sz w:val="24"/>
          <w:szCs w:val="24"/>
          <w:lang w:val="en-US" w:eastAsia="zh-CN" w:bidi="ar"/>
        </w:rPr>
        <w:t>十一.乙方权利义务</w:t>
      </w:r>
    </w:p>
    <w:p w14:paraId="10E58FC7">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1.乙方应按照合同约定的时间和质量要求向甲方提供货物，并确保货物符合相关标准和规定。</w:t>
      </w:r>
    </w:p>
    <w:p w14:paraId="55C31610">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2.乙方有义务对所提供的货物进行安装和调试，直至货物正常运行，并向甲方提供必要的技术培训。</w:t>
      </w:r>
    </w:p>
    <w:p w14:paraId="379FDD35">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3.乙方在质保期内，应免费提供维修、更换等售后服务，确保货物的正常使用。</w:t>
      </w:r>
    </w:p>
    <w:p w14:paraId="47FDA0E5">
      <w:pPr>
        <w:keepNext w:val="0"/>
        <w:keepLines w:val="0"/>
        <w:widowControl w:val="0"/>
        <w:suppressLineNumbers w:val="0"/>
        <w:spacing w:before="0" w:beforeAutospacing="0" w:after="0" w:afterAutospacing="0" w:line="360" w:lineRule="auto"/>
        <w:ind w:left="0" w:right="0" w:firstLine="470" w:firstLineChars="196"/>
        <w:jc w:val="both"/>
        <w:rPr>
          <w:rFonts w:hint="default" w:ascii="宋体" w:hAnsi="宋体" w:eastAsia="宋体" w:cs="宋体"/>
          <w:b/>
          <w:bCs w:val="0"/>
          <w:color w:val="auto"/>
          <w:kern w:val="2"/>
          <w:sz w:val="24"/>
          <w:szCs w:val="24"/>
          <w:u w:val="none"/>
          <w:shd w:val="clear" w:fill="E6F0FF"/>
          <w:lang w:val="en-US" w:eastAsia="zh-CN" w:bidi="ar"/>
        </w:rPr>
      </w:pPr>
      <w:r>
        <w:rPr>
          <w:rFonts w:hint="eastAsia" w:ascii="宋体" w:hAnsi="宋体" w:eastAsia="宋体" w:cs="宋体"/>
          <w:color w:val="auto"/>
          <w:kern w:val="2"/>
          <w:sz w:val="24"/>
          <w:szCs w:val="24"/>
          <w:lang w:val="en-US" w:eastAsia="zh-CN" w:bidi="ar"/>
        </w:rPr>
        <w:t>4.乙方不得擅自变更合同内容，如需变更，应与甲方协商一致并签订书面变更协议。</w:t>
      </w:r>
    </w:p>
    <w:p w14:paraId="79516A8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lang w:val="en-US" w:eastAsia="zh-CN" w:bidi="ar"/>
        </w:rPr>
        <w:t>十二.违约责任</w:t>
      </w:r>
    </w:p>
    <w:p w14:paraId="15BE285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1.按《中华人民共和国民法典》中的相关条款和本合同的约定执行。</w:t>
      </w:r>
    </w:p>
    <w:p w14:paraId="13DD5292">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2.未按合同或</w:t>
      </w:r>
      <w:r>
        <w:rPr>
          <w:rFonts w:hint="eastAsia" w:ascii="宋体" w:hAnsi="宋体" w:eastAsia="宋体" w:cs="宋体"/>
          <w:color w:val="auto"/>
          <w:kern w:val="2"/>
          <w:sz w:val="24"/>
          <w:szCs w:val="24"/>
          <w:lang w:val="en-US" w:eastAsia="zh-CN"/>
        </w:rPr>
        <w:t>谈判</w:t>
      </w:r>
      <w:r>
        <w:rPr>
          <w:rFonts w:hint="eastAsia" w:ascii="宋体" w:hAnsi="宋体" w:eastAsia="宋体" w:cs="宋体"/>
          <w:color w:val="auto"/>
          <w:kern w:val="2"/>
          <w:sz w:val="24"/>
          <w:szCs w:val="24"/>
        </w:rPr>
        <w:t>文件要求提供服务质量不能满足采购人技术要求，采购人有权终止合同，甚至对供应商违约行为进行追究。</w:t>
      </w:r>
    </w:p>
    <w:p w14:paraId="7546907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3.若乙方未按合同约定的期限交付货物，每逾期一日，应向甲方支付合同总额千分之三的违约金；逾期超过15日的，甲方有权单方解除合同。若乙方未在合同约定的期限内完成安装调试，每逾期一日，应向甲方支付合同总额千分之三的违约金；逾期超过15日的，甲方有权单方解除合同并要求乙方承担违约责任。甲方书面解除通知送达乙方时合同终止。</w:t>
      </w:r>
    </w:p>
    <w:p w14:paraId="72149B5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4、乙方交付的货物或提供的服务质量不能满足合同约定或招投标文件要求的，甲方有权要求乙方在限期内采取更换、修理等补救措施；乙方逾期未采取补救措施或补救后仍不符合要求的，视为根本违约，甲方有权终止合同并要求乙方承担违约责任。甲方书面解除通知送达乙方时合同终止。</w:t>
      </w:r>
    </w:p>
    <w:p w14:paraId="16635A8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5、若因乙方违约导致合同解除的，乙方除按合同总金额20%支付违约金外，还应赔偿甲方因此遭受的全部损失（包括但不限于直接损失、间接损失、律师费、诉讼费等）。</w:t>
      </w:r>
    </w:p>
    <w:p w14:paraId="3F14CB7F">
      <w:pPr>
        <w:keepNext w:val="0"/>
        <w:keepLines w:val="0"/>
        <w:widowControl w:val="0"/>
        <w:suppressLineNumbers w:val="0"/>
        <w:spacing w:before="0" w:beforeAutospacing="0" w:after="0" w:afterAutospacing="0" w:line="360" w:lineRule="auto"/>
        <w:ind w:left="0" w:right="0"/>
        <w:jc w:val="both"/>
        <w:rPr>
          <w:rFonts w:hint="eastAsia" w:ascii="宋体" w:hAnsi="宋体" w:cs="宋体"/>
          <w:b/>
          <w:bCs w:val="0"/>
          <w:color w:val="auto"/>
          <w:kern w:val="2"/>
          <w:sz w:val="24"/>
          <w:szCs w:val="24"/>
          <w:lang w:val="en-US" w:eastAsia="zh-CN" w:bidi="ar"/>
        </w:rPr>
      </w:pPr>
      <w:r>
        <w:rPr>
          <w:rFonts w:hint="eastAsia" w:ascii="宋体" w:hAnsi="宋体" w:cs="宋体"/>
          <w:b/>
          <w:bCs w:val="0"/>
          <w:color w:val="auto"/>
          <w:kern w:val="2"/>
          <w:sz w:val="24"/>
          <w:szCs w:val="24"/>
          <w:lang w:val="en-US" w:eastAsia="zh-CN" w:bidi="ar"/>
        </w:rPr>
        <w:t>十三、不可抗力</w:t>
      </w:r>
    </w:p>
    <w:p w14:paraId="592B131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cs="宋体"/>
          <w:b/>
          <w:bCs w:val="0"/>
          <w:color w:val="auto"/>
          <w:kern w:val="2"/>
          <w:sz w:val="24"/>
          <w:szCs w:val="24"/>
          <w:lang w:val="en-US" w:eastAsia="zh-CN" w:bidi="ar"/>
        </w:rPr>
      </w:pPr>
      <w:r>
        <w:rPr>
          <w:rFonts w:hint="eastAsia" w:ascii="宋体" w:hAnsi="宋体" w:cs="宋体" w:eastAsiaTheme="minorEastAsia"/>
          <w:b w:val="0"/>
          <w:bCs/>
          <w:color w:val="auto"/>
          <w:kern w:val="2"/>
          <w:sz w:val="24"/>
          <w:szCs w:val="24"/>
          <w:lang w:val="en-US" w:eastAsia="zh-CN" w:bidi="ar"/>
        </w:rPr>
        <w:t>若因不可抗力事件，如自然灾害、战争、政府行为等不可预见、不可避免且不可克服的情况发生，导致合同一方或双方无法履行合同义务，受影响的一方应及时通知对方，并在合理期限内提供相关证明文件。在此情况下，双方互不承担违约责任，但应积极采取措施减少损失。若不可抗力事件导致合同无法继续履行，双方可协商解除合同，且互不承担解除合同的赔偿责任。若合同部分无法履行，双方应根据实际情况协商对合同进行变更或调整，以继续履行可能的部分。</w:t>
      </w:r>
    </w:p>
    <w:p w14:paraId="46A3F402">
      <w:pPr>
        <w:keepNext w:val="0"/>
        <w:keepLines w:val="0"/>
        <w:widowControl w:val="0"/>
        <w:numPr>
          <w:ilvl w:val="0"/>
          <w:numId w:val="0"/>
        </w:numPr>
        <w:suppressLineNumbers w:val="0"/>
        <w:spacing w:before="0" w:beforeAutospacing="0" w:after="0" w:afterAutospacing="0" w:line="360" w:lineRule="auto"/>
        <w:ind w:left="0" w:leftChars="0" w:right="0" w:rightChars="0"/>
        <w:jc w:val="both"/>
        <w:rPr>
          <w:rFonts w:hint="eastAsia" w:ascii="宋体" w:hAnsi="宋体" w:cs="宋体"/>
          <w:b/>
          <w:bCs w:val="0"/>
          <w:color w:val="auto"/>
          <w:kern w:val="2"/>
          <w:sz w:val="24"/>
          <w:szCs w:val="24"/>
          <w:lang w:val="en-US" w:eastAsia="zh-CN" w:bidi="ar"/>
        </w:rPr>
      </w:pPr>
      <w:r>
        <w:rPr>
          <w:rFonts w:hint="eastAsia" w:ascii="宋体" w:hAnsi="宋体" w:cs="宋体" w:eastAsiaTheme="minorEastAsia"/>
          <w:b/>
          <w:bCs w:val="0"/>
          <w:color w:val="auto"/>
          <w:kern w:val="2"/>
          <w:sz w:val="24"/>
          <w:szCs w:val="24"/>
          <w:lang w:val="en-US" w:eastAsia="zh-CN" w:bidi="ar"/>
        </w:rPr>
        <w:t>十</w:t>
      </w:r>
      <w:r>
        <w:rPr>
          <w:rFonts w:hint="eastAsia" w:ascii="宋体" w:hAnsi="宋体" w:cs="宋体"/>
          <w:b/>
          <w:bCs w:val="0"/>
          <w:color w:val="auto"/>
          <w:kern w:val="2"/>
          <w:sz w:val="24"/>
          <w:szCs w:val="24"/>
          <w:lang w:val="en-US" w:eastAsia="zh-CN" w:bidi="ar"/>
        </w:rPr>
        <w:t>四.争议解决方式</w:t>
      </w:r>
    </w:p>
    <w:p w14:paraId="086E7983">
      <w:pPr>
        <w:keepNext w:val="0"/>
        <w:keepLines w:val="0"/>
        <w:widowControl w:val="0"/>
        <w:numPr>
          <w:ilvl w:val="-1"/>
          <w:numId w:val="0"/>
        </w:numPr>
        <w:suppressLineNumbers w:val="0"/>
        <w:spacing w:before="0" w:beforeAutospacing="0" w:after="0" w:afterAutospacing="0" w:line="360" w:lineRule="auto"/>
        <w:ind w:left="0" w:right="0" w:firstLine="480" w:firstLineChars="200"/>
        <w:jc w:val="both"/>
        <w:rPr>
          <w:rFonts w:hint="eastAsia" w:ascii="宋体" w:hAnsi="宋体" w:cs="宋体"/>
          <w:b/>
          <w:bCs w:val="0"/>
          <w:color w:val="auto"/>
          <w:kern w:val="2"/>
          <w:sz w:val="24"/>
          <w:szCs w:val="24"/>
          <w:lang w:val="en-US" w:eastAsia="zh-CN" w:bidi="ar"/>
        </w:rPr>
      </w:pPr>
      <w:r>
        <w:rPr>
          <w:rFonts w:hint="eastAsia" w:ascii="宋体" w:hAnsi="宋体" w:cs="宋体"/>
          <w:b w:val="0"/>
          <w:bCs/>
          <w:color w:val="auto"/>
          <w:kern w:val="2"/>
          <w:sz w:val="24"/>
          <w:szCs w:val="24"/>
          <w:lang w:val="en-US" w:eastAsia="zh-CN" w:bidi="ar"/>
        </w:rPr>
        <w:t>若双方在本合同履行过程中发生争议，应首先通过友好协商解决。协商不成的，任何一方均有权向甲方所在地的人民法院提起诉讼。在争议解决期间，除争议事项外，双方应继续履行本合同约定的其他义务，以保证合同的正常履行。</w:t>
      </w:r>
    </w:p>
    <w:p w14:paraId="05CA4D4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rPr>
      </w:pPr>
      <w:r>
        <w:rPr>
          <w:rFonts w:hint="eastAsia" w:ascii="宋体" w:hAnsi="宋体" w:cs="宋体"/>
          <w:b/>
          <w:bCs w:val="0"/>
          <w:color w:val="auto"/>
          <w:kern w:val="2"/>
          <w:sz w:val="24"/>
          <w:szCs w:val="24"/>
          <w:lang w:val="en-US" w:eastAsia="zh-CN" w:bidi="ar"/>
        </w:rPr>
        <w:t>十五.</w:t>
      </w:r>
      <w:r>
        <w:rPr>
          <w:rFonts w:hint="eastAsia" w:ascii="宋体" w:hAnsi="宋体" w:eastAsia="宋体" w:cs="宋体"/>
          <w:b/>
          <w:bCs w:val="0"/>
          <w:color w:val="auto"/>
          <w:kern w:val="2"/>
          <w:sz w:val="24"/>
          <w:szCs w:val="24"/>
          <w:lang w:val="en-US" w:eastAsia="zh-CN" w:bidi="ar"/>
        </w:rPr>
        <w:t>其他事项</w:t>
      </w:r>
    </w:p>
    <w:p w14:paraId="014E28B5">
      <w:pPr>
        <w:keepNext w:val="0"/>
        <w:keepLines w:val="0"/>
        <w:widowControl w:val="0"/>
        <w:suppressLineNumbers w:val="0"/>
        <w:spacing w:before="0" w:beforeAutospacing="0" w:after="0" w:afterAutospacing="0" w:line="360" w:lineRule="auto"/>
        <w:ind w:left="479" w:leftChars="228" w:right="0" w:firstLine="0" w:firstLineChars="0"/>
        <w:jc w:val="both"/>
        <w:rPr>
          <w:rFonts w:hint="eastAsia" w:ascii="宋体" w:hAnsi="宋体" w:cs="宋体"/>
          <w:color w:val="auto"/>
          <w:kern w:val="2"/>
          <w:sz w:val="24"/>
          <w:szCs w:val="24"/>
          <w:u w:val="single"/>
          <w:lang w:val="en-US" w:eastAsia="zh-CN" w:bidi="ar"/>
        </w:rPr>
      </w:pPr>
      <w:r>
        <w:rPr>
          <w:rFonts w:hint="eastAsia" w:ascii="宋体" w:hAnsi="宋体" w:eastAsia="宋体" w:cs="宋体"/>
          <w:color w:val="auto"/>
          <w:kern w:val="2"/>
          <w:sz w:val="24"/>
          <w:szCs w:val="24"/>
          <w:lang w:val="en-US" w:eastAsia="zh-CN" w:bidi="ar"/>
        </w:rPr>
        <w:t>1.合同经双方签字盖章后生效。本合同一式肆份，甲方执</w:t>
      </w:r>
      <w:r>
        <w:rPr>
          <w:rFonts w:hint="eastAsia" w:ascii="宋体" w:hAnsi="宋体" w:cs="宋体"/>
          <w:color w:val="auto"/>
          <w:kern w:val="2"/>
          <w:sz w:val="24"/>
          <w:szCs w:val="24"/>
          <w:u w:val="single"/>
          <w:lang w:val="en-US" w:eastAsia="zh-CN" w:bidi="ar"/>
        </w:rPr>
        <w:t xml:space="preserve"> 贰 </w:t>
      </w:r>
      <w:r>
        <w:rPr>
          <w:rFonts w:hint="eastAsia" w:ascii="宋体" w:hAnsi="宋体" w:eastAsia="宋体" w:cs="宋体"/>
          <w:color w:val="auto"/>
          <w:kern w:val="2"/>
          <w:sz w:val="24"/>
          <w:szCs w:val="24"/>
          <w:lang w:val="en-US" w:eastAsia="zh-CN" w:bidi="ar"/>
        </w:rPr>
        <w:t>份，乙方</w:t>
      </w:r>
      <w:r>
        <w:rPr>
          <w:rFonts w:hint="eastAsia" w:ascii="宋体" w:hAnsi="宋体" w:cs="宋体"/>
          <w:color w:val="auto"/>
          <w:kern w:val="2"/>
          <w:sz w:val="24"/>
          <w:szCs w:val="24"/>
          <w:u w:val="single"/>
          <w:lang w:val="en-US" w:eastAsia="zh-CN" w:bidi="ar"/>
        </w:rPr>
        <w:t xml:space="preserve"> 贰 </w:t>
      </w:r>
    </w:p>
    <w:p w14:paraId="4FD51601">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份，执行完毕后自行失效。</w:t>
      </w:r>
    </w:p>
    <w:p w14:paraId="34F3BFDF">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2.下述文件为本合同的有效组成</w:t>
      </w:r>
      <w:r>
        <w:rPr>
          <w:rFonts w:hint="eastAsia" w:ascii="宋体" w:hAnsi="宋体" w:eastAsia="宋体" w:cs="宋体"/>
          <w:color w:val="auto"/>
          <w:kern w:val="2"/>
          <w:sz w:val="24"/>
          <w:szCs w:val="24"/>
          <w:lang w:val="en-US" w:eastAsia="zh-CN" w:bidi="ar"/>
        </w:rPr>
        <w:t>部分，并与本合同一起阅读和解释，且具有同等法律效力，若内容存在不一致或矛盾之处，应按以下顺序解释和适用，效力在前的优先：</w:t>
      </w:r>
    </w:p>
    <w:p w14:paraId="30A111D7">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①本合同正文及其</w:t>
      </w:r>
      <w:r>
        <w:rPr>
          <w:rFonts w:hint="eastAsia" w:ascii="宋体" w:hAnsi="宋体" w:eastAsia="宋体" w:cs="宋体"/>
          <w:color w:val="auto"/>
          <w:kern w:val="2"/>
          <w:sz w:val="24"/>
          <w:szCs w:val="24"/>
          <w:lang w:val="en-US" w:eastAsia="zh-CN" w:bidi="ar"/>
        </w:rPr>
        <w:t>合同附件1：产品功能要求、技术规格及配置详单；</w:t>
      </w:r>
    </w:p>
    <w:p w14:paraId="52D7E4B9">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②合同附件2：补充条款（如果有）；</w:t>
      </w:r>
    </w:p>
    <w:p w14:paraId="498E083B">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③</w:t>
      </w:r>
      <w:r>
        <w:rPr>
          <w:rFonts w:hint="eastAsia" w:ascii="宋体" w:hAnsi="宋体" w:cs="宋体"/>
          <w:color w:val="auto"/>
          <w:kern w:val="2"/>
          <w:sz w:val="24"/>
          <w:szCs w:val="24"/>
          <w:lang w:val="en-US" w:eastAsia="zh-CN" w:bidi="ar"/>
        </w:rPr>
        <w:t>竞争性谈判</w:t>
      </w:r>
      <w:r>
        <w:rPr>
          <w:rFonts w:hint="eastAsia" w:ascii="宋体" w:hAnsi="宋体" w:eastAsia="宋体" w:cs="宋体"/>
          <w:color w:val="auto"/>
          <w:kern w:val="2"/>
          <w:sz w:val="24"/>
          <w:szCs w:val="24"/>
          <w:lang w:val="en-US" w:eastAsia="zh-CN" w:bidi="ar"/>
        </w:rPr>
        <w:t>文件；</w:t>
      </w:r>
    </w:p>
    <w:p w14:paraId="5C84D6AD">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④</w:t>
      </w:r>
      <w:r>
        <w:rPr>
          <w:rFonts w:hint="eastAsia" w:ascii="宋体" w:hAnsi="宋体" w:cs="宋体"/>
          <w:color w:val="auto"/>
          <w:kern w:val="2"/>
          <w:sz w:val="24"/>
          <w:szCs w:val="24"/>
          <w:lang w:val="en-US" w:eastAsia="zh-CN" w:bidi="ar"/>
        </w:rPr>
        <w:t>响应</w:t>
      </w:r>
      <w:r>
        <w:rPr>
          <w:rFonts w:hint="eastAsia" w:ascii="宋体" w:hAnsi="宋体" w:eastAsia="宋体" w:cs="宋体"/>
          <w:color w:val="auto"/>
          <w:kern w:val="2"/>
          <w:sz w:val="24"/>
          <w:szCs w:val="24"/>
          <w:lang w:val="en-US" w:eastAsia="zh-CN" w:bidi="ar"/>
        </w:rPr>
        <w:t>文件；</w:t>
      </w:r>
    </w:p>
    <w:p w14:paraId="42C2D480">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⑤</w:t>
      </w:r>
      <w:r>
        <w:rPr>
          <w:rFonts w:hint="eastAsia" w:ascii="宋体" w:hAnsi="宋体" w:eastAsia="宋体" w:cs="宋体"/>
          <w:color w:val="auto"/>
          <w:kern w:val="2"/>
          <w:sz w:val="24"/>
          <w:szCs w:val="24"/>
          <w:lang w:val="en-US" w:eastAsia="zh-CN" w:bidi="ar"/>
        </w:rPr>
        <w:t>合同附件3：澄清函及最终报价和承诺（如果有）；</w:t>
      </w:r>
    </w:p>
    <w:p w14:paraId="1EB428BC">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⑥</w:t>
      </w:r>
      <w:r>
        <w:rPr>
          <w:rFonts w:hint="eastAsia" w:ascii="宋体" w:hAnsi="宋体" w:cs="宋体"/>
          <w:color w:val="auto"/>
          <w:kern w:val="2"/>
          <w:sz w:val="24"/>
          <w:szCs w:val="24"/>
          <w:lang w:val="en-US" w:eastAsia="zh-CN" w:bidi="ar"/>
        </w:rPr>
        <w:t>成交</w:t>
      </w:r>
      <w:r>
        <w:rPr>
          <w:rFonts w:hint="eastAsia" w:ascii="宋体" w:hAnsi="宋体" w:eastAsia="宋体" w:cs="宋体"/>
          <w:color w:val="auto"/>
          <w:kern w:val="2"/>
          <w:sz w:val="24"/>
          <w:szCs w:val="24"/>
          <w:lang w:val="en-US" w:eastAsia="zh-CN" w:bidi="ar"/>
        </w:rPr>
        <w:t>通知书。</w:t>
      </w:r>
    </w:p>
    <w:p w14:paraId="34D3ACA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3.在本合同执行过程中，甲、乙双方协商签订的补充合同与原合同具有同等法律效力。</w:t>
      </w:r>
    </w:p>
    <w:p w14:paraId="4BB11F3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4.未尽事宜，双方协商解决。</w:t>
      </w:r>
    </w:p>
    <w:p w14:paraId="4DDAFC7C">
      <w:pPr>
        <w:keepNext w:val="0"/>
        <w:keepLines w:val="0"/>
        <w:widowControl w:val="0"/>
        <w:suppressLineNumbers w:val="0"/>
        <w:spacing w:before="0" w:beforeAutospacing="0" w:after="0" w:afterAutospacing="0" w:line="360" w:lineRule="auto"/>
        <w:ind w:left="0" w:right="0" w:firstLine="480" w:firstLineChars="200"/>
        <w:jc w:val="both"/>
        <w:rPr>
          <w:rFonts w:hint="default" w:ascii="宋体" w:hAnsi="宋体" w:eastAsia="宋体" w:cs="宋体"/>
          <w:color w:val="auto"/>
          <w:kern w:val="2"/>
          <w:sz w:val="24"/>
          <w:szCs w:val="24"/>
          <w:lang w:val="en-US"/>
        </w:rPr>
      </w:pPr>
      <w:r>
        <w:rPr>
          <w:rFonts w:hint="eastAsia" w:ascii="宋体" w:hAnsi="宋体" w:eastAsia="宋体" w:cs="宋体"/>
          <w:color w:val="auto"/>
          <w:kern w:val="2"/>
          <w:sz w:val="24"/>
          <w:szCs w:val="24"/>
          <w:lang w:val="en-US" w:eastAsia="zh-CN" w:bidi="ar"/>
        </w:rPr>
        <w:t>5.合同签订地点：</w:t>
      </w:r>
      <w:r>
        <w:rPr>
          <w:rFonts w:hint="eastAsia" w:ascii="宋体" w:hAnsi="宋体" w:eastAsia="宋体" w:cs="宋体"/>
          <w:color w:val="auto"/>
          <w:sz w:val="24"/>
          <w:szCs w:val="24"/>
          <w:lang w:val="en-US" w:eastAsia="zh-CN"/>
        </w:rPr>
        <w:t>采购人指定地点</w:t>
      </w:r>
    </w:p>
    <w:p w14:paraId="264ED4A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6.合同签订时间：</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年</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月</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日</w:t>
      </w:r>
    </w:p>
    <w:p w14:paraId="75CD3FC9">
      <w:pPr>
        <w:keepNext w:val="0"/>
        <w:keepLines w:val="0"/>
        <w:widowControl w:val="0"/>
        <w:suppressLineNumbers w:val="0"/>
        <w:spacing w:before="0" w:beforeAutospacing="0" w:after="0" w:afterAutospacing="0" w:line="360" w:lineRule="auto"/>
        <w:ind w:left="0" w:right="0" w:firstLine="555"/>
        <w:jc w:val="both"/>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lang w:val="en-US" w:eastAsia="zh-CN" w:bidi="ar"/>
        </w:rPr>
        <w:t xml:space="preserve"> </w:t>
      </w:r>
    </w:p>
    <w:p w14:paraId="5A403D7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80" w:lineRule="auto"/>
        <w:ind w:left="0" w:right="0" w:firstLine="555"/>
        <w:jc w:val="both"/>
        <w:textAlignment w:val="auto"/>
        <w:rPr>
          <w:rFonts w:hint="eastAsia" w:ascii="宋体" w:hAnsi="宋体" w:eastAsia="宋体" w:cs="宋体"/>
          <w:b/>
          <w:bCs w:val="0"/>
          <w:color w:val="auto"/>
          <w:kern w:val="2"/>
          <w:sz w:val="24"/>
          <w:szCs w:val="24"/>
          <w:lang w:val="en-US" w:eastAsia="zh-CN" w:bidi="ar"/>
        </w:rPr>
      </w:pPr>
      <w:r>
        <w:rPr>
          <w:rFonts w:hint="eastAsia" w:ascii="宋体" w:hAnsi="宋体" w:cs="宋体"/>
          <w:b/>
          <w:bCs w:val="0"/>
          <w:color w:val="auto"/>
          <w:kern w:val="2"/>
          <w:sz w:val="24"/>
          <w:szCs w:val="24"/>
          <w:lang w:val="en-US" w:eastAsia="zh-CN" w:bidi="ar"/>
        </w:rPr>
        <w:t>（以下无正文）</w:t>
      </w:r>
    </w:p>
    <w:p w14:paraId="56E1ADF4">
      <w:pPr>
        <w:pStyle w:val="2"/>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签 署 页</w:t>
      </w:r>
    </w:p>
    <w:p w14:paraId="58631C1E">
      <w:pPr>
        <w:pStyle w:val="7"/>
        <w:widowControl w:val="0"/>
        <w:rPr>
          <w:rFonts w:hint="default" w:asciiTheme="minorEastAsia" w:hAnsiTheme="minorEastAsia"/>
          <w:lang w:eastAsia="zh-CN"/>
        </w:rPr>
      </w:pPr>
    </w:p>
    <w:p w14:paraId="2EB1B725">
      <w:pPr>
        <w:pStyle w:val="7"/>
        <w:widowControl w:val="0"/>
        <w:spacing w:line="480" w:lineRule="auto"/>
        <w:jc w:val="both"/>
        <w:rPr>
          <w:rFonts w:hint="default" w:asciiTheme="minorEastAsia" w:hAnsiTheme="minorEastAsia"/>
          <w:sz w:val="24"/>
          <w:szCs w:val="24"/>
          <w:lang w:eastAsia="zh-CN"/>
        </w:rPr>
      </w:pPr>
      <w:r>
        <w:rPr>
          <w:rFonts w:asciiTheme="minorEastAsia" w:hAnsiTheme="minorEastAsia"/>
          <w:sz w:val="24"/>
          <w:szCs w:val="24"/>
          <w:lang w:eastAsia="zh-CN"/>
        </w:rPr>
        <w:t>采购人：</w:t>
      </w:r>
      <w:r>
        <w:rPr>
          <w:rFonts w:asciiTheme="minorEastAsia" w:hAnsiTheme="minorEastAsia"/>
          <w:sz w:val="24"/>
          <w:szCs w:val="24"/>
          <w:u w:val="single"/>
          <w:lang w:eastAsia="zh-CN"/>
        </w:rPr>
        <w:t xml:space="preserve">                       </w:t>
      </w:r>
      <w:r>
        <w:rPr>
          <w:rFonts w:asciiTheme="minorEastAsia" w:hAnsiTheme="minorEastAsia"/>
          <w:sz w:val="24"/>
          <w:szCs w:val="24"/>
          <w:lang w:eastAsia="zh-CN"/>
        </w:rPr>
        <w:t>（盖章） 供应商：</w:t>
      </w:r>
      <w:r>
        <w:rPr>
          <w:rFonts w:asciiTheme="minorEastAsia" w:hAnsiTheme="minorEastAsia"/>
          <w:sz w:val="24"/>
          <w:szCs w:val="24"/>
          <w:u w:val="single"/>
          <w:lang w:eastAsia="zh-CN"/>
        </w:rPr>
        <w:t xml:space="preserve">                  </w:t>
      </w:r>
      <w:r>
        <w:rPr>
          <w:rFonts w:asciiTheme="minorEastAsia" w:hAnsiTheme="minorEastAsia"/>
          <w:sz w:val="24"/>
          <w:szCs w:val="24"/>
          <w:lang w:eastAsia="zh-CN"/>
        </w:rPr>
        <w:t>（盖章）</w:t>
      </w:r>
    </w:p>
    <w:p w14:paraId="697D6E6E">
      <w:pPr>
        <w:pStyle w:val="7"/>
        <w:widowControl w:val="0"/>
        <w:spacing w:line="480" w:lineRule="auto"/>
        <w:jc w:val="both"/>
        <w:rPr>
          <w:rFonts w:hint="default" w:asciiTheme="minorEastAsia" w:hAnsiTheme="minorEastAsia"/>
          <w:sz w:val="24"/>
          <w:szCs w:val="24"/>
          <w:lang w:eastAsia="zh-CN"/>
        </w:rPr>
      </w:pPr>
      <w:r>
        <w:rPr>
          <w:rFonts w:asciiTheme="minorEastAsia" w:hAnsiTheme="minorEastAsia"/>
          <w:sz w:val="24"/>
          <w:szCs w:val="24"/>
          <w:lang w:eastAsia="zh-CN"/>
        </w:rPr>
        <w:t>地  址：</w:t>
      </w:r>
      <w:r>
        <w:rPr>
          <w:rFonts w:asciiTheme="minorEastAsia" w:hAnsiTheme="minorEastAsia"/>
          <w:sz w:val="24"/>
          <w:szCs w:val="24"/>
          <w:u w:val="single"/>
          <w:lang w:eastAsia="zh-CN"/>
        </w:rPr>
        <w:t xml:space="preserve">                        </w:t>
      </w:r>
      <w:r>
        <w:rPr>
          <w:rFonts w:asciiTheme="minorEastAsia" w:hAnsiTheme="minorEastAsia"/>
          <w:sz w:val="24"/>
          <w:szCs w:val="24"/>
          <w:lang w:eastAsia="zh-CN"/>
        </w:rPr>
        <w:t xml:space="preserve">       地  址：</w:t>
      </w:r>
      <w:r>
        <w:rPr>
          <w:rFonts w:asciiTheme="minorEastAsia" w:hAnsiTheme="minorEastAsia"/>
          <w:sz w:val="24"/>
          <w:szCs w:val="24"/>
          <w:u w:val="single"/>
          <w:lang w:eastAsia="zh-CN"/>
        </w:rPr>
        <w:t xml:space="preserve">                       </w:t>
      </w:r>
    </w:p>
    <w:p w14:paraId="76D5A495">
      <w:pPr>
        <w:pStyle w:val="7"/>
        <w:widowControl w:val="0"/>
        <w:spacing w:line="480" w:lineRule="auto"/>
        <w:jc w:val="both"/>
        <w:rPr>
          <w:rFonts w:hint="default" w:asciiTheme="minorEastAsia" w:hAnsiTheme="minorEastAsia"/>
          <w:sz w:val="24"/>
          <w:szCs w:val="24"/>
          <w:lang w:eastAsia="zh-CN"/>
        </w:rPr>
      </w:pPr>
      <w:r>
        <w:rPr>
          <w:rFonts w:asciiTheme="minorEastAsia" w:hAnsiTheme="minorEastAsia"/>
          <w:sz w:val="24"/>
          <w:szCs w:val="24"/>
          <w:lang w:eastAsia="zh-CN"/>
        </w:rPr>
        <w:t>法定代表人                             法定代表人</w:t>
      </w:r>
    </w:p>
    <w:p w14:paraId="4AC84F2B">
      <w:pPr>
        <w:pStyle w:val="7"/>
        <w:widowControl w:val="0"/>
        <w:spacing w:line="480" w:lineRule="auto"/>
        <w:jc w:val="both"/>
        <w:rPr>
          <w:rFonts w:hint="default" w:asciiTheme="minorEastAsia" w:hAnsiTheme="minorEastAsia"/>
          <w:sz w:val="24"/>
          <w:szCs w:val="24"/>
          <w:lang w:eastAsia="zh-CN"/>
        </w:rPr>
      </w:pPr>
      <w:r>
        <w:rPr>
          <w:rFonts w:asciiTheme="minorEastAsia" w:hAnsiTheme="minorEastAsia"/>
          <w:sz w:val="24"/>
          <w:szCs w:val="24"/>
          <w:lang w:eastAsia="zh-CN"/>
        </w:rPr>
        <w:t>或其授权的代理人：</w:t>
      </w:r>
      <w:r>
        <w:rPr>
          <w:rFonts w:asciiTheme="minorEastAsia" w:hAnsiTheme="minorEastAsia"/>
          <w:sz w:val="24"/>
          <w:szCs w:val="24"/>
          <w:u w:val="single"/>
          <w:lang w:eastAsia="zh-CN"/>
        </w:rPr>
        <w:t xml:space="preserve">             </w:t>
      </w:r>
      <w:r>
        <w:rPr>
          <w:rFonts w:asciiTheme="minorEastAsia" w:hAnsiTheme="minorEastAsia"/>
          <w:sz w:val="24"/>
          <w:szCs w:val="24"/>
          <w:lang w:eastAsia="zh-CN"/>
        </w:rPr>
        <w:t>（签字）或其授权的代理人：</w:t>
      </w:r>
      <w:r>
        <w:rPr>
          <w:rFonts w:asciiTheme="minorEastAsia" w:hAnsiTheme="minorEastAsia"/>
          <w:sz w:val="24"/>
          <w:szCs w:val="24"/>
          <w:u w:val="single"/>
          <w:lang w:eastAsia="zh-CN"/>
        </w:rPr>
        <w:t xml:space="preserve">         </w:t>
      </w:r>
      <w:r>
        <w:rPr>
          <w:rFonts w:asciiTheme="minorEastAsia" w:hAnsiTheme="minorEastAsia"/>
          <w:sz w:val="24"/>
          <w:szCs w:val="24"/>
          <w:lang w:eastAsia="zh-CN"/>
        </w:rPr>
        <w:t>（签字）</w:t>
      </w:r>
    </w:p>
    <w:p w14:paraId="3C4511F2">
      <w:pPr>
        <w:pStyle w:val="7"/>
        <w:widowControl w:val="0"/>
        <w:spacing w:line="480" w:lineRule="auto"/>
        <w:jc w:val="both"/>
        <w:rPr>
          <w:rFonts w:hint="default" w:asciiTheme="minorEastAsia" w:hAnsiTheme="minorEastAsia"/>
          <w:sz w:val="24"/>
          <w:szCs w:val="24"/>
          <w:lang w:eastAsia="zh-CN"/>
        </w:rPr>
      </w:pPr>
      <w:r>
        <w:rPr>
          <w:rFonts w:asciiTheme="minorEastAsia" w:hAnsiTheme="minorEastAsia"/>
          <w:sz w:val="24"/>
          <w:szCs w:val="24"/>
          <w:lang w:eastAsia="zh-CN"/>
        </w:rPr>
        <w:t>开户银行：</w:t>
      </w:r>
      <w:r>
        <w:rPr>
          <w:rFonts w:asciiTheme="minorEastAsia" w:hAnsiTheme="minorEastAsia"/>
          <w:sz w:val="24"/>
          <w:szCs w:val="24"/>
          <w:u w:val="single"/>
          <w:lang w:eastAsia="zh-CN"/>
        </w:rPr>
        <w:t xml:space="preserve">                      </w:t>
      </w:r>
      <w:r>
        <w:rPr>
          <w:rFonts w:asciiTheme="minorEastAsia" w:hAnsiTheme="minorEastAsia"/>
          <w:sz w:val="24"/>
          <w:szCs w:val="24"/>
          <w:lang w:eastAsia="zh-CN"/>
        </w:rPr>
        <w:t xml:space="preserve">       开户银行：</w:t>
      </w:r>
      <w:r>
        <w:rPr>
          <w:rFonts w:asciiTheme="minorEastAsia" w:hAnsiTheme="minorEastAsia"/>
          <w:sz w:val="24"/>
          <w:szCs w:val="24"/>
          <w:u w:val="single"/>
          <w:lang w:eastAsia="zh-CN"/>
        </w:rPr>
        <w:t xml:space="preserve">                      </w:t>
      </w:r>
    </w:p>
    <w:p w14:paraId="79221AAF">
      <w:pPr>
        <w:pStyle w:val="7"/>
        <w:widowControl w:val="0"/>
        <w:spacing w:line="480" w:lineRule="auto"/>
        <w:jc w:val="both"/>
        <w:rPr>
          <w:rFonts w:hint="default" w:asciiTheme="minorEastAsia" w:hAnsiTheme="minorEastAsia"/>
          <w:sz w:val="24"/>
          <w:szCs w:val="24"/>
          <w:lang w:eastAsia="zh-CN"/>
        </w:rPr>
      </w:pPr>
      <w:r>
        <w:rPr>
          <w:rFonts w:asciiTheme="minorEastAsia" w:hAnsiTheme="minorEastAsia"/>
          <w:sz w:val="24"/>
          <w:szCs w:val="24"/>
          <w:lang w:eastAsia="zh-CN"/>
        </w:rPr>
        <w:t>账    号：</w:t>
      </w:r>
      <w:r>
        <w:rPr>
          <w:rFonts w:asciiTheme="minorEastAsia" w:hAnsiTheme="minorEastAsia"/>
          <w:sz w:val="24"/>
          <w:szCs w:val="24"/>
          <w:u w:val="single"/>
          <w:lang w:eastAsia="zh-CN"/>
        </w:rPr>
        <w:t xml:space="preserve">                      </w:t>
      </w:r>
      <w:r>
        <w:rPr>
          <w:rFonts w:asciiTheme="minorEastAsia" w:hAnsiTheme="minorEastAsia"/>
          <w:sz w:val="24"/>
          <w:szCs w:val="24"/>
          <w:lang w:eastAsia="zh-CN"/>
        </w:rPr>
        <w:t xml:space="preserve">       账    号：</w:t>
      </w:r>
      <w:r>
        <w:rPr>
          <w:rFonts w:asciiTheme="minorEastAsia" w:hAnsiTheme="minorEastAsia"/>
          <w:sz w:val="24"/>
          <w:szCs w:val="24"/>
          <w:u w:val="single"/>
          <w:lang w:eastAsia="zh-CN"/>
        </w:rPr>
        <w:t xml:space="preserve">                      </w:t>
      </w:r>
    </w:p>
    <w:p w14:paraId="0669B668">
      <w:pPr>
        <w:pStyle w:val="7"/>
        <w:widowControl w:val="0"/>
        <w:spacing w:line="480" w:lineRule="auto"/>
        <w:jc w:val="both"/>
        <w:rPr>
          <w:rFonts w:asciiTheme="minorEastAsia" w:hAnsiTheme="minorEastAsia"/>
          <w:sz w:val="24"/>
          <w:szCs w:val="24"/>
          <w:u w:val="single"/>
          <w:lang w:eastAsia="zh-CN"/>
        </w:rPr>
      </w:pPr>
      <w:r>
        <w:rPr>
          <w:rFonts w:asciiTheme="minorEastAsia" w:hAnsiTheme="minorEastAsia"/>
          <w:sz w:val="24"/>
          <w:szCs w:val="24"/>
          <w:lang w:eastAsia="zh-CN"/>
        </w:rPr>
        <w:t>电    话：</w:t>
      </w:r>
      <w:r>
        <w:rPr>
          <w:rFonts w:asciiTheme="minorEastAsia" w:hAnsiTheme="minorEastAsia"/>
          <w:sz w:val="24"/>
          <w:szCs w:val="24"/>
          <w:u w:val="single"/>
          <w:lang w:eastAsia="zh-CN"/>
        </w:rPr>
        <w:t xml:space="preserve">                      </w:t>
      </w:r>
      <w:r>
        <w:rPr>
          <w:rFonts w:asciiTheme="minorEastAsia" w:hAnsiTheme="minorEastAsia"/>
          <w:sz w:val="24"/>
          <w:szCs w:val="24"/>
          <w:lang w:eastAsia="zh-CN"/>
        </w:rPr>
        <w:t xml:space="preserve">       电    话：</w:t>
      </w:r>
      <w:r>
        <w:rPr>
          <w:rFonts w:asciiTheme="minorEastAsia" w:hAnsiTheme="minorEastAsia"/>
          <w:sz w:val="24"/>
          <w:szCs w:val="24"/>
          <w:u w:val="single"/>
          <w:lang w:eastAsia="zh-CN"/>
        </w:rPr>
        <w:t xml:space="preserve">                      </w:t>
      </w:r>
    </w:p>
    <w:p w14:paraId="1B7692CA">
      <w:pPr>
        <w:rPr>
          <w:rFonts w:asciiTheme="minorEastAsia" w:hAnsiTheme="minorEastAsia"/>
          <w:sz w:val="24"/>
          <w:szCs w:val="24"/>
          <w:u w:val="single"/>
          <w:lang w:eastAsia="zh-CN"/>
        </w:rPr>
      </w:pPr>
      <w:r>
        <w:rPr>
          <w:rFonts w:asciiTheme="minorEastAsia" w:hAnsiTheme="minorEastAsia"/>
          <w:sz w:val="24"/>
          <w:szCs w:val="24"/>
          <w:u w:val="single"/>
          <w:lang w:eastAsia="zh-CN"/>
        </w:rPr>
        <w:br w:type="page"/>
      </w:r>
    </w:p>
    <w:p w14:paraId="31FCB209">
      <w:pPr>
        <w:pStyle w:val="7"/>
        <w:widowControl w:val="0"/>
        <w:spacing w:line="480" w:lineRule="auto"/>
        <w:jc w:val="both"/>
        <w:rPr>
          <w:rFonts w:hint="eastAsia" w:asciiTheme="minorEastAsia" w:hAnsiTheme="minorEastAsia"/>
          <w:sz w:val="24"/>
          <w:szCs w:val="24"/>
          <w:u w:val="none"/>
          <w:lang w:val="en-US" w:eastAsia="zh-CN"/>
        </w:rPr>
      </w:pPr>
      <w:r>
        <w:rPr>
          <w:rFonts w:hint="eastAsia" w:asciiTheme="minorEastAsia" w:hAnsiTheme="minorEastAsia"/>
          <w:sz w:val="24"/>
          <w:szCs w:val="24"/>
          <w:u w:val="none"/>
          <w:lang w:val="en-US" w:eastAsia="zh-CN"/>
        </w:rPr>
        <w:t>附件：</w:t>
      </w:r>
    </w:p>
    <w:tbl>
      <w:tblPr>
        <w:tblStyle w:val="5"/>
        <w:tblW w:w="0" w:type="auto"/>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934"/>
        <w:gridCol w:w="1545"/>
        <w:gridCol w:w="1440"/>
        <w:gridCol w:w="810"/>
        <w:gridCol w:w="700"/>
        <w:gridCol w:w="1100"/>
        <w:gridCol w:w="1100"/>
      </w:tblGrid>
      <w:tr w14:paraId="235661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jc w:val="center"/>
        </w:trPr>
        <w:tc>
          <w:tcPr>
            <w:tcW w:w="1934" w:type="dxa"/>
            <w:tcBorders>
              <w:top w:val="single" w:color="auto" w:sz="4" w:space="0"/>
              <w:left w:val="single" w:color="auto" w:sz="4" w:space="0"/>
              <w:bottom w:val="single" w:color="auto" w:sz="4" w:space="0"/>
              <w:right w:val="single" w:color="auto" w:sz="4" w:space="0"/>
            </w:tcBorders>
            <w:noWrap w:val="0"/>
            <w:vAlign w:val="center"/>
          </w:tcPr>
          <w:p w14:paraId="59BF8735">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货物名称</w:t>
            </w:r>
          </w:p>
        </w:tc>
        <w:tc>
          <w:tcPr>
            <w:tcW w:w="1545" w:type="dxa"/>
            <w:tcBorders>
              <w:top w:val="single" w:color="auto" w:sz="4" w:space="0"/>
              <w:left w:val="nil"/>
              <w:bottom w:val="single" w:color="auto" w:sz="4" w:space="0"/>
              <w:right w:val="single" w:color="auto" w:sz="4" w:space="0"/>
            </w:tcBorders>
            <w:noWrap w:val="0"/>
            <w:vAlign w:val="center"/>
          </w:tcPr>
          <w:p w14:paraId="64A009BA">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型号与规格</w:t>
            </w:r>
          </w:p>
        </w:tc>
        <w:tc>
          <w:tcPr>
            <w:tcW w:w="1440" w:type="dxa"/>
            <w:tcBorders>
              <w:top w:val="single" w:color="auto" w:sz="4" w:space="0"/>
              <w:left w:val="nil"/>
              <w:bottom w:val="single" w:color="auto" w:sz="4" w:space="0"/>
              <w:right w:val="single" w:color="auto" w:sz="4" w:space="0"/>
            </w:tcBorders>
            <w:noWrap w:val="0"/>
            <w:vAlign w:val="center"/>
          </w:tcPr>
          <w:p w14:paraId="38EAEF0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生产商、产地</w:t>
            </w:r>
          </w:p>
        </w:tc>
        <w:tc>
          <w:tcPr>
            <w:tcW w:w="810" w:type="dxa"/>
            <w:tcBorders>
              <w:top w:val="single" w:color="auto" w:sz="4" w:space="0"/>
              <w:left w:val="nil"/>
              <w:bottom w:val="single" w:color="auto" w:sz="4" w:space="0"/>
              <w:right w:val="single" w:color="auto" w:sz="4" w:space="0"/>
            </w:tcBorders>
            <w:noWrap w:val="0"/>
            <w:vAlign w:val="center"/>
          </w:tcPr>
          <w:p w14:paraId="05609264">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数量</w:t>
            </w:r>
          </w:p>
        </w:tc>
        <w:tc>
          <w:tcPr>
            <w:tcW w:w="700" w:type="dxa"/>
            <w:tcBorders>
              <w:top w:val="single" w:color="auto" w:sz="4" w:space="0"/>
              <w:left w:val="nil"/>
              <w:bottom w:val="single" w:color="auto" w:sz="4" w:space="0"/>
              <w:right w:val="single" w:color="auto" w:sz="4" w:space="0"/>
            </w:tcBorders>
            <w:noWrap w:val="0"/>
            <w:vAlign w:val="center"/>
          </w:tcPr>
          <w:p w14:paraId="0F269786">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单位</w:t>
            </w:r>
          </w:p>
        </w:tc>
        <w:tc>
          <w:tcPr>
            <w:tcW w:w="1100" w:type="dxa"/>
            <w:tcBorders>
              <w:top w:val="single" w:color="auto" w:sz="4" w:space="0"/>
              <w:left w:val="nil"/>
              <w:bottom w:val="single" w:color="auto" w:sz="4" w:space="0"/>
              <w:right w:val="single" w:color="auto" w:sz="4" w:space="0"/>
            </w:tcBorders>
            <w:noWrap w:val="0"/>
            <w:vAlign w:val="center"/>
          </w:tcPr>
          <w:p w14:paraId="77A86F82">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单价（元）</w:t>
            </w:r>
          </w:p>
        </w:tc>
        <w:tc>
          <w:tcPr>
            <w:tcW w:w="1100" w:type="dxa"/>
            <w:tcBorders>
              <w:top w:val="single" w:color="auto" w:sz="4" w:space="0"/>
              <w:left w:val="nil"/>
              <w:bottom w:val="single" w:color="auto" w:sz="4" w:space="0"/>
              <w:right w:val="single" w:color="auto" w:sz="4" w:space="0"/>
            </w:tcBorders>
            <w:noWrap w:val="0"/>
            <w:vAlign w:val="center"/>
          </w:tcPr>
          <w:p w14:paraId="42AFB30D">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总价（元）</w:t>
            </w:r>
          </w:p>
        </w:tc>
      </w:tr>
      <w:tr w14:paraId="62B100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jc w:val="center"/>
        </w:trPr>
        <w:tc>
          <w:tcPr>
            <w:tcW w:w="1934" w:type="dxa"/>
            <w:tcBorders>
              <w:top w:val="single" w:color="auto" w:sz="4" w:space="0"/>
              <w:left w:val="single" w:color="auto" w:sz="4" w:space="0"/>
              <w:bottom w:val="single" w:color="auto" w:sz="4" w:space="0"/>
              <w:right w:val="single" w:color="auto" w:sz="4" w:space="0"/>
            </w:tcBorders>
            <w:noWrap w:val="0"/>
            <w:vAlign w:val="top"/>
          </w:tcPr>
          <w:p w14:paraId="4E4E34F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545" w:type="dxa"/>
            <w:tcBorders>
              <w:top w:val="single" w:color="auto" w:sz="4" w:space="0"/>
              <w:left w:val="nil"/>
              <w:bottom w:val="single" w:color="auto" w:sz="4" w:space="0"/>
              <w:right w:val="single" w:color="auto" w:sz="4" w:space="0"/>
            </w:tcBorders>
            <w:noWrap w:val="0"/>
            <w:vAlign w:val="top"/>
          </w:tcPr>
          <w:p w14:paraId="02C17A0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440" w:type="dxa"/>
            <w:tcBorders>
              <w:top w:val="single" w:color="auto" w:sz="4" w:space="0"/>
              <w:left w:val="nil"/>
              <w:bottom w:val="single" w:color="auto" w:sz="4" w:space="0"/>
              <w:right w:val="single" w:color="auto" w:sz="4" w:space="0"/>
            </w:tcBorders>
            <w:noWrap w:val="0"/>
            <w:vAlign w:val="top"/>
          </w:tcPr>
          <w:p w14:paraId="4A722ED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810" w:type="dxa"/>
            <w:tcBorders>
              <w:top w:val="single" w:color="auto" w:sz="4" w:space="0"/>
              <w:left w:val="nil"/>
              <w:bottom w:val="single" w:color="auto" w:sz="4" w:space="0"/>
              <w:right w:val="single" w:color="auto" w:sz="4" w:space="0"/>
            </w:tcBorders>
            <w:noWrap w:val="0"/>
            <w:vAlign w:val="top"/>
          </w:tcPr>
          <w:p w14:paraId="74E5A06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700" w:type="dxa"/>
            <w:tcBorders>
              <w:top w:val="single" w:color="auto" w:sz="4" w:space="0"/>
              <w:left w:val="nil"/>
              <w:bottom w:val="single" w:color="auto" w:sz="4" w:space="0"/>
              <w:right w:val="single" w:color="auto" w:sz="4" w:space="0"/>
            </w:tcBorders>
            <w:noWrap w:val="0"/>
            <w:vAlign w:val="top"/>
          </w:tcPr>
          <w:p w14:paraId="49CD8A2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100" w:type="dxa"/>
            <w:tcBorders>
              <w:top w:val="single" w:color="auto" w:sz="4" w:space="0"/>
              <w:left w:val="nil"/>
              <w:bottom w:val="single" w:color="auto" w:sz="4" w:space="0"/>
              <w:right w:val="single" w:color="auto" w:sz="4" w:space="0"/>
            </w:tcBorders>
            <w:noWrap w:val="0"/>
            <w:vAlign w:val="top"/>
          </w:tcPr>
          <w:p w14:paraId="54C593F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100" w:type="dxa"/>
            <w:tcBorders>
              <w:top w:val="single" w:color="auto" w:sz="4" w:space="0"/>
              <w:left w:val="nil"/>
              <w:bottom w:val="single" w:color="auto" w:sz="4" w:space="0"/>
              <w:right w:val="single" w:color="auto" w:sz="4" w:space="0"/>
            </w:tcBorders>
            <w:noWrap w:val="0"/>
            <w:vAlign w:val="top"/>
          </w:tcPr>
          <w:p w14:paraId="0E4BBA8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r>
      <w:tr w14:paraId="649E6A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jc w:val="center"/>
        </w:trPr>
        <w:tc>
          <w:tcPr>
            <w:tcW w:w="1934" w:type="dxa"/>
            <w:tcBorders>
              <w:top w:val="single" w:color="auto" w:sz="4" w:space="0"/>
              <w:left w:val="single" w:color="auto" w:sz="4" w:space="0"/>
              <w:bottom w:val="single" w:color="auto" w:sz="4" w:space="0"/>
              <w:right w:val="single" w:color="auto" w:sz="4" w:space="0"/>
            </w:tcBorders>
            <w:noWrap w:val="0"/>
            <w:vAlign w:val="center"/>
          </w:tcPr>
          <w:p w14:paraId="49F5F46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545" w:type="dxa"/>
            <w:tcBorders>
              <w:top w:val="single" w:color="auto" w:sz="4" w:space="0"/>
              <w:left w:val="nil"/>
              <w:bottom w:val="single" w:color="auto" w:sz="4" w:space="0"/>
              <w:right w:val="single" w:color="auto" w:sz="4" w:space="0"/>
            </w:tcBorders>
            <w:noWrap w:val="0"/>
            <w:vAlign w:val="center"/>
          </w:tcPr>
          <w:p w14:paraId="3641F86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440" w:type="dxa"/>
            <w:tcBorders>
              <w:top w:val="single" w:color="auto" w:sz="4" w:space="0"/>
              <w:left w:val="nil"/>
              <w:bottom w:val="single" w:color="auto" w:sz="4" w:space="0"/>
              <w:right w:val="single" w:color="auto" w:sz="4" w:space="0"/>
            </w:tcBorders>
            <w:noWrap w:val="0"/>
            <w:vAlign w:val="center"/>
          </w:tcPr>
          <w:p w14:paraId="502DE1F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810" w:type="dxa"/>
            <w:tcBorders>
              <w:top w:val="single" w:color="auto" w:sz="4" w:space="0"/>
              <w:left w:val="nil"/>
              <w:bottom w:val="single" w:color="auto" w:sz="4" w:space="0"/>
              <w:right w:val="single" w:color="auto" w:sz="4" w:space="0"/>
            </w:tcBorders>
            <w:noWrap w:val="0"/>
            <w:vAlign w:val="center"/>
          </w:tcPr>
          <w:p w14:paraId="489B232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700" w:type="dxa"/>
            <w:tcBorders>
              <w:top w:val="single" w:color="auto" w:sz="4" w:space="0"/>
              <w:left w:val="nil"/>
              <w:bottom w:val="single" w:color="auto" w:sz="4" w:space="0"/>
              <w:right w:val="single" w:color="auto" w:sz="4" w:space="0"/>
            </w:tcBorders>
            <w:noWrap w:val="0"/>
            <w:vAlign w:val="center"/>
          </w:tcPr>
          <w:p w14:paraId="45F9E53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100" w:type="dxa"/>
            <w:tcBorders>
              <w:top w:val="single" w:color="auto" w:sz="4" w:space="0"/>
              <w:left w:val="nil"/>
              <w:bottom w:val="single" w:color="auto" w:sz="4" w:space="0"/>
              <w:right w:val="single" w:color="auto" w:sz="4" w:space="0"/>
            </w:tcBorders>
            <w:noWrap w:val="0"/>
            <w:vAlign w:val="center"/>
          </w:tcPr>
          <w:p w14:paraId="310A9E0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c>
          <w:tcPr>
            <w:tcW w:w="1100" w:type="dxa"/>
            <w:tcBorders>
              <w:top w:val="single" w:color="auto" w:sz="4" w:space="0"/>
              <w:left w:val="nil"/>
              <w:bottom w:val="single" w:color="auto" w:sz="4" w:space="0"/>
              <w:right w:val="single" w:color="auto" w:sz="4" w:space="0"/>
            </w:tcBorders>
            <w:noWrap w:val="0"/>
            <w:vAlign w:val="center"/>
          </w:tcPr>
          <w:p w14:paraId="09FEF4A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p>
        </w:tc>
      </w:tr>
      <w:tr w14:paraId="4DE59A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jc w:val="center"/>
        </w:trPr>
        <w:tc>
          <w:tcPr>
            <w:tcW w:w="8629" w:type="dxa"/>
            <w:gridSpan w:val="7"/>
            <w:tcBorders>
              <w:top w:val="single" w:color="auto" w:sz="4" w:space="0"/>
              <w:left w:val="single" w:color="auto" w:sz="4" w:space="0"/>
              <w:bottom w:val="single" w:color="auto" w:sz="4" w:space="0"/>
              <w:right w:val="single" w:color="auto" w:sz="4" w:space="0"/>
            </w:tcBorders>
            <w:noWrap w:val="0"/>
            <w:vAlign w:val="center"/>
          </w:tcPr>
          <w:p w14:paraId="47EA04F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合计金额（大写）：</w:t>
            </w:r>
            <w:r>
              <w:rPr>
                <w:rFonts w:hint="eastAsia" w:ascii="宋体" w:hAnsi="宋体" w:cs="宋体"/>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小写</w:t>
            </w:r>
            <w:r>
              <w:rPr>
                <w:rFonts w:hint="eastAsia" w:ascii="宋体" w:hAnsi="宋体" w:cs="宋体"/>
                <w:color w:val="auto"/>
                <w:kern w:val="2"/>
                <w:sz w:val="24"/>
                <w:szCs w:val="24"/>
                <w:lang w:val="en-US" w:eastAsia="zh-CN" w:bidi="ar"/>
              </w:rPr>
              <w:t>：</w:t>
            </w:r>
          </w:p>
        </w:tc>
      </w:tr>
    </w:tbl>
    <w:p w14:paraId="1D93BE06">
      <w:pPr>
        <w:pStyle w:val="7"/>
        <w:widowControl w:val="0"/>
        <w:spacing w:line="480" w:lineRule="auto"/>
        <w:jc w:val="both"/>
        <w:rPr>
          <w:rFonts w:hint="default" w:asciiTheme="minorEastAsia" w:hAnsiTheme="minorEastAsia"/>
          <w:sz w:val="24"/>
          <w:szCs w:val="24"/>
          <w:u w:val="none"/>
          <w:lang w:val="en-US" w:eastAsia="zh-CN"/>
        </w:rPr>
      </w:pPr>
    </w:p>
    <w:p w14:paraId="72FC5DAD"/>
    <w:sectPr>
      <w:pgSz w:w="11906" w:h="16838"/>
      <w:pgMar w:top="1418" w:right="1134"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17684"/>
    <w:rsid w:val="01D22B37"/>
    <w:rsid w:val="0B9C2615"/>
    <w:rsid w:val="10426A38"/>
    <w:rsid w:val="524660D2"/>
    <w:rsid w:val="551663CF"/>
    <w:rsid w:val="5CBB6EE5"/>
    <w:rsid w:val="609D5BF6"/>
    <w:rsid w:val="6FDF072B"/>
    <w:rsid w:val="7C182079"/>
    <w:rsid w:val="7F3DC70A"/>
    <w:rsid w:val="F3DED516"/>
    <w:rsid w:val="FBBB1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rPr>
      <w:color w:val="993300"/>
      <w:sz w:val="24"/>
    </w:rPr>
  </w:style>
  <w:style w:type="paragraph" w:styleId="4">
    <w:name w:val="Body Text Indent 2"/>
    <w:basedOn w:val="1"/>
    <w:qFormat/>
    <w:uiPriority w:val="0"/>
    <w:pPr>
      <w:spacing w:after="12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3361</Words>
  <Characters>3423</Characters>
  <Lines>0</Lines>
  <Paragraphs>0</Paragraphs>
  <TotalTime>128</TotalTime>
  <ScaleCrop>false</ScaleCrop>
  <LinksUpToDate>false</LinksUpToDate>
  <CharactersWithSpaces>3930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2025-12-01T16:54:00Z</dcterms:created>
  <dc:creator>Administrator</dc:creator>
  <cp:lastModifiedBy>WPS_1767938340</cp:lastModifiedBy>
  <dcterms:modified xsi:type="dcterms:W3CDTF">2026-06-05T07:23:59Z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eyJoZGlkIjoiMDkwMmJmZGQ2ZjFhOTMyYjAxZWRmNDliYjY5MmJkOTgiLCJ1c2VySWQiOiIxNzkwMTMzNzc0In0=</vt:lpwstr>
  </property>
  <property fmtid="{D5CDD505-2E9C-101B-9397-08002B2CF9AE}" pid="4" name="ICV">
    <vt:lpwstr>C4E3393D8A3347769F66FD05602364CD_13</vt:lpwstr>
  </property>
</Properties>
</file>