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版本号：0617-2622FZ0836.20260430001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信息化系统安全等级测评项目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0617-2622FZ0836.</w:t>
      </w:r>
      <w:r>
        <w:br/>
      </w:r>
      <w:r>
        <w:br/>
      </w:r>
      <w:r>
        <w:br/>
      </w:r>
    </w:p>
    <w:p>
      <w:pPr>
        <w:pStyle w:val="null3"/>
        <w:jc w:val="center"/>
        <w:outlineLvl w:val="2"/>
      </w:pPr>
      <w:r>
        <w:rPr>
          <w:rFonts w:ascii="仿宋_GB2312" w:hAnsi="仿宋_GB2312" w:cs="仿宋_GB2312" w:eastAsia="仿宋_GB2312"/>
          <w:sz w:val="28"/>
          <w:b/>
        </w:rPr>
        <w:t>陕西省道路运输事业发展中心</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陕西省道路运输事业发展中心</w:t>
      </w:r>
      <w:r>
        <w:rPr>
          <w:rFonts w:ascii="仿宋_GB2312" w:hAnsi="仿宋_GB2312" w:cs="仿宋_GB2312" w:eastAsia="仿宋_GB2312"/>
        </w:rPr>
        <w:t>委托，拟对</w:t>
      </w:r>
      <w:r>
        <w:rPr>
          <w:rFonts w:ascii="仿宋_GB2312" w:hAnsi="仿宋_GB2312" w:cs="仿宋_GB2312" w:eastAsia="仿宋_GB2312"/>
        </w:rPr>
        <w:t>信息化系统安全等级测评项目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0617-2622FZ0836.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信息化系统安全等级测评项目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 xml:space="preserve"> 信息化系统安全等级测评，具体内容详见服务要求。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记录：供应商不得为“信用中国”网站（www.creditchina.gov.cn）列入失信被执行人、严重失信主体名单、重大税收违法失信主体供应商，不得为“中国政府采购网”（www.ccgp.gov.cn）政府采购严重违法失信行为记录中的供应商。</w:t>
      </w:r>
    </w:p>
    <w:p>
      <w:pPr>
        <w:pStyle w:val="null3"/>
      </w:pPr>
      <w:r>
        <w:rPr>
          <w:rFonts w:ascii="仿宋_GB2312" w:hAnsi="仿宋_GB2312" w:cs="仿宋_GB2312" w:eastAsia="仿宋_GB2312"/>
        </w:rPr>
        <w:t>2、法定代表人授权书及本单位证明：法定代表人参加磋商的，须出示身份证；法定代表人授权他人参加磋商的，须提供法定代表人授权委托书、被授权人身份证及被授权人本单位证明 (近磋商时间连续六个月社保缴纳证明)（入职未满6个月，按实际入职时间提供社会保险缴纳证明；若入职时间短未缴纳社会保险，需提供劳动合同）。</w:t>
      </w:r>
    </w:p>
    <w:p>
      <w:pPr>
        <w:pStyle w:val="null3"/>
      </w:pPr>
      <w:r>
        <w:rPr>
          <w:rFonts w:ascii="仿宋_GB2312" w:hAnsi="仿宋_GB2312" w:cs="仿宋_GB2312" w:eastAsia="仿宋_GB2312"/>
        </w:rPr>
        <w:t>3、资格证书：供应商须具备《网络安全服务认证证书等级保护测评服务认证》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陕西省道路运输事业发展中心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西安市药王洞18号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029-87325913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程佳（项目负责人）、杨凡、张勃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029-85592868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说明：供应商自主选择以支票、汇票、本票、保函等非现金形式缴纳或提交履约保证金。 履约保证金在项目服务期满且验收合格后，乙方提供《××政府采购项目绩效目标表》、合同、验收资料（附件1），甲方在将履约保证金一次性无息退还；若乙方违约或产生额外费用（包括但不限于违约金、赔偿金及应急服务费用），甲方有权从履约保证金中直接扣减相应金额。</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的收费标准下浮30%，不足5000元按照5000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陕西省道路运输事业发展中心</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陕西省道路运输事业发展中心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陕西省道路运输事业发展中心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联系人：西北（陕西）国际招标有限公司综合监督处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信息化系统安全等级测评，具体内容详见服务要求。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信息化系统安全等级测评项目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标的名称：信息化系统安全等级测评项目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0"/>
            </w:pPr>
            <w:r>
              <w:rPr>
                <w:rFonts w:ascii="仿宋_GB2312" w:hAnsi="仿宋_GB2312" w:cs="仿宋_GB2312" w:eastAsia="仿宋_GB2312"/>
                <w:sz w:val="21"/>
                <w:b/>
              </w:rPr>
              <w:t>一、项目技术参数</w:t>
            </w:r>
          </w:p>
          <w:p>
            <w:pPr>
              <w:pStyle w:val="null3"/>
              <w:jc w:val="both"/>
            </w:pPr>
            <w:r>
              <w:rPr>
                <w:rFonts w:ascii="仿宋_GB2312" w:hAnsi="仿宋_GB2312" w:cs="仿宋_GB2312" w:eastAsia="仿宋_GB2312"/>
                <w:sz w:val="21"/>
                <w:b/>
              </w:rPr>
              <w:t>1、主要工作内容</w:t>
            </w:r>
          </w:p>
          <w:p>
            <w:pPr>
              <w:pStyle w:val="null3"/>
              <w:ind w:firstLine="420"/>
            </w:pPr>
            <w:r>
              <w:rPr>
                <w:rFonts w:ascii="仿宋_GB2312" w:hAnsi="仿宋_GB2312" w:cs="仿宋_GB2312" w:eastAsia="仿宋_GB2312"/>
                <w:sz w:val="21"/>
              </w:rPr>
              <w:t>对中心现有的</w:t>
            </w:r>
            <w:r>
              <w:rPr>
                <w:rFonts w:ascii="仿宋_GB2312" w:hAnsi="仿宋_GB2312" w:cs="仿宋_GB2312" w:eastAsia="仿宋_GB2312"/>
                <w:sz w:val="21"/>
              </w:rPr>
              <w:t>5个三级系统（陕西省道路运输管理信息系统、陕西省道路运输车辆公共服务平台、陕西省道路客运售票联网系统、陕西省网络货运信息监测系统、陕西省交通物流信息公共服务平台）、3个二级系统（陕西省客运包车管理信息系统、陕西省节假日和春节期间道路旅客运输情况报送系统、陕西省运政治超信息管理平台）进行等级保护测评工作。</w:t>
            </w:r>
          </w:p>
          <w:p>
            <w:pPr>
              <w:pStyle w:val="null3"/>
              <w:jc w:val="both"/>
            </w:pPr>
            <w:r>
              <w:drawing>
                <wp:inline distT="0" distR="0" distB="0" distL="0">
                  <wp:extent cx="1621155" cy="1633399"/>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1633399"/>
                          </a:xfrm>
                          <a:prstGeom prst="rect">
                            <a:avLst/>
                          </a:prstGeom>
                        </pic:spPr>
                      </pic:pic>
                    </a:graphicData>
                  </a:graphic>
                </wp:inline>
              </w:drawing>
            </w:r>
          </w:p>
          <w:p>
            <w:pPr>
              <w:pStyle w:val="null3"/>
            </w:pPr>
            <w:r>
              <w:rPr>
                <w:rFonts w:ascii="仿宋_GB2312" w:hAnsi="仿宋_GB2312" w:cs="仿宋_GB2312" w:eastAsia="仿宋_GB2312"/>
              </w:rPr>
              <w:t>★二、商务要求</w:t>
            </w:r>
          </w:p>
          <w:p>
            <w:pPr>
              <w:pStyle w:val="null3"/>
            </w:pPr>
            <w:r>
              <w:rPr>
                <w:rFonts w:ascii="仿宋_GB2312" w:hAnsi="仿宋_GB2312" w:cs="仿宋_GB2312" w:eastAsia="仿宋_GB2312"/>
              </w:rPr>
              <w:t>1、服务期：1年</w:t>
            </w:r>
          </w:p>
          <w:p>
            <w:pPr>
              <w:pStyle w:val="null3"/>
            </w:pPr>
            <w:r>
              <w:rPr>
                <w:rFonts w:ascii="仿宋_GB2312" w:hAnsi="仿宋_GB2312" w:cs="仿宋_GB2312" w:eastAsia="仿宋_GB2312"/>
              </w:rPr>
              <w:t>2、付款方式：</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1）合同签订前，乙方需先向甲方缴纳合同总价款5%履约的保证金</w:t>
            </w:r>
            <w:r>
              <w:rPr>
                <w:rFonts w:ascii="仿宋_GB2312" w:hAnsi="仿宋_GB2312" w:cs="仿宋_GB2312" w:eastAsia="仿宋_GB2312"/>
                <w:sz w:val="22"/>
              </w:rPr>
              <w:t>。</w:t>
            </w:r>
            <w:r>
              <w:rPr>
                <w:rFonts w:ascii="仿宋_GB2312" w:hAnsi="仿宋_GB2312" w:cs="仿宋_GB2312" w:eastAsia="仿宋_GB2312"/>
                <w:sz w:val="24"/>
                <w:b/>
              </w:rPr>
              <w:t>供应商自主选择以支票、汇票、本票、保函等非现金形式缴纳或提交履约保证金。</w:t>
            </w:r>
            <w:r>
              <w:rPr>
                <w:rFonts w:ascii="仿宋_GB2312" w:hAnsi="仿宋_GB2312" w:cs="仿宋_GB2312" w:eastAsia="仿宋_GB2312"/>
                <w:sz w:val="21"/>
              </w:rPr>
              <w:t xml:space="preserve"> </w:t>
            </w:r>
            <w:r>
              <w:rPr>
                <w:rFonts w:ascii="仿宋_GB2312" w:hAnsi="仿宋_GB2312" w:cs="仿宋_GB2312" w:eastAsia="仿宋_GB2312"/>
                <w:sz w:val="22"/>
              </w:rPr>
              <w:t>履约保证金在项目服务期满且验收合格后，乙方提供《</w:t>
            </w:r>
            <w:r>
              <w:rPr>
                <w:rFonts w:ascii="仿宋_GB2312" w:hAnsi="仿宋_GB2312" w:cs="仿宋_GB2312" w:eastAsia="仿宋_GB2312"/>
                <w:sz w:val="22"/>
              </w:rPr>
              <w:t>××政府采购项目绩效目标表》、合同、验收资料（附件1），甲方在将履约保证金一次性无息退还；若乙方违约或产生额外费用（包括但不限于违约金、赔偿金及应急服务费用），甲方有权从履约保证金中直接扣减相应金额。</w:t>
            </w:r>
          </w:p>
          <w:p>
            <w:pPr>
              <w:pStyle w:val="null3"/>
              <w:ind w:firstLine="440"/>
              <w:jc w:val="both"/>
            </w:pPr>
            <w:r>
              <w:rPr>
                <w:rFonts w:ascii="仿宋_GB2312" w:hAnsi="仿宋_GB2312" w:cs="仿宋_GB2312" w:eastAsia="仿宋_GB2312"/>
                <w:sz w:val="22"/>
              </w:rPr>
              <w:t>支付方式：</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1）合同签订后，达到付款条件起30日内，支付合同总金额的60.00%。；</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2）在财政预算执行时限内，且乙方已向甲方提交符合合同约定标准的阶段性工作报告及书面付款申请并经甲方审核通过后，支付合同总金额的40.00%</w:t>
            </w:r>
            <w:r>
              <w:rPr>
                <w:rFonts w:ascii="仿宋_GB2312" w:hAnsi="仿宋_GB2312" w:cs="仿宋_GB2312" w:eastAsia="仿宋_GB2312"/>
                <w:sz w:val="22"/>
              </w:rPr>
              <w:t>；</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3）乙方在甲方办理以上各期付款的支付手续前，应至少提前5个工作日向甲方出具等额的符合国家规定的发票；因乙方未按时向甲方提供等额发票，导致甲方延期付款时，甲方不承担任何违约责任；</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达到付款条件说明。</w:t>
            </w:r>
            <w:r>
              <w:rPr>
                <w:rFonts w:ascii="仿宋_GB2312" w:hAnsi="仿宋_GB2312" w:cs="仿宋_GB2312" w:eastAsia="仿宋_GB2312"/>
                <w:sz w:val="22"/>
              </w:rPr>
              <w:t>乙方在甲方办理以上各期付款的支付手续前，应至少提前</w:t>
            </w:r>
            <w:r>
              <w:rPr>
                <w:rFonts w:ascii="仿宋_GB2312" w:hAnsi="仿宋_GB2312" w:cs="仿宋_GB2312" w:eastAsia="仿宋_GB2312"/>
                <w:sz w:val="22"/>
              </w:rPr>
              <w:t>5个工作日向甲方出具等额的符合国家规定的发票；因乙方未按时向甲方提供等额发票，导致甲方延期付款时，甲方不承担任何违约责任；</w:t>
            </w:r>
            <w:r>
              <w:rPr>
                <w:rFonts w:ascii="仿宋_GB2312" w:hAnsi="仿宋_GB2312" w:cs="仿宋_GB2312" w:eastAsia="仿宋_GB2312"/>
                <w:sz w:val="21"/>
              </w:rPr>
              <w:t xml:space="preserve"> </w:t>
            </w:r>
            <w:r>
              <w:rPr>
                <w:rFonts w:ascii="仿宋_GB2312" w:hAnsi="仿宋_GB2312" w:cs="仿宋_GB2312" w:eastAsia="仿宋_GB2312"/>
                <w:sz w:val="22"/>
              </w:rPr>
              <w:t>上述时间不包括甲方正常办理支付报批手续的时间</w:t>
            </w:r>
            <w:r>
              <w:rPr>
                <w:rFonts w:ascii="仿宋_GB2312" w:hAnsi="仿宋_GB2312" w:cs="仿宋_GB2312" w:eastAsia="仿宋_GB2312"/>
                <w:sz w:val="22"/>
              </w:rPr>
              <w:t>；</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5）执行过程中，合同总金额如遇财政预算核减，财政核减后金额低于成交总金额的，按财政核减后金额执行</w:t>
            </w:r>
            <w:r>
              <w:rPr>
                <w:rFonts w:ascii="仿宋_GB2312" w:hAnsi="仿宋_GB2312" w:cs="仿宋_GB2312" w:eastAsia="仿宋_GB2312"/>
                <w:sz w:val="22"/>
              </w:rPr>
              <w:t>；</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6）如果由于甲方因国家政策的要求进行单位变更、机构改革等其他原因导致合同无法履行，甲方可解除合同，不承担任何责任。甲方预付的合同款项供应商应予退还。</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合同签订后，达到付款条件起30日内，支付合同总金额的60.00%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在财政预算执行时限内，且乙方已向甲方提交符合合同约定标准的阶段性工作报告及书面付款申请并经甲方审核通过后，支付合同总金额的40.00%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详见合同要求</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本项目属于非专门面向中小企业采购。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（一）提供注册登记凭证（营业执照、其他组织经营的合法凭证，自然人的提供身份证明文件）。 （二）具有良好的商业信誉和健全的财务会计制度。提供2024年或2025年经审计的具有注册会计师行业统一监管平台出具赋码的财务报告（包括四表一注，即资产负债表、利润表、现金流量表、所有者权益变动表及其附注），且无反对意见；事业法人提供部门决算报告；/或在磋商日期前六个月内其基本开户银行出具的资信证明（附基本存款账户信息等证明材料）；/或专业担保机构出具的磋商担保函；/或表明具有良好的商业信誉和健全的财务会计制度的诚信声明；/或供应商基本资格条件承诺函。 以上四种形式的资料提供任何一种即可。 （三）具有履行合同所必需的设备和专业技术能力。提供诚信承诺。 （四）具有依法缴纳税收的良好记录。提供缴费所属日期为投标截止时间前12个月内任一月份（磋商截止时间当月不计入）的缴费凭据或税务机关出具的完税证明或（在法规范围内不需提供的应出具书面说明和证明文件）；/或具有依法缴纳税收的诚信声明；/或供应商基本资格条件承诺函 以上形式的资料提供任何一种即可。 （五）具有依法缴纳社会保障资金的良好记录。提供缴费所属日期为磋商时间前12个月内任一月份（磋商截止时间当月不计入）的缴费凭据或社保机关出具的缴费证明/在法规范围内不需提供的应出具书面说明和证明文件/或具有依法缴纳社会保障资金的缴纳记录的诚信承诺。 （六）参加政府采购活动前3年内在经营活动中没有重大违法记录的书面声明。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信用查询记录</w:t>
            </w:r>
          </w:p>
        </w:tc>
        <w:tc>
          <w:tcPr>
            <w:tcW w:type="dxa" w:w="3322"/>
          </w:tcPr>
          <w:p>
            <w:pPr>
              <w:pStyle w:val="null3"/>
            </w:pPr>
            <w:r>
              <w:rPr>
                <w:rFonts w:ascii="仿宋_GB2312" w:hAnsi="仿宋_GB2312" w:cs="仿宋_GB2312" w:eastAsia="仿宋_GB2312"/>
              </w:rPr>
              <w:t>供应商不得为“信用中国”网站（www.creditchina.gov.cn）列入失信被执行人、严重失信主体名单、重大税收违法失信主体供应商，不得为“中国政府采购网”（www.ccgp.gov.cn）政府采购严重违法失信行为记录中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法定代表人授权书及本单位证明</w:t>
            </w:r>
          </w:p>
        </w:tc>
        <w:tc>
          <w:tcPr>
            <w:tcW w:type="dxa" w:w="3322"/>
          </w:tcPr>
          <w:p>
            <w:pPr>
              <w:pStyle w:val="null3"/>
            </w:pPr>
            <w:r>
              <w:rPr>
                <w:rFonts w:ascii="仿宋_GB2312" w:hAnsi="仿宋_GB2312" w:cs="仿宋_GB2312" w:eastAsia="仿宋_GB2312"/>
              </w:rPr>
              <w:t>法定代表人参加磋商的，须出示身份证；法定代表人授权他人参加磋商的，须提供法定代表人授权委托书、被授权人身份证及被授权人本单位证明 (近磋商时间连续六个月社保缴纳证明)（入职未满6个月，按实际入职时间提供社会保险缴纳证明；若入职时间短未缴纳社会保险，需提供劳动合同）。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资格证书</w:t>
            </w:r>
          </w:p>
        </w:tc>
        <w:tc>
          <w:tcPr>
            <w:tcW w:type="dxa" w:w="3322"/>
          </w:tcPr>
          <w:p>
            <w:pPr>
              <w:pStyle w:val="null3"/>
            </w:pPr>
            <w:r>
              <w:rPr>
                <w:rFonts w:ascii="仿宋_GB2312" w:hAnsi="仿宋_GB2312" w:cs="仿宋_GB2312" w:eastAsia="仿宋_GB2312"/>
              </w:rPr>
              <w:t>供应商须具备《网络安全服务认证证书等级保护测评服务认证》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（一）评审中出现下列情形之一的，评审委员会应当启动异常低价响应审查程序：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4.评审委员会基于专业判断，认为供应商报价过低，有可能影响产品质量或者不能诚信履约的其他情形。 （二）评审委员会启动异常低价响应审查后，属于前述第1项至第4项情形的，应当要求相关供应商在评审现场规定的时间内对响应价格作出解释，提供项目具体成本测算等与报价合理性相关的书面说明及必要的证明材料，包括但不限于原材料成本、人工成本、制造费用等。其中，属于第3项情形，供应商已随响应文件一并提交相关书面说明及必要的证明材料的，在评审现场可不再重复提交。 评审委员会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评审委员会应当将其作为无效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磋商响应文件的完整性、有效性、响应性审查</w:t>
            </w:r>
          </w:p>
        </w:tc>
        <w:tc>
          <w:tcPr>
            <w:tcW w:type="dxa" w:w="3322"/>
          </w:tcPr>
          <w:p>
            <w:pPr>
              <w:pStyle w:val="null3"/>
            </w:pPr>
            <w:r>
              <w:rPr>
                <w:rFonts w:ascii="仿宋_GB2312" w:hAnsi="仿宋_GB2312" w:cs="仿宋_GB2312" w:eastAsia="仿宋_GB2312"/>
              </w:rPr>
              <w:t>响应文件是否按照磋商文件要求的格式编写。响应文件的签署、加盖印章是否有效。响应报价是否未超过最高限价；响应报价有效期是否符合磋商文件的要求；是否满足磋商文件的实质性要求。</w:t>
            </w:r>
          </w:p>
        </w:tc>
        <w:tc>
          <w:tcPr>
            <w:tcW w:type="dxa" w:w="1661"/>
          </w:tcPr>
          <w:p>
            <w:pPr>
              <w:pStyle w:val="null3"/>
            </w:pPr>
            <w:r>
              <w:rPr>
                <w:rFonts w:ascii="仿宋_GB2312" w:hAnsi="仿宋_GB2312" w:cs="仿宋_GB2312" w:eastAsia="仿宋_GB2312"/>
              </w:rPr>
              <w:t>响应文件封面 响应方案说明书.docx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供应商针对本项目提供服务方案，包括①服务目标、内容②工作流程及步骤③测评方法及策略④工作进度安排⑤安全需求分析及整改服务方案⑥成果编制方案。 二、评审标准 1、完整性：方案须全面，对评审内容中的各项要求有详细描述； 2、可实施性：切合本项目实际情况，实施步骤清晰、合理； 3、针对性：方案能够紧扣本项目所采购服务的实际情况，内容科学合理。 三、赋分依据（满分18分） 上述评审内容全部满足评审标准得18分；每有一个评审内容缺项扣3分，扣完为止；每有一项对应的评审标准存在缺陷的，扣1分。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供应商针对本项目提供实施方案，包括①实施过程中风险防范措施②保密措施③保密责任④保密承诺⑤赔偿承诺 二、评审标准 1、完整性：方案须全面，对评审内容中的各项要求有详细描述； 2、可实施性：切合本项目实际情况，实施步骤清晰、合理； 3、针对性：方案能够紧扣本项目所采购服务的实际情况，内容科学合理。 三、赋分依据（满分15分） 上述评审内容全部满足评审标准得15分；每有一个评审内容缺项扣3分，扣完为止；每有一项对应的评审标准存在缺陷的，扣1分。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一、评审内容 供应商针对本项目提供服务保障措施，包括①项目质量管控措施②监控措施③质量保证管理体系④安全管理制度⑤安全咨询服务。 二、评审标准 1、完整性：方案须全面，对评审内容中的各项要求有详细描述； 2、可实施性：切合本项目实际情况，实施步骤清晰、合理； 3、针对性：方案能够紧扣本项目所采购服务的实际情况，内容科学合理。 三、赋分依据（满分15分） 上述评审内容全部满足评审标准得15分；每有一个评审内容缺项扣3分，扣完为止；每有一项对应的评审标准存在缺陷的，扣1分。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应急服务</w:t>
            </w:r>
          </w:p>
        </w:tc>
        <w:tc>
          <w:tcPr>
            <w:tcW w:type="dxa" w:w="2492"/>
          </w:tcPr>
          <w:p>
            <w:pPr>
              <w:pStyle w:val="null3"/>
            </w:pPr>
            <w:r>
              <w:rPr>
                <w:rFonts w:ascii="仿宋_GB2312" w:hAnsi="仿宋_GB2312" w:cs="仿宋_GB2312" w:eastAsia="仿宋_GB2312"/>
              </w:rPr>
              <w:t>一、评审内容 供应商针对本项目提供应急服务。包括①应急响应服务②安全培训服务③突发事件解决措施。 二、评审标准 1、完整性：方案须全面，对评审内容中的各项要求有详细描述； 2、可实施性：切合本项目实际情况，实施步骤清晰、合理； 3、针对性：方案能够紧扣本项目所采购服务的实际情况，内容科学合理。 三、赋分依据（满分9分） 上述评审内容全部满足评审标准得9分；每有一个评审内容缺项扣3分，扣完为止；每有一项对应的评审标准存在缺陷的，扣1分。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供应商提供《信息安全风险评估服务资质》、《信息安全应急处理服务资质》、《国家信息安全漏洞库（CNNVD）技术支撑单位等级证书》，每提供1个证书计1分，最高计3分。 供应商需具备“ISO 9001质量管理体系认证证书、ISO 45001职业健康安全管理体系认证证书、ISO 14001环境管理体系认证证书”。每提供1个证书计1分，最高计3分。 供应商需提供ISO 22301业务连续性管理体系认证证书、ISO 20000-1服务管理体系认证证书，ISO 27001信息安全管理体系认证证书。每提供1个证书计1分，最高计3分。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项目经理在具备高级网络安全等级测评师证书基础上，还需具备：网络工程师职称资格证书、注册网络安全渗透评估专业人员NSATP-A证书、注册信息系统审计师CISA证书。每缺一项扣1分，满分3分。 拟派渗透测试团队需具有5人及以上的成员，且人员均需具备CISP-PTE证书。满足条件的计5分；不满足不计分。 渗透组长需具有较强的渗透组织能力，信息系统项目管理师且具有CISP-PTE证书。满足条件的计2分；不满足不计分。 注：社保缴纳证明须为递交响应文件截止之日前连续6个月的社会保险缴纳证明（入职未满6个月，按实际入职时间提供社会保险缴纳证明；若入职时间短未缴纳社会保险，需提供劳动合同），否则此项不计分。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供应商针对本项目提供服务承诺，包括①后续服务承诺②违约责任承诺。 二、评审标准 1、完整性：方案须全面，对评审内容中的各项要求有详细描述； 2、可实施性：切合本项目实际情况，实施步骤清晰、合理； 3、针对性：方案能够紧扣本项目所采购服务的实际情况，内容科学合理。 三、赋分依据（满分4分） 上述评审内容全部满足评审标准得4分；每有一个评审内容缺项扣2分，扣完为止；每有一项对应的评审标准存在缺陷的，扣0.5分。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供应商具有（2024年1月1日至今）类似项目业绩（时间以合同签订的日期为准），提供1份得1分，满分10分。 备注：以上证明材料须提供合同（复印件）并加盖供应商单位公章，否则不得分。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1.满足磋商文件实质性要求且最终报价最低的供应商的价格为磋商基准价，其价格分为满分10分。2.磋商总报价得分=(磋商基准价／最终磋商总报价)×10。注：计算分数时四舍五入取小数点后两位。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详见附件：响应方案说明书.docx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详见附件：等级测评合同文本.docx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