
<file path=[Content_Types].xml><?xml version="1.0" encoding="utf-8"?>
<Types xmlns="http://schemas.openxmlformats.org/package/2006/content-types">
  <Default ContentType="image/jpeg" Extension="jpeg"/>
  <Default ContentType="image/png" Extension="pn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版本号：HBZB2026-02220260514001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电梯更新改造项目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HBZB2026-022</w:t>
      </w:r>
      <w:r>
        <w:br/>
      </w:r>
      <w:r>
        <w:br/>
      </w:r>
      <w:r>
        <w:br/>
      </w:r>
    </w:p>
    <w:p>
      <w:pPr>
        <w:pStyle w:val="null3"/>
        <w:jc w:val="center"/>
        <w:outlineLvl w:val="2"/>
      </w:pPr>
      <w:r>
        <w:rPr>
          <w:rFonts w:ascii="仿宋_GB2312" w:hAnsi="仿宋_GB2312" w:cs="仿宋_GB2312" w:eastAsia="仿宋_GB2312"/>
          <w:sz w:val="28"/>
          <w:b/>
        </w:rPr>
        <w:t>陕西省公安厅交通管理总队（交通管理局）</w:t>
      </w:r>
    </w:p>
    <w:p>
      <w:pPr>
        <w:pStyle w:val="null3"/>
        <w:jc w:val="center"/>
        <w:outlineLvl w:val="2"/>
      </w:pPr>
      <w:r>
        <w:rPr>
          <w:rFonts w:ascii="仿宋_GB2312" w:hAnsi="仿宋_GB2312" w:cs="仿宋_GB2312" w:eastAsia="仿宋_GB2312"/>
          <w:sz w:val="28"/>
          <w:b/>
        </w:rPr>
        <w:t>陕西华博项目管理有限公司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2026年05月15日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陕西华博项目管理有限公司</w:t>
      </w:r>
      <w:r>
        <w:rPr>
          <w:rFonts w:ascii="仿宋_GB2312" w:hAnsi="仿宋_GB2312" w:cs="仿宋_GB2312" w:eastAsia="仿宋_GB2312"/>
        </w:rPr>
        <w:t>（以下简称“代理机构”）受</w:t>
      </w:r>
      <w:r>
        <w:rPr>
          <w:rFonts w:ascii="仿宋_GB2312" w:hAnsi="仿宋_GB2312" w:cs="仿宋_GB2312" w:eastAsia="仿宋_GB2312"/>
        </w:rPr>
        <w:t>陕西省公安厅交通管理总队（交通管理局）</w:t>
      </w:r>
      <w:r>
        <w:rPr>
          <w:rFonts w:ascii="仿宋_GB2312" w:hAnsi="仿宋_GB2312" w:cs="仿宋_GB2312" w:eastAsia="仿宋_GB2312"/>
        </w:rPr>
        <w:t>委托，拟对</w:t>
      </w:r>
      <w:r>
        <w:rPr>
          <w:rFonts w:ascii="仿宋_GB2312" w:hAnsi="仿宋_GB2312" w:cs="仿宋_GB2312" w:eastAsia="仿宋_GB2312"/>
        </w:rPr>
        <w:t>电梯更新改造项目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HBZB2026-022</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电梯更新改造项目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陕西省公安厅交通管理总队办公楼电梯更新改造项目</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1、营业执照：具有独立承担民事责任能力的法人或其他组织，并出具合法有效的营业执照或事业单位法人证书等国家规定的相关证明；</w:t>
      </w:r>
    </w:p>
    <w:p>
      <w:pPr>
        <w:pStyle w:val="null3"/>
      </w:pPr>
      <w:r>
        <w:rPr>
          <w:rFonts w:ascii="仿宋_GB2312" w:hAnsi="仿宋_GB2312" w:cs="仿宋_GB2312" w:eastAsia="仿宋_GB2312"/>
        </w:rPr>
        <w:t>2、法定代表人委托授权书/法定代表人身份证明：提供法定代表人授权书（附法定代表人身份证复印件）及被授权代理人身份证复印件（法定代表人直接参加只需提供法定代表人身份证复印件）；</w:t>
      </w:r>
    </w:p>
    <w:p>
      <w:pPr>
        <w:pStyle w:val="null3"/>
      </w:pPr>
      <w:r>
        <w:rPr>
          <w:rFonts w:ascii="仿宋_GB2312" w:hAnsi="仿宋_GB2312" w:cs="仿宋_GB2312" w:eastAsia="仿宋_GB2312"/>
        </w:rPr>
        <w:t>3、财务状况：提供2024年度或2025年度经会计师事务所签字盖章的完整财务审计报告(财务审计报告包括资产负债表、利润表、现金流量表及财务报表附注，财务审计报告应盖有会计师事务所单位章和注册会计师的执业专用章，并附会计师事务所的营业执照及执业证书复印件)，或其开标前六个月内银行出具的资信证明（以上二种形式的资料提供任何一种即可）；</w:t>
      </w:r>
    </w:p>
    <w:p>
      <w:pPr>
        <w:pStyle w:val="null3"/>
      </w:pPr>
      <w:r>
        <w:rPr>
          <w:rFonts w:ascii="仿宋_GB2312" w:hAnsi="仿宋_GB2312" w:cs="仿宋_GB2312" w:eastAsia="仿宋_GB2312"/>
        </w:rPr>
        <w:t>4、税收缴纳证明：提供截止至开标时间前六个月内任意一个月的纳税证明或完税证明，纳税证明或完税证明上应有代收机构或税务机关的公章，依法免税的单位应提供相关证明材料；</w:t>
      </w:r>
    </w:p>
    <w:p>
      <w:pPr>
        <w:pStyle w:val="null3"/>
      </w:pPr>
      <w:r>
        <w:rPr>
          <w:rFonts w:ascii="仿宋_GB2312" w:hAnsi="仿宋_GB2312" w:cs="仿宋_GB2312" w:eastAsia="仿宋_GB2312"/>
        </w:rPr>
        <w:t>5、社会保障资金缴纳证明：提供截止至开标时间前六个月内任意一个月的社保缴费凭据或社保机构开具的社会保险参保缴费情况证明，依法不需要缴纳社会保障资金的单位应提供相关证明材料；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6、无重大违法记录声明：参加政府采购活动前三年内，在经营活动中没有重大违法记录的书面声明；</w:t>
      </w:r>
    </w:p>
    <w:p>
      <w:pPr>
        <w:pStyle w:val="null3"/>
      </w:pPr>
      <w:r>
        <w:rPr>
          <w:rFonts w:ascii="仿宋_GB2312" w:hAnsi="仿宋_GB2312" w:cs="仿宋_GB2312" w:eastAsia="仿宋_GB2312"/>
        </w:rPr>
        <w:t>7、信用查询：供应商未被列入“信用中国”（https://www.creditchina.gov.cn/）重大税收违法失信主体、未被列入“中国执行信息公开网”（http://zxgk.court.gov.cn）失信被执行人、未被列入“中国政府采购网”（http://www.ccgp.gov.cn/）政府采购严重违法失信行为记录名单的网页查询截图；</w:t>
      </w:r>
    </w:p>
    <w:p>
      <w:pPr>
        <w:pStyle w:val="null3"/>
      </w:pPr>
      <w:r>
        <w:rPr>
          <w:rFonts w:ascii="仿宋_GB2312" w:hAnsi="仿宋_GB2312" w:cs="仿宋_GB2312" w:eastAsia="仿宋_GB2312"/>
        </w:rPr>
        <w:t>8、专业技术能力证明：具备履行合同所必需的设备和专业技术能力的证明材料(由投标人根据项目需求提供说明材料或者承诺)；未为本项目提供整体设计、规范编制或者项目管理、监理、检测等服务；</w:t>
      </w:r>
    </w:p>
    <w:p>
      <w:pPr>
        <w:pStyle w:val="null3"/>
      </w:pPr>
      <w:r>
        <w:rPr>
          <w:rFonts w:ascii="仿宋_GB2312" w:hAnsi="仿宋_GB2312" w:cs="仿宋_GB2312" w:eastAsia="仿宋_GB2312"/>
        </w:rPr>
        <w:t>9、控股管理关系：单位负责人为同一人或者存在直接控股、管理关系的不同供应商，不得参加同一合同项下的政府采购活动；提供投标人企业关系关联承诺书。</w:t>
      </w:r>
    </w:p>
    <w:p>
      <w:pPr>
        <w:pStyle w:val="null3"/>
      </w:pPr>
      <w:r>
        <w:rPr>
          <w:rFonts w:ascii="仿宋_GB2312" w:hAnsi="仿宋_GB2312" w:cs="仿宋_GB2312" w:eastAsia="仿宋_GB2312"/>
        </w:rPr>
        <w:t>10、资质要求：供应商若为电梯制造商须具备《中华人民共和国特种设备生产许可证》【许可项目电梯制造（含安装、修理、改造），子项目含曳引驱动乘客电梯（含消防员电梯）】； 供应商若为电梯经销商（代理商）须同时提供《中华人民共和国特种设备生产许可证》【许可项目电梯安装（含修理），子项目含曳引驱动乘客电梯（含消防员电梯）】及所投电梯制造商的《中华人民共和国特种设备生产许可证》【许可项目含电梯制造，子项目含曳引驱动乘客电梯（含消防员电梯）】；</w:t>
      </w:r>
    </w:p>
    <w:p>
      <w:pPr>
        <w:pStyle w:val="null3"/>
      </w:pPr>
      <w:r>
        <w:rPr>
          <w:rFonts w:ascii="仿宋_GB2312" w:hAnsi="仿宋_GB2312" w:cs="仿宋_GB2312" w:eastAsia="仿宋_GB2312"/>
        </w:rPr>
        <w:t>11、联合体投标：本项目不接受联合体投标</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陕西省公安厅交通管理总队（交通管理局）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西安市雁塔区长安南路123号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房洪</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029-87680037</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陕西华博项目管理有限公司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陕西省西安市经济技术开发区凤城十一路文景商务广场 C座5层30502 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710018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任向梅、曹军军</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029-86100880</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采购包1：431,200.00元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采购包1保证金金额：8,000.00元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开户名称：陕西华博项目管理有限公司</w:t>
            </w:r>
          </w:p>
          <w:p>
            <w:pPr>
              <w:pStyle w:val="null3"/>
            </w:pPr>
            <w:r>
              <w:rPr>
                <w:rFonts w:ascii="仿宋_GB2312" w:hAnsi="仿宋_GB2312" w:cs="仿宋_GB2312" w:eastAsia="仿宋_GB2312"/>
              </w:rPr>
              <w:t>开户银行：中国建设银行股份有限公司西安高新技术产业开发区支行</w:t>
            </w:r>
          </w:p>
          <w:p>
            <w:pPr>
              <w:pStyle w:val="null3"/>
            </w:pPr>
            <w:r>
              <w:rPr>
                <w:rFonts w:ascii="仿宋_GB2312" w:hAnsi="仿宋_GB2312" w:cs="仿宋_GB2312" w:eastAsia="仿宋_GB2312"/>
              </w:rPr>
              <w:t>银行账号：61050192090000003265</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中标人应向采购代理机构交纳招标代理服务费。招标代理服务费的收取参见国家计委颁布的《招标代理服务收费管理暂行办法》（计价格[2002]1980号）和（发改办价格[2003]857号）货物类收费标准进行收取，在领取中标通知书时向采购代理机构一次性交纳。 开户名称：陕西华博项目管理有限公司 开户银行：中国建设银行股份有限公司西安高新技术产业开发区支行 银行账号：61050192090000003265</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陕西省公安厅交通管理总队（交通管理局）</w:t>
      </w:r>
      <w:r>
        <w:rPr>
          <w:rFonts w:ascii="仿宋_GB2312" w:hAnsi="仿宋_GB2312" w:cs="仿宋_GB2312" w:eastAsia="仿宋_GB2312"/>
        </w:rPr>
        <w:t>和</w:t>
      </w:r>
      <w:r>
        <w:rPr>
          <w:rFonts w:ascii="仿宋_GB2312" w:hAnsi="仿宋_GB2312" w:cs="仿宋_GB2312" w:eastAsia="仿宋_GB2312"/>
        </w:rPr>
        <w:t>陕西华博项目管理有限公司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陕西省公安厅交通管理总队（交通管理局）</w:t>
      </w:r>
      <w:r>
        <w:rPr>
          <w:rFonts w:ascii="仿宋_GB2312" w:hAnsi="仿宋_GB2312" w:cs="仿宋_GB2312" w:eastAsia="仿宋_GB2312"/>
        </w:rPr>
        <w:t>负责解释。除上述招标文件内容，其他内容由</w:t>
      </w:r>
      <w:r>
        <w:rPr>
          <w:rFonts w:ascii="仿宋_GB2312" w:hAnsi="仿宋_GB2312" w:cs="仿宋_GB2312" w:eastAsia="仿宋_GB2312"/>
        </w:rPr>
        <w:t>陕西华博项目管理有限公司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陕西省公安厅交通管理总队（交通管理局）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陕西华博项目管理有限公司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政府采购合同的履行、违约责任和解决争议的方法等适用《中华人民共和国民法典》。采购人按照政府采购合同规定的技术、服务、安全标准组织对供应商履约情况进行验收，并出具验收书。</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陕西华博项目管理有限公司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陕西华博项目管理有限公司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陕西华博项目管理有限公司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联系人：任向梅、曹军军</w:t>
      </w:r>
    </w:p>
    <w:p>
      <w:pPr>
        <w:pStyle w:val="null3"/>
      </w:pPr>
      <w:r>
        <w:rPr>
          <w:rFonts w:ascii="仿宋_GB2312" w:hAnsi="仿宋_GB2312" w:cs="仿宋_GB2312" w:eastAsia="仿宋_GB2312"/>
        </w:rPr>
        <w:t>联系电话：029-86100880</w:t>
      </w:r>
    </w:p>
    <w:p>
      <w:pPr>
        <w:pStyle w:val="null3"/>
      </w:pPr>
      <w:r>
        <w:rPr>
          <w:rFonts w:ascii="仿宋_GB2312" w:hAnsi="仿宋_GB2312" w:cs="仿宋_GB2312" w:eastAsia="仿宋_GB2312"/>
        </w:rPr>
        <w:t>地址：陕西省西安市经济技术开发区凤城十一路文景商务广场 C 座 5 层</w:t>
      </w:r>
    </w:p>
    <w:p>
      <w:pPr>
        <w:pStyle w:val="null3"/>
      </w:pPr>
      <w:r>
        <w:rPr>
          <w:rFonts w:ascii="仿宋_GB2312" w:hAnsi="仿宋_GB2312" w:cs="仿宋_GB2312" w:eastAsia="仿宋_GB2312"/>
        </w:rPr>
        <w:t>邮编：710018</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陕西省公安厅交通管理总队办公楼电梯更新改造项目</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431,200.00</w:t>
      </w:r>
    </w:p>
    <w:p>
      <w:pPr>
        <w:pStyle w:val="null3"/>
      </w:pPr>
      <w:r>
        <w:rPr>
          <w:rFonts w:ascii="仿宋_GB2312" w:hAnsi="仿宋_GB2312" w:cs="仿宋_GB2312" w:eastAsia="仿宋_GB2312"/>
        </w:rPr>
        <w:t>采购包最高限价（元）: 431,200.00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电梯</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431,200.00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标的名称：电梯</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spacing w:before="105"/>
              <w:jc w:val="left"/>
            </w:pPr>
            <w:r>
              <w:rPr>
                <w:rFonts w:ascii="仿宋_GB2312" w:hAnsi="仿宋_GB2312" w:cs="仿宋_GB2312" w:eastAsia="仿宋_GB2312"/>
                <w:sz w:val="30"/>
                <w:b/>
                <w:color w:val="000000"/>
              </w:rPr>
              <w:t>一、项目建设背景</w:t>
            </w:r>
          </w:p>
          <w:p>
            <w:pPr>
              <w:pStyle w:val="null3"/>
              <w:ind w:firstLine="560"/>
              <w:jc w:val="left"/>
            </w:pPr>
            <w:r>
              <w:rPr>
                <w:rFonts w:ascii="仿宋_GB2312" w:hAnsi="仿宋_GB2312" w:cs="仿宋_GB2312" w:eastAsia="仿宋_GB2312"/>
                <w:sz w:val="28"/>
                <w:color w:val="000000"/>
              </w:rPr>
              <w:t>陕西省公安厅交通管理总队现有办公大楼电梯设备于</w:t>
            </w:r>
            <w:r>
              <w:rPr>
                <w:rFonts w:ascii="仿宋_GB2312" w:hAnsi="仿宋_GB2312" w:cs="仿宋_GB2312" w:eastAsia="仿宋_GB2312"/>
                <w:sz w:val="28"/>
                <w:color w:val="000000"/>
              </w:rPr>
              <w:t>1999年购置安装并投入日常运行使用，至今设备服役年限较长。受当年建设时期技术水平、行业制造标准、设备配置条件限制，该电梯整体设计理念较为滞后，控制系统、安全防护装置、机械传动部件均按照上世纪老旧规范配置，与现阶段国家现行《特种设备安全法》《电梯制造与安装安全规范》等技术标准存在较大差距。历经二十余年不间断高频次办公使用，</w:t>
            </w:r>
            <w:r>
              <w:rPr>
                <w:rFonts w:ascii="仿宋_GB2312" w:hAnsi="仿宋_GB2312" w:cs="仿宋_GB2312" w:eastAsia="仿宋_GB2312"/>
                <w:sz w:val="28"/>
                <w:color w:val="000000"/>
              </w:rPr>
              <w:t>日</w:t>
            </w:r>
            <w:r>
              <w:rPr>
                <w:rFonts w:ascii="仿宋_GB2312" w:hAnsi="仿宋_GB2312" w:cs="仿宋_GB2312" w:eastAsia="仿宋_GB2312"/>
                <w:sz w:val="28"/>
                <w:color w:val="000000"/>
              </w:rPr>
              <w:t>常承载工作人员通勤、公务往来、物资转运等繁重通行任务，电梯主机曳引系统、控制柜、导轨、门机组件、线缆线路及各类附属零配件长期处于高负荷状态，已出现不同程度老化磨损、性能衰减问题。现阶段设备运行稳定性逐步下降，启停颠簸、响应延迟、故障频发等情况时有发生，后期维修零部件多已停产退市，采购难度大、维保成本逐年增加，日常维保只能采取临时检修处理，无法从根本上消除安全隐患，设备运行安全风险持续加大，已难以满足机关常态化办公运转安全保障要求，不符合安全生产常态化管理工作要求。</w:t>
            </w:r>
          </w:p>
          <w:p>
            <w:pPr>
              <w:pStyle w:val="null3"/>
              <w:ind w:firstLine="560"/>
              <w:jc w:val="left"/>
            </w:pPr>
            <w:r>
              <w:rPr>
                <w:rFonts w:ascii="仿宋_GB2312" w:hAnsi="仿宋_GB2312" w:cs="仿宋_GB2312" w:eastAsia="仿宋_GB2312"/>
                <w:sz w:val="28"/>
                <w:color w:val="000000"/>
              </w:rPr>
              <w:t>同时，原有电梯设计通行楼层存在功能短板，建设初期未规划连通地下一层通行功能，电梯目前不能直达地下楼层区域。随着单位业务工作不断拓展细化，办公日常管理日趋规范，大楼地下一层主要承担车辆停放、后勤物资存放、设备机房运维、杂物仓储等职能，民警日常物资搬运、设备检修、后勤保障作业、车辆业务办理往返地下区域频次较高</w:t>
            </w:r>
            <w:r>
              <w:rPr>
                <w:rFonts w:ascii="仿宋_GB2312" w:hAnsi="仿宋_GB2312" w:cs="仿宋_GB2312" w:eastAsia="仿宋_GB2312"/>
                <w:sz w:val="28"/>
                <w:color w:val="000000"/>
              </w:rPr>
              <w:t>。现阶段人员往返地上地下楼层只能通过步行楼梯绕行通行，出行流程繁琐不便，物资转运难度较大，极大降低日常办公效率，不利于后勤精细化管理。结合当前公安机关标准化建设、后勤服务提质增效工作要求</w:t>
            </w:r>
            <w:r>
              <w:rPr>
                <w:rFonts w:ascii="仿宋_GB2312" w:hAnsi="仿宋_GB2312" w:cs="仿宋_GB2312" w:eastAsia="仿宋_GB2312"/>
                <w:sz w:val="28"/>
                <w:color w:val="000000"/>
              </w:rPr>
              <w:t>,完善楼宇竖向交通配套设施十分必要。</w:t>
            </w:r>
          </w:p>
          <w:p>
            <w:pPr>
              <w:pStyle w:val="null3"/>
              <w:ind w:firstLine="560"/>
              <w:jc w:val="left"/>
            </w:pPr>
            <w:r>
              <w:rPr>
                <w:rFonts w:ascii="仿宋_GB2312" w:hAnsi="仿宋_GB2312" w:cs="仿宋_GB2312" w:eastAsia="仿宋_GB2312"/>
                <w:sz w:val="28"/>
                <w:color w:val="000000"/>
              </w:rPr>
              <w:t>按照特种设备安全管理相关规定要求，超期服役老旧电梯必须开展隐患整改及更新提质，全面压实单位安全生产主体责任，有效防范特种设备安全事故发生。为切实保障全体民辅警及工作人员人身安全，彻底解决现有电梯设备老旧落后、故障多发的突出问题，补齐通行功能短板</w:t>
            </w:r>
            <w:r>
              <w:rPr>
                <w:rFonts w:ascii="仿宋_GB2312" w:hAnsi="仿宋_GB2312" w:cs="仿宋_GB2312" w:eastAsia="仿宋_GB2312"/>
                <w:sz w:val="28"/>
                <w:color w:val="000000"/>
              </w:rPr>
              <w:t>,通过本次更新改造实现电梯直达地下一层，畅通地上地下人员物资通行渠道，进一步优化办公出行条件，提升后勤保障服务能力，保障办公大楼设施设备安全稳定运行，适配公安交管工作高质量发展需求，因此实施本次电梯更新改造项目具有现实必要性与紧迫性。</w:t>
            </w:r>
          </w:p>
          <w:p>
            <w:pPr>
              <w:pStyle w:val="null3"/>
              <w:spacing w:before="105"/>
              <w:jc w:val="left"/>
            </w:pPr>
            <w:r>
              <w:rPr>
                <w:rFonts w:ascii="仿宋_GB2312" w:hAnsi="仿宋_GB2312" w:cs="仿宋_GB2312" w:eastAsia="仿宋_GB2312"/>
                <w:sz w:val="30"/>
                <w:b/>
                <w:color w:val="000000"/>
              </w:rPr>
              <w:t>二</w:t>
            </w:r>
            <w:r>
              <w:rPr>
                <w:rFonts w:ascii="仿宋_GB2312" w:hAnsi="仿宋_GB2312" w:cs="仿宋_GB2312" w:eastAsia="仿宋_GB2312"/>
                <w:sz w:val="30"/>
                <w:b/>
                <w:color w:val="000000"/>
              </w:rPr>
              <w:t>、更新方案</w:t>
            </w:r>
            <w:r>
              <w:rPr>
                <w:rFonts w:ascii="仿宋_GB2312" w:hAnsi="仿宋_GB2312" w:cs="仿宋_GB2312" w:eastAsia="仿宋_GB2312"/>
                <w:sz w:val="30"/>
                <w:b/>
                <w:color w:val="000000"/>
              </w:rPr>
              <w:t>（重要参数）</w:t>
            </w:r>
          </w:p>
          <w:p>
            <w:pPr>
              <w:pStyle w:val="null3"/>
              <w:spacing w:before="105"/>
              <w:jc w:val="left"/>
            </w:pPr>
            <w:r>
              <w:drawing>
                <wp:inline distT="0" distR="0" distB="0" distL="0">
                  <wp:extent cx="1621155" cy="2659239"/>
                  <wp:docPr id="1" name="Drawing 1" descr="img"/>
                  <a:graphic xmlns:a="http://schemas.openxmlformats.org/drawingml/2006/main">
                    <a:graphicData uri="http://schemas.openxmlformats.org/drawingml/2006/picture">
                      <pic:pic xmlns:pic="http://schemas.openxmlformats.org/drawingml/2006/picture">
                        <pic:nvPicPr>
                          <pic:cNvPr id="0" name="Picture 1" descr="img"/>
                          <pic:cNvPicPr>
                            <a:picLocks noChangeAspect="true"/>
                          </pic:cNvPicPr>
                        </pic:nvPicPr>
                        <pic:blipFill>
                          <a:blip r:embed="rId6"/>
                          <a:stretch>
                            <a:fillRect/>
                          </a:stretch>
                        </pic:blipFill>
                        <pic:spPr>
                          <a:xfrm>
                            <a:off x="0" y="0"/>
                            <a:ext cx="1621155" cy="2659239"/>
                          </a:xfrm>
                          <a:prstGeom prst="rect">
                            <a:avLst/>
                          </a:prstGeom>
                        </pic:spPr>
                      </pic:pic>
                    </a:graphicData>
                  </a:graphic>
                </wp:inline>
              </w:drawing>
            </w:r>
          </w:p>
          <w:p>
            <w:pPr>
              <w:pStyle w:val="null3"/>
              <w:spacing w:before="105"/>
              <w:jc w:val="left"/>
            </w:pPr>
            <w:r>
              <w:drawing>
                <wp:inline distT="0" distR="0" distB="0" distL="0">
                  <wp:extent cx="1621155" cy="3044529"/>
                  <wp:docPr id="2" name="Drawing 2" descr="img"/>
                  <a:graphic xmlns:a="http://schemas.openxmlformats.org/drawingml/2006/main">
                    <a:graphicData uri="http://schemas.openxmlformats.org/drawingml/2006/picture">
                      <pic:pic xmlns:pic="http://schemas.openxmlformats.org/drawingml/2006/picture">
                        <pic:nvPicPr>
                          <pic:cNvPr id="0" name="Picture 2" descr="img"/>
                          <pic:cNvPicPr>
                            <a:picLocks noChangeAspect="true"/>
                          </pic:cNvPicPr>
                        </pic:nvPicPr>
                        <pic:blipFill>
                          <a:blip r:embed="rId7"/>
                          <a:stretch>
                            <a:fillRect/>
                          </a:stretch>
                        </pic:blipFill>
                        <pic:spPr>
                          <a:xfrm>
                            <a:off x="0" y="0"/>
                            <a:ext cx="1621155" cy="3044529"/>
                          </a:xfrm>
                          <a:prstGeom prst="rect">
                            <a:avLst/>
                          </a:prstGeom>
                        </pic:spPr>
                      </pic:pic>
                    </a:graphicData>
                  </a:graphic>
                </wp:inline>
              </w:drawing>
            </w:r>
          </w:p>
          <w:p>
            <w:pPr>
              <w:pStyle w:val="null3"/>
              <w:spacing w:before="105"/>
              <w:jc w:val="left"/>
            </w:pPr>
            <w:r>
              <w:rPr>
                <w:rFonts w:ascii="仿宋_GB2312" w:hAnsi="仿宋_GB2312" w:cs="仿宋_GB2312" w:eastAsia="仿宋_GB2312"/>
                <w:sz w:val="28"/>
                <w:b/>
                <w:color w:val="000000"/>
              </w:rPr>
              <w:t>三、</w:t>
            </w:r>
            <w:r>
              <w:rPr>
                <w:rFonts w:ascii="仿宋_GB2312" w:hAnsi="仿宋_GB2312" w:cs="仿宋_GB2312" w:eastAsia="仿宋_GB2312"/>
                <w:sz w:val="28"/>
                <w:b/>
                <w:color w:val="000000"/>
              </w:rPr>
              <w:t>产品标准</w:t>
            </w:r>
          </w:p>
          <w:p>
            <w:pPr>
              <w:pStyle w:val="null3"/>
              <w:ind w:left="15"/>
              <w:jc w:val="left"/>
            </w:pPr>
            <w:r>
              <w:rPr>
                <w:rFonts w:ascii="仿宋_GB2312" w:hAnsi="仿宋_GB2312" w:cs="仿宋_GB2312" w:eastAsia="仿宋_GB2312"/>
                <w:sz w:val="24"/>
                <w:color w:val="000000"/>
              </w:rPr>
              <w:t>《电梯制造与安装安全规范</w:t>
            </w:r>
            <w:r>
              <w:rPr>
                <w:rFonts w:ascii="仿宋_GB2312" w:hAnsi="仿宋_GB2312" w:cs="仿宋_GB2312" w:eastAsia="仿宋_GB2312"/>
                <w:sz w:val="24"/>
                <w:color w:val="000000"/>
              </w:rPr>
              <w:t>第</w:t>
            </w:r>
            <w:r>
              <w:rPr>
                <w:rFonts w:ascii="仿宋_GB2312" w:hAnsi="仿宋_GB2312" w:cs="仿宋_GB2312" w:eastAsia="仿宋_GB2312"/>
                <w:sz w:val="24"/>
                <w:color w:val="000000"/>
              </w:rPr>
              <w:t>1部分：乘客电梯和载货电</w:t>
            </w:r>
            <w:r>
              <w:rPr>
                <w:rFonts w:ascii="仿宋_GB2312" w:hAnsi="仿宋_GB2312" w:cs="仿宋_GB2312" w:eastAsia="仿宋_GB2312"/>
                <w:sz w:val="24"/>
                <w:color w:val="000000"/>
              </w:rPr>
              <w:t>梯》</w:t>
            </w:r>
            <w:r>
              <w:rPr>
                <w:rFonts w:ascii="仿宋_GB2312" w:hAnsi="仿宋_GB2312" w:cs="仿宋_GB2312" w:eastAsia="仿宋_GB2312"/>
                <w:sz w:val="24"/>
                <w:color w:val="000000"/>
              </w:rPr>
              <w:t>GB/T7588.1-2003</w:t>
            </w:r>
          </w:p>
          <w:p>
            <w:pPr>
              <w:pStyle w:val="null3"/>
              <w:jc w:val="left"/>
            </w:pPr>
            <w:r>
              <w:rPr>
                <w:rFonts w:ascii="仿宋_GB2312" w:hAnsi="仿宋_GB2312" w:cs="仿宋_GB2312" w:eastAsia="仿宋_GB2312"/>
                <w:sz w:val="24"/>
                <w:color w:val="000000"/>
              </w:rPr>
              <w:t>《</w:t>
            </w:r>
            <w:r>
              <w:rPr>
                <w:rFonts w:ascii="仿宋_GB2312" w:hAnsi="仿宋_GB2312" w:cs="仿宋_GB2312" w:eastAsia="仿宋_GB2312"/>
                <w:sz w:val="21"/>
                <w:color w:val="000000"/>
              </w:rPr>
              <w:t xml:space="preserve"> </w:t>
            </w:r>
            <w:r>
              <w:rPr>
                <w:rFonts w:ascii="仿宋_GB2312" w:hAnsi="仿宋_GB2312" w:cs="仿宋_GB2312" w:eastAsia="仿宋_GB2312"/>
                <w:sz w:val="24"/>
                <w:color w:val="000000"/>
              </w:rPr>
              <w:t>电</w:t>
            </w:r>
            <w:r>
              <w:rPr>
                <w:rFonts w:ascii="仿宋_GB2312" w:hAnsi="仿宋_GB2312" w:cs="仿宋_GB2312" w:eastAsia="仿宋_GB2312"/>
                <w:sz w:val="21"/>
                <w:color w:val="000000"/>
              </w:rPr>
              <w:t xml:space="preserve"> </w:t>
            </w:r>
            <w:r>
              <w:rPr>
                <w:rFonts w:ascii="仿宋_GB2312" w:hAnsi="仿宋_GB2312" w:cs="仿宋_GB2312" w:eastAsia="仿宋_GB2312"/>
                <w:sz w:val="24"/>
                <w:color w:val="000000"/>
              </w:rPr>
              <w:t>梯</w:t>
            </w:r>
            <w:r>
              <w:rPr>
                <w:rFonts w:ascii="仿宋_GB2312" w:hAnsi="仿宋_GB2312" w:cs="仿宋_GB2312" w:eastAsia="仿宋_GB2312"/>
                <w:sz w:val="21"/>
                <w:color w:val="000000"/>
              </w:rPr>
              <w:t xml:space="preserve"> </w:t>
            </w:r>
            <w:r>
              <w:rPr>
                <w:rFonts w:ascii="仿宋_GB2312" w:hAnsi="仿宋_GB2312" w:cs="仿宋_GB2312" w:eastAsia="仿宋_GB2312"/>
                <w:sz w:val="24"/>
                <w:color w:val="000000"/>
              </w:rPr>
              <w:t>制</w:t>
            </w:r>
            <w:r>
              <w:rPr>
                <w:rFonts w:ascii="仿宋_GB2312" w:hAnsi="仿宋_GB2312" w:cs="仿宋_GB2312" w:eastAsia="仿宋_GB2312"/>
                <w:sz w:val="21"/>
                <w:color w:val="000000"/>
              </w:rPr>
              <w:t xml:space="preserve"> </w:t>
            </w:r>
            <w:r>
              <w:rPr>
                <w:rFonts w:ascii="仿宋_GB2312" w:hAnsi="仿宋_GB2312" w:cs="仿宋_GB2312" w:eastAsia="仿宋_GB2312"/>
                <w:sz w:val="24"/>
                <w:color w:val="000000"/>
              </w:rPr>
              <w:t>造</w:t>
            </w:r>
            <w:r>
              <w:rPr>
                <w:rFonts w:ascii="仿宋_GB2312" w:hAnsi="仿宋_GB2312" w:cs="仿宋_GB2312" w:eastAsia="仿宋_GB2312"/>
                <w:sz w:val="21"/>
                <w:color w:val="000000"/>
              </w:rPr>
              <w:t xml:space="preserve"> </w:t>
            </w:r>
            <w:r>
              <w:rPr>
                <w:rFonts w:ascii="仿宋_GB2312" w:hAnsi="仿宋_GB2312" w:cs="仿宋_GB2312" w:eastAsia="仿宋_GB2312"/>
                <w:sz w:val="24"/>
                <w:color w:val="000000"/>
              </w:rPr>
              <w:t>与</w:t>
            </w:r>
            <w:r>
              <w:rPr>
                <w:rFonts w:ascii="仿宋_GB2312" w:hAnsi="仿宋_GB2312" w:cs="仿宋_GB2312" w:eastAsia="仿宋_GB2312"/>
                <w:sz w:val="21"/>
                <w:color w:val="000000"/>
              </w:rPr>
              <w:t xml:space="preserve"> </w:t>
            </w:r>
            <w:r>
              <w:rPr>
                <w:rFonts w:ascii="仿宋_GB2312" w:hAnsi="仿宋_GB2312" w:cs="仿宋_GB2312" w:eastAsia="仿宋_GB2312"/>
                <w:sz w:val="24"/>
                <w:color w:val="000000"/>
              </w:rPr>
              <w:t>安</w:t>
            </w:r>
            <w:r>
              <w:rPr>
                <w:rFonts w:ascii="仿宋_GB2312" w:hAnsi="仿宋_GB2312" w:cs="仿宋_GB2312" w:eastAsia="仿宋_GB2312"/>
                <w:sz w:val="21"/>
                <w:color w:val="000000"/>
              </w:rPr>
              <w:t xml:space="preserve"> </w:t>
            </w:r>
            <w:r>
              <w:rPr>
                <w:rFonts w:ascii="仿宋_GB2312" w:hAnsi="仿宋_GB2312" w:cs="仿宋_GB2312" w:eastAsia="仿宋_GB2312"/>
                <w:sz w:val="24"/>
                <w:color w:val="000000"/>
              </w:rPr>
              <w:t>装</w:t>
            </w:r>
            <w:r>
              <w:rPr>
                <w:rFonts w:ascii="仿宋_GB2312" w:hAnsi="仿宋_GB2312" w:cs="仿宋_GB2312" w:eastAsia="仿宋_GB2312"/>
                <w:sz w:val="21"/>
                <w:color w:val="000000"/>
              </w:rPr>
              <w:t xml:space="preserve"> </w:t>
            </w:r>
            <w:r>
              <w:rPr>
                <w:rFonts w:ascii="仿宋_GB2312" w:hAnsi="仿宋_GB2312" w:cs="仿宋_GB2312" w:eastAsia="仿宋_GB2312"/>
                <w:sz w:val="24"/>
                <w:color w:val="000000"/>
              </w:rPr>
              <w:t>安</w:t>
            </w:r>
            <w:r>
              <w:rPr>
                <w:rFonts w:ascii="仿宋_GB2312" w:hAnsi="仿宋_GB2312" w:cs="仿宋_GB2312" w:eastAsia="仿宋_GB2312"/>
                <w:sz w:val="21"/>
                <w:color w:val="000000"/>
              </w:rPr>
              <w:t xml:space="preserve"> </w:t>
            </w:r>
            <w:r>
              <w:rPr>
                <w:rFonts w:ascii="仿宋_GB2312" w:hAnsi="仿宋_GB2312" w:cs="仿宋_GB2312" w:eastAsia="仿宋_GB2312"/>
                <w:sz w:val="24"/>
                <w:color w:val="000000"/>
              </w:rPr>
              <w:t>全</w:t>
            </w:r>
            <w:r>
              <w:rPr>
                <w:rFonts w:ascii="仿宋_GB2312" w:hAnsi="仿宋_GB2312" w:cs="仿宋_GB2312" w:eastAsia="仿宋_GB2312"/>
                <w:sz w:val="21"/>
                <w:color w:val="000000"/>
              </w:rPr>
              <w:t xml:space="preserve"> </w:t>
            </w:r>
            <w:r>
              <w:rPr>
                <w:rFonts w:ascii="仿宋_GB2312" w:hAnsi="仿宋_GB2312" w:cs="仿宋_GB2312" w:eastAsia="仿宋_GB2312"/>
                <w:sz w:val="24"/>
                <w:color w:val="000000"/>
              </w:rPr>
              <w:t>规</w:t>
            </w:r>
            <w:r>
              <w:rPr>
                <w:rFonts w:ascii="仿宋_GB2312" w:hAnsi="仿宋_GB2312" w:cs="仿宋_GB2312" w:eastAsia="仿宋_GB2312"/>
                <w:sz w:val="21"/>
                <w:color w:val="000000"/>
              </w:rPr>
              <w:t xml:space="preserve"> </w:t>
            </w:r>
            <w:r>
              <w:rPr>
                <w:rFonts w:ascii="仿宋_GB2312" w:hAnsi="仿宋_GB2312" w:cs="仿宋_GB2312" w:eastAsia="仿宋_GB2312"/>
                <w:sz w:val="24"/>
                <w:color w:val="000000"/>
              </w:rPr>
              <w:t>范</w:t>
            </w:r>
            <w:r>
              <w:rPr>
                <w:rFonts w:ascii="仿宋_GB2312" w:hAnsi="仿宋_GB2312" w:cs="仿宋_GB2312" w:eastAsia="仿宋_GB2312"/>
                <w:sz w:val="21"/>
                <w:color w:val="000000"/>
              </w:rPr>
              <w:t xml:space="preserve"> </w:t>
            </w:r>
            <w:r>
              <w:rPr>
                <w:rFonts w:ascii="仿宋_GB2312" w:hAnsi="仿宋_GB2312" w:cs="仿宋_GB2312" w:eastAsia="仿宋_GB2312"/>
                <w:sz w:val="24"/>
                <w:color w:val="000000"/>
              </w:rPr>
              <w:t>第</w:t>
            </w:r>
            <w:r>
              <w:rPr>
                <w:rFonts w:ascii="仿宋_GB2312" w:hAnsi="仿宋_GB2312" w:cs="仿宋_GB2312" w:eastAsia="仿宋_GB2312"/>
                <w:sz w:val="21"/>
                <w:color w:val="000000"/>
              </w:rPr>
              <w:t xml:space="preserve"> </w:t>
            </w:r>
            <w:r>
              <w:rPr>
                <w:rFonts w:ascii="仿宋_GB2312" w:hAnsi="仿宋_GB2312" w:cs="仿宋_GB2312" w:eastAsia="仿宋_GB2312"/>
                <w:sz w:val="24"/>
                <w:color w:val="000000"/>
              </w:rPr>
              <w:t>2</w:t>
            </w:r>
            <w:r>
              <w:rPr>
                <w:rFonts w:ascii="仿宋_GB2312" w:hAnsi="仿宋_GB2312" w:cs="仿宋_GB2312" w:eastAsia="仿宋_GB2312"/>
                <w:sz w:val="21"/>
                <w:color w:val="000000"/>
              </w:rPr>
              <w:t xml:space="preserve"> </w:t>
            </w:r>
            <w:r>
              <w:rPr>
                <w:rFonts w:ascii="仿宋_GB2312" w:hAnsi="仿宋_GB2312" w:cs="仿宋_GB2312" w:eastAsia="仿宋_GB2312"/>
                <w:sz w:val="24"/>
                <w:color w:val="000000"/>
              </w:rPr>
              <w:t>部</w:t>
            </w:r>
            <w:r>
              <w:rPr>
                <w:rFonts w:ascii="仿宋_GB2312" w:hAnsi="仿宋_GB2312" w:cs="仿宋_GB2312" w:eastAsia="仿宋_GB2312"/>
                <w:sz w:val="21"/>
                <w:color w:val="000000"/>
              </w:rPr>
              <w:t xml:space="preserve"> </w:t>
            </w:r>
            <w:r>
              <w:rPr>
                <w:rFonts w:ascii="仿宋_GB2312" w:hAnsi="仿宋_GB2312" w:cs="仿宋_GB2312" w:eastAsia="仿宋_GB2312"/>
                <w:sz w:val="24"/>
                <w:color w:val="000000"/>
              </w:rPr>
              <w:t>分</w:t>
            </w:r>
            <w:r>
              <w:rPr>
                <w:rFonts w:ascii="仿宋_GB2312" w:hAnsi="仿宋_GB2312" w:cs="仿宋_GB2312" w:eastAsia="仿宋_GB2312"/>
                <w:sz w:val="21"/>
                <w:color w:val="000000"/>
              </w:rPr>
              <w:t xml:space="preserve"> </w:t>
            </w:r>
            <w:r>
              <w:rPr>
                <w:rFonts w:ascii="仿宋_GB2312" w:hAnsi="仿宋_GB2312" w:cs="仿宋_GB2312" w:eastAsia="仿宋_GB2312"/>
                <w:sz w:val="24"/>
                <w:color w:val="000000"/>
              </w:rPr>
              <w:t>：</w:t>
            </w:r>
            <w:r>
              <w:rPr>
                <w:rFonts w:ascii="仿宋_GB2312" w:hAnsi="仿宋_GB2312" w:cs="仿宋_GB2312" w:eastAsia="仿宋_GB2312"/>
                <w:sz w:val="21"/>
                <w:color w:val="000000"/>
              </w:rPr>
              <w:t xml:space="preserve"> </w:t>
            </w:r>
            <w:r>
              <w:rPr>
                <w:rFonts w:ascii="仿宋_GB2312" w:hAnsi="仿宋_GB2312" w:cs="仿宋_GB2312" w:eastAsia="仿宋_GB2312"/>
                <w:sz w:val="24"/>
                <w:color w:val="000000"/>
              </w:rPr>
              <w:t>电</w:t>
            </w:r>
            <w:r>
              <w:rPr>
                <w:rFonts w:ascii="仿宋_GB2312" w:hAnsi="仿宋_GB2312" w:cs="仿宋_GB2312" w:eastAsia="仿宋_GB2312"/>
                <w:sz w:val="21"/>
                <w:color w:val="000000"/>
              </w:rPr>
              <w:t xml:space="preserve"> </w:t>
            </w:r>
            <w:r>
              <w:rPr>
                <w:rFonts w:ascii="仿宋_GB2312" w:hAnsi="仿宋_GB2312" w:cs="仿宋_GB2312" w:eastAsia="仿宋_GB2312"/>
                <w:sz w:val="24"/>
                <w:color w:val="000000"/>
              </w:rPr>
              <w:t>梯</w:t>
            </w:r>
            <w:r>
              <w:rPr>
                <w:rFonts w:ascii="仿宋_GB2312" w:hAnsi="仿宋_GB2312" w:cs="仿宋_GB2312" w:eastAsia="仿宋_GB2312"/>
                <w:sz w:val="21"/>
                <w:color w:val="000000"/>
              </w:rPr>
              <w:t xml:space="preserve"> </w:t>
            </w:r>
            <w:r>
              <w:rPr>
                <w:rFonts w:ascii="仿宋_GB2312" w:hAnsi="仿宋_GB2312" w:cs="仿宋_GB2312" w:eastAsia="仿宋_GB2312"/>
                <w:sz w:val="24"/>
                <w:color w:val="000000"/>
              </w:rPr>
              <w:t>部</w:t>
            </w:r>
            <w:r>
              <w:rPr>
                <w:rFonts w:ascii="仿宋_GB2312" w:hAnsi="仿宋_GB2312" w:cs="仿宋_GB2312" w:eastAsia="仿宋_GB2312"/>
                <w:sz w:val="21"/>
                <w:color w:val="000000"/>
              </w:rPr>
              <w:t xml:space="preserve"> </w:t>
            </w:r>
            <w:r>
              <w:rPr>
                <w:rFonts w:ascii="仿宋_GB2312" w:hAnsi="仿宋_GB2312" w:cs="仿宋_GB2312" w:eastAsia="仿宋_GB2312"/>
                <w:sz w:val="24"/>
                <w:color w:val="000000"/>
              </w:rPr>
              <w:t>件</w:t>
            </w:r>
            <w:r>
              <w:rPr>
                <w:rFonts w:ascii="仿宋_GB2312" w:hAnsi="仿宋_GB2312" w:cs="仿宋_GB2312" w:eastAsia="仿宋_GB2312"/>
                <w:sz w:val="21"/>
                <w:color w:val="000000"/>
              </w:rPr>
              <w:t xml:space="preserve"> </w:t>
            </w:r>
            <w:r>
              <w:rPr>
                <w:rFonts w:ascii="仿宋_GB2312" w:hAnsi="仿宋_GB2312" w:cs="仿宋_GB2312" w:eastAsia="仿宋_GB2312"/>
                <w:sz w:val="24"/>
                <w:color w:val="000000"/>
              </w:rPr>
              <w:t>的</w:t>
            </w:r>
            <w:r>
              <w:rPr>
                <w:rFonts w:ascii="仿宋_GB2312" w:hAnsi="仿宋_GB2312" w:cs="仿宋_GB2312" w:eastAsia="仿宋_GB2312"/>
                <w:sz w:val="21"/>
                <w:color w:val="000000"/>
              </w:rPr>
              <w:t xml:space="preserve"> </w:t>
            </w:r>
            <w:r>
              <w:rPr>
                <w:rFonts w:ascii="仿宋_GB2312" w:hAnsi="仿宋_GB2312" w:cs="仿宋_GB2312" w:eastAsia="仿宋_GB2312"/>
                <w:sz w:val="24"/>
                <w:color w:val="000000"/>
              </w:rPr>
              <w:t>设</w:t>
            </w:r>
            <w:r>
              <w:rPr>
                <w:rFonts w:ascii="仿宋_GB2312" w:hAnsi="仿宋_GB2312" w:cs="仿宋_GB2312" w:eastAsia="仿宋_GB2312"/>
                <w:sz w:val="21"/>
                <w:color w:val="000000"/>
              </w:rPr>
              <w:t xml:space="preserve"> </w:t>
            </w:r>
            <w:r>
              <w:rPr>
                <w:rFonts w:ascii="仿宋_GB2312" w:hAnsi="仿宋_GB2312" w:cs="仿宋_GB2312" w:eastAsia="仿宋_GB2312"/>
                <w:sz w:val="24"/>
                <w:color w:val="000000"/>
              </w:rPr>
              <w:t>计</w:t>
            </w:r>
            <w:r>
              <w:rPr>
                <w:rFonts w:ascii="仿宋_GB2312" w:hAnsi="仿宋_GB2312" w:cs="仿宋_GB2312" w:eastAsia="仿宋_GB2312"/>
                <w:sz w:val="21"/>
                <w:color w:val="000000"/>
              </w:rPr>
              <w:t xml:space="preserve"> </w:t>
            </w:r>
            <w:r>
              <w:rPr>
                <w:rFonts w:ascii="仿宋_GB2312" w:hAnsi="仿宋_GB2312" w:cs="仿宋_GB2312" w:eastAsia="仿宋_GB2312"/>
                <w:sz w:val="24"/>
                <w:color w:val="000000"/>
              </w:rPr>
              <w:t>原</w:t>
            </w:r>
            <w:r>
              <w:rPr>
                <w:rFonts w:ascii="仿宋_GB2312" w:hAnsi="仿宋_GB2312" w:cs="仿宋_GB2312" w:eastAsia="仿宋_GB2312"/>
                <w:sz w:val="21"/>
                <w:color w:val="000000"/>
              </w:rPr>
              <w:t xml:space="preserve"> </w:t>
            </w:r>
            <w:r>
              <w:rPr>
                <w:rFonts w:ascii="仿宋_GB2312" w:hAnsi="仿宋_GB2312" w:cs="仿宋_GB2312" w:eastAsia="仿宋_GB2312"/>
                <w:sz w:val="24"/>
                <w:color w:val="000000"/>
              </w:rPr>
              <w:t>则</w:t>
            </w:r>
            <w:r>
              <w:rPr>
                <w:rFonts w:ascii="仿宋_GB2312" w:hAnsi="仿宋_GB2312" w:cs="仿宋_GB2312" w:eastAsia="仿宋_GB2312"/>
                <w:sz w:val="21"/>
                <w:color w:val="000000"/>
              </w:rPr>
              <w:t xml:space="preserve"> </w:t>
            </w:r>
            <w:r>
              <w:rPr>
                <w:rFonts w:ascii="仿宋_GB2312" w:hAnsi="仿宋_GB2312" w:cs="仿宋_GB2312" w:eastAsia="仿宋_GB2312"/>
                <w:sz w:val="24"/>
                <w:color w:val="000000"/>
              </w:rPr>
              <w:t>、</w:t>
            </w:r>
            <w:r>
              <w:rPr>
                <w:rFonts w:ascii="仿宋_GB2312" w:hAnsi="仿宋_GB2312" w:cs="仿宋_GB2312" w:eastAsia="仿宋_GB2312"/>
                <w:sz w:val="21"/>
                <w:color w:val="000000"/>
              </w:rPr>
              <w:t xml:space="preserve"> </w:t>
            </w:r>
            <w:r>
              <w:rPr>
                <w:rFonts w:ascii="仿宋_GB2312" w:hAnsi="仿宋_GB2312" w:cs="仿宋_GB2312" w:eastAsia="仿宋_GB2312"/>
                <w:sz w:val="24"/>
                <w:color w:val="000000"/>
              </w:rPr>
              <w:t>计</w:t>
            </w:r>
            <w:r>
              <w:rPr>
                <w:rFonts w:ascii="仿宋_GB2312" w:hAnsi="仿宋_GB2312" w:cs="仿宋_GB2312" w:eastAsia="仿宋_GB2312"/>
                <w:sz w:val="21"/>
                <w:color w:val="000000"/>
              </w:rPr>
              <w:t xml:space="preserve"> </w:t>
            </w:r>
            <w:r>
              <w:rPr>
                <w:rFonts w:ascii="仿宋_GB2312" w:hAnsi="仿宋_GB2312" w:cs="仿宋_GB2312" w:eastAsia="仿宋_GB2312"/>
                <w:sz w:val="24"/>
                <w:color w:val="000000"/>
              </w:rPr>
              <w:t>算</w:t>
            </w:r>
            <w:r>
              <w:rPr>
                <w:rFonts w:ascii="仿宋_GB2312" w:hAnsi="仿宋_GB2312" w:cs="仿宋_GB2312" w:eastAsia="仿宋_GB2312"/>
                <w:sz w:val="21"/>
                <w:color w:val="000000"/>
              </w:rPr>
              <w:t xml:space="preserve"> </w:t>
            </w:r>
            <w:r>
              <w:rPr>
                <w:rFonts w:ascii="仿宋_GB2312" w:hAnsi="仿宋_GB2312" w:cs="仿宋_GB2312" w:eastAsia="仿宋_GB2312"/>
                <w:sz w:val="24"/>
                <w:color w:val="000000"/>
              </w:rPr>
              <w:t>和</w:t>
            </w:r>
            <w:r>
              <w:rPr>
                <w:rFonts w:ascii="仿宋_GB2312" w:hAnsi="仿宋_GB2312" w:cs="仿宋_GB2312" w:eastAsia="仿宋_GB2312"/>
                <w:sz w:val="21"/>
                <w:color w:val="000000"/>
              </w:rPr>
              <w:t xml:space="preserve"> </w:t>
            </w:r>
            <w:r>
              <w:rPr>
                <w:rFonts w:ascii="仿宋_GB2312" w:hAnsi="仿宋_GB2312" w:cs="仿宋_GB2312" w:eastAsia="仿宋_GB2312"/>
                <w:sz w:val="24"/>
                <w:color w:val="000000"/>
              </w:rPr>
              <w:t>检</w:t>
            </w:r>
            <w:r>
              <w:rPr>
                <w:rFonts w:ascii="仿宋_GB2312" w:hAnsi="仿宋_GB2312" w:cs="仿宋_GB2312" w:eastAsia="仿宋_GB2312"/>
                <w:sz w:val="21"/>
                <w:color w:val="000000"/>
              </w:rPr>
              <w:t xml:space="preserve"> </w:t>
            </w:r>
            <w:r>
              <w:rPr>
                <w:rFonts w:ascii="仿宋_GB2312" w:hAnsi="仿宋_GB2312" w:cs="仿宋_GB2312" w:eastAsia="仿宋_GB2312"/>
                <w:sz w:val="24"/>
                <w:color w:val="000000"/>
              </w:rPr>
              <w:t>验》</w:t>
            </w:r>
            <w:r>
              <w:rPr>
                <w:rFonts w:ascii="仿宋_GB2312" w:hAnsi="仿宋_GB2312" w:cs="仿宋_GB2312" w:eastAsia="仿宋_GB2312"/>
                <w:sz w:val="21"/>
                <w:color w:val="000000"/>
              </w:rPr>
              <w:t xml:space="preserve"> </w:t>
            </w:r>
            <w:r>
              <w:rPr>
                <w:rFonts w:ascii="仿宋_GB2312" w:hAnsi="仿宋_GB2312" w:cs="仿宋_GB2312" w:eastAsia="仿宋_GB2312"/>
                <w:sz w:val="24"/>
                <w:color w:val="000000"/>
              </w:rPr>
              <w:t>GB/T7588.2-2003</w:t>
            </w:r>
          </w:p>
          <w:p>
            <w:pPr>
              <w:pStyle w:val="null3"/>
              <w:ind w:left="15"/>
              <w:jc w:val="left"/>
            </w:pPr>
            <w:r>
              <w:rPr>
                <w:rFonts w:ascii="仿宋_GB2312" w:hAnsi="仿宋_GB2312" w:cs="仿宋_GB2312" w:eastAsia="仿宋_GB2312"/>
                <w:sz w:val="24"/>
                <w:color w:val="000000"/>
              </w:rPr>
              <w:t>《电梯技术条件》</w:t>
            </w:r>
            <w:r>
              <w:rPr>
                <w:rFonts w:ascii="仿宋_GB2312" w:hAnsi="仿宋_GB2312" w:cs="仿宋_GB2312" w:eastAsia="仿宋_GB2312"/>
                <w:sz w:val="24"/>
                <w:color w:val="000000"/>
              </w:rPr>
              <w:t>GB/T10058-2023/《电梯技术</w:t>
            </w:r>
            <w:r>
              <w:rPr>
                <w:rFonts w:ascii="仿宋_GB2312" w:hAnsi="仿宋_GB2312" w:cs="仿宋_GB2312" w:eastAsia="仿宋_GB2312"/>
                <w:sz w:val="24"/>
                <w:color w:val="000000"/>
              </w:rPr>
              <w:t>条件》</w:t>
            </w:r>
            <w:r>
              <w:rPr>
                <w:rFonts w:ascii="仿宋_GB2312" w:hAnsi="仿宋_GB2312" w:cs="仿宋_GB2312" w:eastAsia="仿宋_GB2312"/>
                <w:sz w:val="24"/>
                <w:color w:val="000000"/>
              </w:rPr>
              <w:t>GB/T10058-2009</w:t>
            </w:r>
          </w:p>
          <w:p>
            <w:pPr>
              <w:pStyle w:val="null3"/>
              <w:jc w:val="left"/>
            </w:pPr>
            <w:r>
              <w:rPr>
                <w:rFonts w:ascii="仿宋_GB2312" w:hAnsi="仿宋_GB2312" w:cs="仿宋_GB2312" w:eastAsia="仿宋_GB2312"/>
                <w:sz w:val="24"/>
                <w:color w:val="000000"/>
              </w:rPr>
              <w:t>《电梯安装验收规范》</w:t>
            </w:r>
            <w:r>
              <w:rPr>
                <w:rFonts w:ascii="仿宋_GB2312" w:hAnsi="仿宋_GB2312" w:cs="仿宋_GB2312" w:eastAsia="仿宋_GB2312"/>
                <w:sz w:val="24"/>
                <w:color w:val="000000"/>
              </w:rPr>
              <w:t>GB/T10060-2023/《电梯安装验收</w:t>
            </w:r>
            <w:r>
              <w:rPr>
                <w:rFonts w:ascii="仿宋_GB2312" w:hAnsi="仿宋_GB2312" w:cs="仿宋_GB2312" w:eastAsia="仿宋_GB2312"/>
                <w:sz w:val="24"/>
                <w:color w:val="000000"/>
              </w:rPr>
              <w:t>规范》</w:t>
            </w:r>
            <w:r>
              <w:rPr>
                <w:rFonts w:ascii="仿宋_GB2312" w:hAnsi="仿宋_GB2312" w:cs="仿宋_GB2312" w:eastAsia="仿宋_GB2312"/>
                <w:sz w:val="24"/>
                <w:color w:val="000000"/>
              </w:rPr>
              <w:t>GB/T10060-2011</w:t>
            </w:r>
            <w:r>
              <w:rPr>
                <w:rFonts w:ascii="仿宋_GB2312" w:hAnsi="仿宋_GB2312" w:cs="仿宋_GB2312" w:eastAsia="仿宋_GB2312"/>
                <w:sz w:val="21"/>
                <w:color w:val="000000"/>
              </w:rPr>
              <w:t xml:space="preserve"> </w:t>
            </w:r>
            <w:r>
              <w:rPr>
                <w:rFonts w:ascii="仿宋_GB2312" w:hAnsi="仿宋_GB2312" w:cs="仿宋_GB2312" w:eastAsia="仿宋_GB2312"/>
                <w:sz w:val="24"/>
                <w:color w:val="000000"/>
              </w:rPr>
              <w:t>《电梯工程施工质量验收规范》</w:t>
            </w:r>
            <w:r>
              <w:rPr>
                <w:rFonts w:ascii="仿宋_GB2312" w:hAnsi="仿宋_GB2312" w:cs="仿宋_GB2312" w:eastAsia="仿宋_GB2312"/>
                <w:sz w:val="24"/>
                <w:color w:val="000000"/>
              </w:rPr>
              <w:t>GB50310-2002</w:t>
            </w:r>
          </w:p>
          <w:p>
            <w:pPr>
              <w:pStyle w:val="null3"/>
              <w:ind w:left="15"/>
              <w:jc w:val="left"/>
            </w:pPr>
            <w:r>
              <w:rPr>
                <w:rFonts w:ascii="仿宋_GB2312" w:hAnsi="仿宋_GB2312" w:cs="仿宋_GB2312" w:eastAsia="仿宋_GB2312"/>
                <w:sz w:val="24"/>
                <w:color w:val="000000"/>
              </w:rPr>
              <w:t>《无障碍设计规范》</w:t>
            </w:r>
            <w:r>
              <w:rPr>
                <w:rFonts w:ascii="仿宋_GB2312" w:hAnsi="仿宋_GB2312" w:cs="仿宋_GB2312" w:eastAsia="仿宋_GB2312"/>
                <w:sz w:val="24"/>
                <w:color w:val="000000"/>
              </w:rPr>
              <w:t>GB50763-2012</w:t>
            </w:r>
          </w:p>
          <w:p>
            <w:pPr>
              <w:pStyle w:val="null3"/>
              <w:jc w:val="left"/>
            </w:pPr>
            <w:r>
              <w:rPr>
                <w:rFonts w:ascii="仿宋_GB2312" w:hAnsi="仿宋_GB2312" w:cs="仿宋_GB2312" w:eastAsia="仿宋_GB2312"/>
                <w:sz w:val="24"/>
                <w:color w:val="000000"/>
              </w:rPr>
              <w:t>国债项目国家质检总局对电梯生产及制造红头文件</w:t>
            </w:r>
          </w:p>
          <w:p>
            <w:pPr>
              <w:pStyle w:val="null3"/>
              <w:jc w:val="left"/>
            </w:pPr>
            <w:r>
              <w:rPr>
                <w:rFonts w:ascii="仿宋_GB2312" w:hAnsi="仿宋_GB2312" w:cs="仿宋_GB2312" w:eastAsia="仿宋_GB2312"/>
                <w:sz w:val="28"/>
                <w:b/>
                <w:color w:val="000000"/>
              </w:rPr>
              <w:t>四</w:t>
            </w:r>
            <w:r>
              <w:rPr>
                <w:rFonts w:ascii="仿宋_GB2312" w:hAnsi="仿宋_GB2312" w:cs="仿宋_GB2312" w:eastAsia="仿宋_GB2312"/>
                <w:sz w:val="28"/>
                <w:b/>
                <w:color w:val="000000"/>
              </w:rPr>
              <w:t>、新梯核心部件及装饰外观效果示意图</w:t>
            </w:r>
          </w:p>
          <w:tbl>
            <w:tblPr>
              <w:tblInd w:type="dxa" w:w="105"/>
              <w:tblBorders>
                <w:top w:val="none" w:color="000000" w:sz="4"/>
                <w:left w:val="none" w:color="000000" w:sz="4"/>
                <w:bottom w:val="none" w:color="000000" w:sz="4"/>
                <w:right w:val="none" w:color="000000" w:sz="4"/>
                <w:insideH w:val="none"/>
                <w:insideV w:val="none"/>
              </w:tblBorders>
            </w:tblPr>
            <w:tblGrid>
              <w:gridCol w:w="336"/>
              <w:gridCol w:w="1664"/>
              <w:gridCol w:w="541"/>
            </w:tblGrid>
            <w:tr>
              <w:tc>
                <w:tcPr>
                  <w:tcW w:type="dxa" w:w="336"/>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315"/>
                    <w:ind w:left="225"/>
                    <w:jc w:val="left"/>
                  </w:pPr>
                  <w:r>
                    <w:rPr>
                      <w:rFonts w:ascii="仿宋_GB2312" w:hAnsi="仿宋_GB2312" w:cs="仿宋_GB2312" w:eastAsia="仿宋_GB2312"/>
                      <w:sz w:val="24"/>
                      <w:color w:val="000000"/>
                    </w:rPr>
                    <w:t>名称</w:t>
                  </w:r>
                </w:p>
              </w:tc>
              <w:tc>
                <w:tcPr>
                  <w:tcW w:type="dxa" w:w="1664"/>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315"/>
                    <w:jc w:val="left"/>
                  </w:pPr>
                  <w:r>
                    <w:rPr>
                      <w:rFonts w:ascii="仿宋_GB2312" w:hAnsi="仿宋_GB2312" w:cs="仿宋_GB2312" w:eastAsia="仿宋_GB2312"/>
                      <w:sz w:val="24"/>
                      <w:color w:val="000000"/>
                    </w:rPr>
                    <w:t>效果图</w:t>
                  </w:r>
                </w:p>
              </w:tc>
              <w:tc>
                <w:tcPr>
                  <w:tcW w:type="dxa" w:w="54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0"/>
                    <w:ind w:left="690" w:right="195"/>
                    <w:jc w:val="left"/>
                  </w:pPr>
                  <w:r>
                    <w:rPr>
                      <w:rFonts w:ascii="仿宋_GB2312" w:hAnsi="仿宋_GB2312" w:cs="仿宋_GB2312" w:eastAsia="仿宋_GB2312"/>
                      <w:sz w:val="24"/>
                      <w:color w:val="000000"/>
                    </w:rPr>
                    <w:t>部件性能优势</w:t>
                  </w:r>
                  <w:r>
                    <w:rPr>
                      <w:rFonts w:ascii="仿宋_GB2312" w:hAnsi="仿宋_GB2312" w:cs="仿宋_GB2312" w:eastAsia="仿宋_GB2312"/>
                      <w:sz w:val="24"/>
                      <w:color w:val="000000"/>
                    </w:rPr>
                    <w:t>简介</w:t>
                  </w:r>
                </w:p>
              </w:tc>
            </w:tr>
            <w:tr>
              <w:tc>
                <w:tcPr>
                  <w:tcW w:type="dxa" w:w="33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24"/>
                      <w:color w:val="000000"/>
                    </w:rPr>
                    <w:t>曳引</w:t>
                  </w:r>
                  <w:r>
                    <w:rPr>
                      <w:rFonts w:ascii="仿宋_GB2312" w:hAnsi="仿宋_GB2312" w:cs="仿宋_GB2312" w:eastAsia="仿宋_GB2312"/>
                      <w:sz w:val="24"/>
                      <w:color w:val="000000"/>
                    </w:rPr>
                    <w:t>机</w:t>
                  </w:r>
                </w:p>
              </w:tc>
              <w:tc>
                <w:tcPr>
                  <w:tcW w:type="dxa" w:w="166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drawing>
                      <wp:inline distT="0" distR="0" distB="0" distL="0">
                        <wp:extent cx="919480" cy="561771"/>
                        <wp:docPr id="3" name="Drawing 3" descr="img"/>
                        <a:graphic xmlns:a="http://schemas.openxmlformats.org/drawingml/2006/main">
                          <a:graphicData uri="http://schemas.openxmlformats.org/drawingml/2006/picture">
                            <pic:pic xmlns:pic="http://schemas.openxmlformats.org/drawingml/2006/picture">
                              <pic:nvPicPr>
                                <pic:cNvPr id="0" name="Picture 3" descr="img"/>
                                <pic:cNvPicPr>
                                  <a:picLocks noChangeAspect="true"/>
                                </pic:cNvPicPr>
                              </pic:nvPicPr>
                              <pic:blipFill>
                                <a:blip r:embed="rId8"/>
                                <a:stretch>
                                  <a:fillRect/>
                                </a:stretch>
                              </pic:blipFill>
                              <pic:spPr>
                                <a:xfrm>
                                  <a:off x="0" y="0"/>
                                  <a:ext cx="919480" cy="561771"/>
                                </a:xfrm>
                                <a:prstGeom prst="rect">
                                  <a:avLst/>
                                </a:prstGeom>
                              </pic:spPr>
                            </pic:pic>
                          </a:graphicData>
                        </a:graphic>
                      </wp:inline>
                    </w:drawing>
                  </w:r>
                </w:p>
                <w:p>
                  <w:pPr>
                    <w:pStyle w:val="null3"/>
                  </w:pPr>
                </w:p>
              </w:tc>
              <w:tc>
                <w:tcPr>
                  <w:tcW w:type="dxa" w:w="54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w:t>
                  </w:r>
                  <w:r>
                    <w:rPr>
                      <w:rFonts w:ascii="仿宋_GB2312" w:hAnsi="仿宋_GB2312" w:cs="仿宋_GB2312" w:eastAsia="仿宋_GB2312"/>
                      <w:sz w:val="24"/>
                      <w:color w:val="000000"/>
                    </w:rPr>
                    <w:t>PM</w:t>
                  </w:r>
                  <w:r>
                    <w:rPr>
                      <w:rFonts w:ascii="仿宋_GB2312" w:hAnsi="仿宋_GB2312" w:cs="仿宋_GB2312" w:eastAsia="仿宋_GB2312"/>
                      <w:sz w:val="21"/>
                      <w:color w:val="000000"/>
                    </w:rPr>
                    <w:t xml:space="preserve"> </w:t>
                  </w:r>
                  <w:r>
                    <w:rPr>
                      <w:rFonts w:ascii="仿宋_GB2312" w:hAnsi="仿宋_GB2312" w:cs="仿宋_GB2312" w:eastAsia="仿宋_GB2312"/>
                      <w:sz w:val="24"/>
                      <w:color w:val="000000"/>
                    </w:rPr>
                    <w:t>永磁同步</w:t>
                  </w:r>
                  <w:r>
                    <w:rPr>
                      <w:rFonts w:ascii="仿宋_GB2312" w:hAnsi="仿宋_GB2312" w:cs="仿宋_GB2312" w:eastAsia="仿宋_GB2312"/>
                      <w:sz w:val="24"/>
                      <w:color w:val="000000"/>
                    </w:rPr>
                    <w:t>主机，噪声小，节能环保，维护</w:t>
                  </w:r>
                  <w:r>
                    <w:rPr>
                      <w:rFonts w:ascii="仿宋_GB2312" w:hAnsi="仿宋_GB2312" w:cs="仿宋_GB2312" w:eastAsia="仿宋_GB2312"/>
                      <w:sz w:val="24"/>
                      <w:color w:val="000000"/>
                    </w:rPr>
                    <w:t>简单费用低。</w:t>
                  </w:r>
                </w:p>
                <w:p>
                  <w:pPr>
                    <w:pStyle w:val="null3"/>
                    <w:ind w:left="120" w:right="105"/>
                    <w:jc w:val="left"/>
                  </w:pPr>
                  <w:r>
                    <w:rPr>
                      <w:rFonts w:ascii="仿宋_GB2312" w:hAnsi="仿宋_GB2312" w:cs="仿宋_GB2312" w:eastAsia="仿宋_GB2312"/>
                      <w:sz w:val="24"/>
                      <w:color w:val="000000"/>
                    </w:rPr>
                    <w:t>2</w:t>
                  </w:r>
                  <w:r>
                    <w:rPr>
                      <w:rFonts w:ascii="仿宋_GB2312" w:hAnsi="仿宋_GB2312" w:cs="仿宋_GB2312" w:eastAsia="仿宋_GB2312"/>
                      <w:sz w:val="21"/>
                      <w:color w:val="000000"/>
                    </w:rPr>
                    <w:t xml:space="preserve"> </w:t>
                  </w:r>
                  <w:r>
                    <w:rPr>
                      <w:rFonts w:ascii="仿宋_GB2312" w:hAnsi="仿宋_GB2312" w:cs="仿宋_GB2312" w:eastAsia="仿宋_GB2312"/>
                      <w:sz w:val="24"/>
                      <w:color w:val="000000"/>
                    </w:rPr>
                    <w:t>、曳引机采用</w:t>
                  </w:r>
                  <w:r>
                    <w:rPr>
                      <w:rFonts w:ascii="仿宋_GB2312" w:hAnsi="仿宋_GB2312" w:cs="仿宋_GB2312" w:eastAsia="仿宋_GB2312"/>
                      <w:sz w:val="24"/>
                      <w:color w:val="000000"/>
                    </w:rPr>
                    <w:t>双抱闸设计，符</w:t>
                  </w:r>
                  <w:r>
                    <w:rPr>
                      <w:rFonts w:ascii="仿宋_GB2312" w:hAnsi="仿宋_GB2312" w:cs="仿宋_GB2312" w:eastAsia="仿宋_GB2312"/>
                      <w:sz w:val="24"/>
                      <w:color w:val="000000"/>
                    </w:rPr>
                    <w:t>合现行国标要</w:t>
                  </w:r>
                  <w:r>
                    <w:rPr>
                      <w:rFonts w:ascii="仿宋_GB2312" w:hAnsi="仿宋_GB2312" w:cs="仿宋_GB2312" w:eastAsia="仿宋_GB2312"/>
                      <w:sz w:val="24"/>
                      <w:color w:val="000000"/>
                    </w:rPr>
                    <w:t>求，安全系数高</w:t>
                  </w:r>
                </w:p>
              </w:tc>
            </w:tr>
            <w:tr>
              <w:tc>
                <w:tcPr>
                  <w:tcW w:type="dxa" w:w="33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24"/>
                      <w:color w:val="000000"/>
                    </w:rPr>
                    <w:t>控制</w:t>
                  </w:r>
                </w:p>
                <w:p>
                  <w:pPr>
                    <w:pStyle w:val="null3"/>
                    <w:spacing w:before="30"/>
                    <w:ind w:left="225"/>
                    <w:jc w:val="left"/>
                  </w:pPr>
                  <w:r>
                    <w:rPr>
                      <w:rFonts w:ascii="仿宋_GB2312" w:hAnsi="仿宋_GB2312" w:cs="仿宋_GB2312" w:eastAsia="仿宋_GB2312"/>
                      <w:sz w:val="24"/>
                      <w:color w:val="000000"/>
                    </w:rPr>
                    <w:t>系统</w:t>
                  </w:r>
                </w:p>
              </w:tc>
              <w:tc>
                <w:tcPr>
                  <w:tcW w:type="dxa" w:w="166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drawing>
                      <wp:inline distT="0" distR="0" distB="0" distL="0">
                        <wp:extent cx="919480" cy="549715"/>
                        <wp:docPr id="4" name="Drawing 4" descr="img"/>
                        <a:graphic xmlns:a="http://schemas.openxmlformats.org/drawingml/2006/main">
                          <a:graphicData uri="http://schemas.openxmlformats.org/drawingml/2006/picture">
                            <pic:pic xmlns:pic="http://schemas.openxmlformats.org/drawingml/2006/picture">
                              <pic:nvPicPr>
                                <pic:cNvPr id="0" name="Picture 4" descr="img"/>
                                <pic:cNvPicPr>
                                  <a:picLocks noChangeAspect="true"/>
                                </pic:cNvPicPr>
                              </pic:nvPicPr>
                              <pic:blipFill>
                                <a:blip r:embed="rId9"/>
                                <a:stretch>
                                  <a:fillRect/>
                                </a:stretch>
                              </pic:blipFill>
                              <pic:spPr>
                                <a:xfrm>
                                  <a:off x="0" y="0"/>
                                  <a:ext cx="919480" cy="549715"/>
                                </a:xfrm>
                                <a:prstGeom prst="rect">
                                  <a:avLst/>
                                </a:prstGeom>
                              </pic:spPr>
                            </pic:pic>
                          </a:graphicData>
                        </a:graphic>
                      </wp:inline>
                    </w:drawing>
                  </w:r>
                </w:p>
                <w:p>
                  <w:pPr>
                    <w:pStyle w:val="null3"/>
                  </w:pPr>
                </w:p>
              </w:tc>
              <w:tc>
                <w:tcPr>
                  <w:tcW w:type="dxa" w:w="54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color w:val="000000"/>
                    </w:rPr>
                    <w:t>1</w:t>
                  </w:r>
                  <w:r>
                    <w:rPr>
                      <w:rFonts w:ascii="仿宋_GB2312" w:hAnsi="仿宋_GB2312" w:cs="仿宋_GB2312" w:eastAsia="仿宋_GB2312"/>
                      <w:sz w:val="21"/>
                      <w:color w:val="000000"/>
                    </w:rPr>
                    <w:t xml:space="preserve"> </w:t>
                  </w:r>
                  <w:r>
                    <w:rPr>
                      <w:rFonts w:ascii="仿宋_GB2312" w:hAnsi="仿宋_GB2312" w:cs="仿宋_GB2312" w:eastAsia="仿宋_GB2312"/>
                      <w:sz w:val="24"/>
                      <w:color w:val="000000"/>
                    </w:rPr>
                    <w:t>、高性能与智</w:t>
                  </w:r>
                  <w:r>
                    <w:rPr>
                      <w:rFonts w:ascii="仿宋_GB2312" w:hAnsi="仿宋_GB2312" w:cs="仿宋_GB2312" w:eastAsia="仿宋_GB2312"/>
                      <w:sz w:val="24"/>
                      <w:color w:val="000000"/>
                    </w:rPr>
                    <w:t>能化数据网络</w:t>
                  </w:r>
                  <w:r>
                    <w:rPr>
                      <w:rFonts w:ascii="仿宋_GB2312" w:hAnsi="仿宋_GB2312" w:cs="仿宋_GB2312" w:eastAsia="仿宋_GB2312"/>
                      <w:sz w:val="24"/>
                      <w:color w:val="000000"/>
                    </w:rPr>
                    <w:t>控制系统。</w:t>
                  </w:r>
                </w:p>
                <w:p>
                  <w:pPr>
                    <w:pStyle w:val="null3"/>
                    <w:ind w:left="120" w:right="90"/>
                    <w:jc w:val="left"/>
                  </w:pPr>
                  <w:r>
                    <w:rPr>
                      <w:rFonts w:ascii="仿宋_GB2312" w:hAnsi="仿宋_GB2312" w:cs="仿宋_GB2312" w:eastAsia="仿宋_GB2312"/>
                      <w:sz w:val="24"/>
                      <w:color w:val="000000"/>
                    </w:rPr>
                    <w:t>2</w:t>
                  </w:r>
                  <w:r>
                    <w:rPr>
                      <w:rFonts w:ascii="仿宋_GB2312" w:hAnsi="仿宋_GB2312" w:cs="仿宋_GB2312" w:eastAsia="仿宋_GB2312"/>
                      <w:sz w:val="21"/>
                      <w:color w:val="000000"/>
                    </w:rPr>
                    <w:t xml:space="preserve"> </w:t>
                  </w:r>
                  <w:r>
                    <w:rPr>
                      <w:rFonts w:ascii="仿宋_GB2312" w:hAnsi="仿宋_GB2312" w:cs="仿宋_GB2312" w:eastAsia="仿宋_GB2312"/>
                      <w:sz w:val="24"/>
                      <w:color w:val="000000"/>
                    </w:rPr>
                    <w:t>、应用技术领</w:t>
                  </w:r>
                  <w:r>
                    <w:rPr>
                      <w:rFonts w:ascii="仿宋_GB2312" w:hAnsi="仿宋_GB2312" w:cs="仿宋_GB2312" w:eastAsia="仿宋_GB2312"/>
                      <w:sz w:val="24"/>
                      <w:color w:val="000000"/>
                    </w:rPr>
                    <w:t>先</w:t>
                  </w:r>
                  <w:r>
                    <w:rPr>
                      <w:rFonts w:ascii="仿宋_GB2312" w:hAnsi="仿宋_GB2312" w:cs="仿宋_GB2312" w:eastAsia="仿宋_GB2312"/>
                      <w:sz w:val="24"/>
                      <w:color w:val="000000"/>
                    </w:rPr>
                    <w:t>VVVF</w:t>
                  </w:r>
                  <w:r>
                    <w:rPr>
                      <w:rFonts w:ascii="仿宋_GB2312" w:hAnsi="仿宋_GB2312" w:cs="仿宋_GB2312" w:eastAsia="仿宋_GB2312"/>
                      <w:sz w:val="21"/>
                      <w:color w:val="000000"/>
                    </w:rPr>
                    <w:t xml:space="preserve"> </w:t>
                  </w:r>
                  <w:r>
                    <w:rPr>
                      <w:rFonts w:ascii="仿宋_GB2312" w:hAnsi="仿宋_GB2312" w:cs="仿宋_GB2312" w:eastAsia="仿宋_GB2312"/>
                      <w:sz w:val="24"/>
                      <w:color w:val="000000"/>
                    </w:rPr>
                    <w:t>变</w:t>
                  </w:r>
                  <w:r>
                    <w:rPr>
                      <w:rFonts w:ascii="仿宋_GB2312" w:hAnsi="仿宋_GB2312" w:cs="仿宋_GB2312" w:eastAsia="仿宋_GB2312"/>
                      <w:sz w:val="21"/>
                      <w:color w:val="000000"/>
                    </w:rPr>
                    <w:t xml:space="preserve"> </w:t>
                  </w:r>
                  <w:r>
                    <w:rPr>
                      <w:rFonts w:ascii="仿宋_GB2312" w:hAnsi="仿宋_GB2312" w:cs="仿宋_GB2312" w:eastAsia="仿宋_GB2312"/>
                      <w:sz w:val="24"/>
                      <w:color w:val="000000"/>
                    </w:rPr>
                    <w:t>压</w:t>
                  </w:r>
                  <w:r>
                    <w:rPr>
                      <w:rFonts w:ascii="仿宋_GB2312" w:hAnsi="仿宋_GB2312" w:cs="仿宋_GB2312" w:eastAsia="仿宋_GB2312"/>
                      <w:sz w:val="24"/>
                      <w:color w:val="000000"/>
                    </w:rPr>
                    <w:t>变频驱动模块，</w:t>
                  </w:r>
                  <w:r>
                    <w:rPr>
                      <w:rFonts w:ascii="仿宋_GB2312" w:hAnsi="仿宋_GB2312" w:cs="仿宋_GB2312" w:eastAsia="仿宋_GB2312"/>
                      <w:sz w:val="24"/>
                      <w:color w:val="000000"/>
                    </w:rPr>
                    <w:t>实现更高性能</w:t>
                  </w:r>
                  <w:r>
                    <w:rPr>
                      <w:rFonts w:ascii="仿宋_GB2312" w:hAnsi="仿宋_GB2312" w:cs="仿宋_GB2312" w:eastAsia="仿宋_GB2312"/>
                      <w:sz w:val="24"/>
                      <w:color w:val="000000"/>
                    </w:rPr>
                    <w:t>和更好可靠性。</w:t>
                  </w:r>
                </w:p>
              </w:tc>
            </w:tr>
            <w:tr>
              <w:tc>
                <w:tcPr>
                  <w:tcW w:type="dxa" w:w="33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24"/>
                      <w:color w:val="000000"/>
                    </w:rPr>
                    <w:t>门机</w:t>
                  </w:r>
                </w:p>
              </w:tc>
              <w:tc>
                <w:tcPr>
                  <w:tcW w:type="dxa" w:w="166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rPr>
                    <w:t xml:space="preserve"> </w:t>
                  </w:r>
                </w:p>
                <w:p>
                  <w:pPr>
                    <w:pStyle w:val="null3"/>
                  </w:pPr>
                  <w:r>
                    <w:drawing>
                      <wp:inline distT="0" distR="0" distB="0" distL="0">
                        <wp:extent cx="919480" cy="318281"/>
                        <wp:docPr id="5" name="Drawing 5" descr="img"/>
                        <a:graphic xmlns:a="http://schemas.openxmlformats.org/drawingml/2006/main">
                          <a:graphicData uri="http://schemas.openxmlformats.org/drawingml/2006/picture">
                            <pic:pic xmlns:pic="http://schemas.openxmlformats.org/drawingml/2006/picture">
                              <pic:nvPicPr>
                                <pic:cNvPr id="0" name="Picture 5" descr="img"/>
                                <pic:cNvPicPr>
                                  <a:picLocks noChangeAspect="true"/>
                                </pic:cNvPicPr>
                              </pic:nvPicPr>
                              <pic:blipFill>
                                <a:blip r:embed="rId10"/>
                                <a:stretch>
                                  <a:fillRect/>
                                </a:stretch>
                              </pic:blipFill>
                              <pic:spPr>
                                <a:xfrm>
                                  <a:off x="0" y="0"/>
                                  <a:ext cx="919480" cy="318281"/>
                                </a:xfrm>
                                <a:prstGeom prst="rect">
                                  <a:avLst/>
                                </a:prstGeom>
                              </pic:spPr>
                            </pic:pic>
                          </a:graphicData>
                        </a:graphic>
                      </wp:inline>
                    </w:drawing>
                  </w:r>
                </w:p>
                <w:p>
                  <w:pPr>
                    <w:pStyle w:val="null3"/>
                  </w:pPr>
                </w:p>
              </w:tc>
              <w:tc>
                <w:tcPr>
                  <w:tcW w:type="dxa" w:w="54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w:t>
                  </w:r>
                  <w:r>
                    <w:rPr>
                      <w:rFonts w:ascii="仿宋_GB2312" w:hAnsi="仿宋_GB2312" w:cs="仿宋_GB2312" w:eastAsia="仿宋_GB2312"/>
                      <w:sz w:val="24"/>
                      <w:color w:val="000000"/>
                    </w:rPr>
                    <w:t>PM</w:t>
                  </w:r>
                  <w:r>
                    <w:rPr>
                      <w:rFonts w:ascii="仿宋_GB2312" w:hAnsi="仿宋_GB2312" w:cs="仿宋_GB2312" w:eastAsia="仿宋_GB2312"/>
                      <w:sz w:val="21"/>
                      <w:color w:val="000000"/>
                    </w:rPr>
                    <w:t xml:space="preserve"> </w:t>
                  </w:r>
                  <w:r>
                    <w:rPr>
                      <w:rFonts w:ascii="仿宋_GB2312" w:hAnsi="仿宋_GB2312" w:cs="仿宋_GB2312" w:eastAsia="仿宋_GB2312"/>
                      <w:sz w:val="24"/>
                      <w:color w:val="000000"/>
                    </w:rPr>
                    <w:t>门机系统</w:t>
                  </w:r>
                  <w:r>
                    <w:rPr>
                      <w:rFonts w:ascii="仿宋_GB2312" w:hAnsi="仿宋_GB2312" w:cs="仿宋_GB2312" w:eastAsia="仿宋_GB2312"/>
                      <w:sz w:val="21"/>
                      <w:color w:val="000000"/>
                    </w:rPr>
                    <w:t xml:space="preserve"> </w:t>
                  </w:r>
                  <w:r>
                    <w:rPr>
                      <w:rFonts w:ascii="仿宋_GB2312" w:hAnsi="仿宋_GB2312" w:cs="仿宋_GB2312" w:eastAsia="仿宋_GB2312"/>
                      <w:sz w:val="24"/>
                      <w:color w:val="000000"/>
                    </w:rPr>
                    <w:t>,</w:t>
                  </w:r>
                  <w:r>
                    <w:rPr>
                      <w:rFonts w:ascii="仿宋_GB2312" w:hAnsi="仿宋_GB2312" w:cs="仿宋_GB2312" w:eastAsia="仿宋_GB2312"/>
                      <w:sz w:val="21"/>
                      <w:color w:val="000000"/>
                    </w:rPr>
                    <w:t xml:space="preserve"> </w:t>
                  </w:r>
                  <w:r>
                    <w:rPr>
                      <w:rFonts w:ascii="仿宋_GB2312" w:hAnsi="仿宋_GB2312" w:cs="仿宋_GB2312" w:eastAsia="仿宋_GB2312"/>
                      <w:sz w:val="24"/>
                      <w:color w:val="000000"/>
                    </w:rPr>
                    <w:t>噪声小，节能</w:t>
                  </w:r>
                  <w:r>
                    <w:rPr>
                      <w:rFonts w:ascii="仿宋_GB2312" w:hAnsi="仿宋_GB2312" w:cs="仿宋_GB2312" w:eastAsia="仿宋_GB2312"/>
                      <w:sz w:val="24"/>
                      <w:color w:val="000000"/>
                    </w:rPr>
                    <w:t>环保，维护简单</w:t>
                  </w:r>
                  <w:r>
                    <w:rPr>
                      <w:rFonts w:ascii="仿宋_GB2312" w:hAnsi="仿宋_GB2312" w:cs="仿宋_GB2312" w:eastAsia="仿宋_GB2312"/>
                      <w:sz w:val="21"/>
                      <w:color w:val="000000"/>
                    </w:rPr>
                    <w:t xml:space="preserve"> </w:t>
                  </w:r>
                  <w:r>
                    <w:rPr>
                      <w:rFonts w:ascii="仿宋_GB2312" w:hAnsi="仿宋_GB2312" w:cs="仿宋_GB2312" w:eastAsia="仿宋_GB2312"/>
                      <w:sz w:val="24"/>
                      <w:color w:val="000000"/>
                    </w:rPr>
                    <w:t>,</w:t>
                  </w:r>
                  <w:r>
                    <w:rPr>
                      <w:rFonts w:ascii="仿宋_GB2312" w:hAnsi="仿宋_GB2312" w:cs="仿宋_GB2312" w:eastAsia="仿宋_GB2312"/>
                      <w:sz w:val="21"/>
                      <w:color w:val="000000"/>
                    </w:rPr>
                    <w:t xml:space="preserve"> </w:t>
                  </w:r>
                  <w:r>
                    <w:rPr>
                      <w:rFonts w:ascii="仿宋_GB2312" w:hAnsi="仿宋_GB2312" w:cs="仿宋_GB2312" w:eastAsia="仿宋_GB2312"/>
                      <w:sz w:val="24"/>
                      <w:color w:val="000000"/>
                    </w:rPr>
                    <w:t>费用低。</w:t>
                  </w:r>
                </w:p>
                <w:p>
                  <w:pPr>
                    <w:pStyle w:val="null3"/>
                    <w:ind w:left="120" w:right="105"/>
                    <w:jc w:val="left"/>
                  </w:pPr>
                  <w:r>
                    <w:rPr>
                      <w:rFonts w:ascii="仿宋_GB2312" w:hAnsi="仿宋_GB2312" w:cs="仿宋_GB2312" w:eastAsia="仿宋_GB2312"/>
                      <w:sz w:val="24"/>
                      <w:color w:val="000000"/>
                    </w:rPr>
                    <w:t>2</w:t>
                  </w:r>
                  <w:r>
                    <w:rPr>
                      <w:rFonts w:ascii="仿宋_GB2312" w:hAnsi="仿宋_GB2312" w:cs="仿宋_GB2312" w:eastAsia="仿宋_GB2312"/>
                      <w:sz w:val="21"/>
                      <w:color w:val="000000"/>
                    </w:rPr>
                    <w:t xml:space="preserve"> </w:t>
                  </w:r>
                  <w:r>
                    <w:rPr>
                      <w:rFonts w:ascii="仿宋_GB2312" w:hAnsi="仿宋_GB2312" w:cs="仿宋_GB2312" w:eastAsia="仿宋_GB2312"/>
                      <w:sz w:val="24"/>
                      <w:color w:val="000000"/>
                    </w:rPr>
                    <w:t>、变压变频智</w:t>
                  </w:r>
                  <w:r>
                    <w:rPr>
                      <w:rFonts w:ascii="仿宋_GB2312" w:hAnsi="仿宋_GB2312" w:cs="仿宋_GB2312" w:eastAsia="仿宋_GB2312"/>
                      <w:sz w:val="24"/>
                      <w:color w:val="000000"/>
                    </w:rPr>
                    <w:t>能门机驱动系</w:t>
                  </w:r>
                  <w:r>
                    <w:rPr>
                      <w:rFonts w:ascii="仿宋_GB2312" w:hAnsi="仿宋_GB2312" w:cs="仿宋_GB2312" w:eastAsia="仿宋_GB2312"/>
                      <w:sz w:val="24"/>
                      <w:color w:val="000000"/>
                    </w:rPr>
                    <w:t>统，开关门动作</w:t>
                  </w:r>
                  <w:r>
                    <w:rPr>
                      <w:rFonts w:ascii="仿宋_GB2312" w:hAnsi="仿宋_GB2312" w:cs="仿宋_GB2312" w:eastAsia="仿宋_GB2312"/>
                      <w:sz w:val="24"/>
                      <w:color w:val="000000"/>
                    </w:rPr>
                    <w:t>平顺。</w:t>
                  </w:r>
                </w:p>
              </w:tc>
            </w:tr>
          </w:tbl>
          <w:tbl>
            <w:tblPr>
              <w:tblInd w:type="dxa" w:w="105"/>
              <w:tblBorders>
                <w:top w:val="none" w:color="000000" w:sz="4"/>
                <w:left w:val="none" w:color="000000" w:sz="4"/>
                <w:bottom w:val="none" w:color="000000" w:sz="4"/>
                <w:right w:val="none" w:color="000000" w:sz="4"/>
                <w:insideH w:val="none"/>
                <w:insideV w:val="none"/>
              </w:tblBorders>
            </w:tblPr>
            <w:tblGrid>
              <w:gridCol w:w="327"/>
              <w:gridCol w:w="867"/>
              <w:gridCol w:w="753"/>
              <w:gridCol w:w="594"/>
            </w:tblGrid>
            <w:tr>
              <w:tc>
                <w:tcPr>
                  <w:tcW w:type="dxa" w:w="32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80"/>
                    <w:ind w:left="390"/>
                    <w:jc w:val="left"/>
                  </w:pPr>
                  <w:r>
                    <w:rPr>
                      <w:rFonts w:ascii="仿宋_GB2312" w:hAnsi="仿宋_GB2312" w:cs="仿宋_GB2312" w:eastAsia="仿宋_GB2312"/>
                      <w:sz w:val="24"/>
                      <w:color w:val="000000"/>
                    </w:rPr>
                    <w:t>名称</w:t>
                  </w:r>
                </w:p>
              </w:tc>
              <w:tc>
                <w:tcPr>
                  <w:tcW w:type="dxa" w:w="1620"/>
                  <w:gridSpan w:val="2"/>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80"/>
                    <w:ind w:left="2700"/>
                    <w:jc w:val="left"/>
                  </w:pPr>
                  <w:r>
                    <w:rPr>
                      <w:rFonts w:ascii="仿宋_GB2312" w:hAnsi="仿宋_GB2312" w:cs="仿宋_GB2312" w:eastAsia="仿宋_GB2312"/>
                      <w:sz w:val="24"/>
                      <w:color w:val="000000"/>
                    </w:rPr>
                    <w:t>效果图</w:t>
                  </w:r>
                </w:p>
              </w:tc>
              <w:tc>
                <w:tcPr>
                  <w:tcW w:type="dxa" w:w="594"/>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80"/>
                    <w:ind w:left="165"/>
                    <w:jc w:val="left"/>
                  </w:pPr>
                  <w:r>
                    <w:rPr>
                      <w:rFonts w:ascii="仿宋_GB2312" w:hAnsi="仿宋_GB2312" w:cs="仿宋_GB2312" w:eastAsia="仿宋_GB2312"/>
                      <w:sz w:val="24"/>
                      <w:color w:val="000000"/>
                    </w:rPr>
                    <w:t>部件性能优势简介</w:t>
                  </w:r>
                </w:p>
              </w:tc>
            </w:tr>
            <w:tr>
              <w:tc>
                <w:tcPr>
                  <w:tcW w:type="dxa" w:w="3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24"/>
                      <w:color w:val="000000"/>
                    </w:rPr>
                    <w:t>轿内操纵</w:t>
                  </w:r>
                </w:p>
                <w:p>
                  <w:pPr>
                    <w:pStyle w:val="null3"/>
                    <w:ind w:left="240"/>
                  </w:pPr>
                  <w:r>
                    <w:rPr>
                      <w:rFonts w:ascii="仿宋_GB2312" w:hAnsi="仿宋_GB2312" w:cs="仿宋_GB2312" w:eastAsia="仿宋_GB2312"/>
                      <w:sz w:val="24"/>
                      <w:color w:val="000000"/>
                    </w:rPr>
                    <w:t>箱</w:t>
                  </w:r>
                  <w:r>
                    <w:rPr>
                      <w:rFonts w:ascii="仿宋_GB2312" w:hAnsi="仿宋_GB2312" w:cs="仿宋_GB2312" w:eastAsia="仿宋_GB2312"/>
                      <w:sz w:val="24"/>
                      <w:color w:val="000000"/>
                    </w:rPr>
                    <w:t>/</w:t>
                  </w:r>
                  <w:r>
                    <w:rPr>
                      <w:rFonts w:ascii="仿宋_GB2312" w:hAnsi="仿宋_GB2312" w:cs="仿宋_GB2312" w:eastAsia="仿宋_GB2312"/>
                      <w:sz w:val="24"/>
                      <w:color w:val="000000"/>
                    </w:rPr>
                    <w:t>层站</w:t>
                  </w:r>
                </w:p>
                <w:p>
                  <w:pPr>
                    <w:pStyle w:val="null3"/>
                    <w:spacing w:before="30"/>
                    <w:ind w:left="405"/>
                    <w:jc w:val="left"/>
                  </w:pPr>
                  <w:r>
                    <w:rPr>
                      <w:rFonts w:ascii="仿宋_GB2312" w:hAnsi="仿宋_GB2312" w:cs="仿宋_GB2312" w:eastAsia="仿宋_GB2312"/>
                      <w:sz w:val="24"/>
                      <w:color w:val="000000"/>
                    </w:rPr>
                    <w:t>召唤</w:t>
                  </w:r>
                </w:p>
              </w:tc>
              <w:tc>
                <w:tcPr>
                  <w:tcW w:type="dxa" w:w="86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drawing>
                      <wp:inline distT="0" distR="0" distB="0" distL="0">
                        <wp:extent cx="413385" cy="1690698"/>
                        <wp:docPr id="6" name="Drawing 6" descr="img"/>
                        <a:graphic xmlns:a="http://schemas.openxmlformats.org/drawingml/2006/main">
                          <a:graphicData uri="http://schemas.openxmlformats.org/drawingml/2006/picture">
                            <pic:pic xmlns:pic="http://schemas.openxmlformats.org/drawingml/2006/picture">
                              <pic:nvPicPr>
                                <pic:cNvPr id="0" name="Picture 6" descr="img"/>
                                <pic:cNvPicPr>
                                  <a:picLocks noChangeAspect="true"/>
                                </pic:cNvPicPr>
                              </pic:nvPicPr>
                              <pic:blipFill>
                                <a:blip r:embed="rId11"/>
                                <a:stretch>
                                  <a:fillRect/>
                                </a:stretch>
                              </pic:blipFill>
                              <pic:spPr>
                                <a:xfrm>
                                  <a:off x="0" y="0"/>
                                  <a:ext cx="413385" cy="1690698"/>
                                </a:xfrm>
                                <a:prstGeom prst="rect">
                                  <a:avLst/>
                                </a:prstGeom>
                              </pic:spPr>
                            </pic:pic>
                          </a:graphicData>
                        </a:graphic>
                      </wp:inline>
                    </w:drawing>
                  </w:r>
                </w:p>
                <w:p>
                  <w:pPr>
                    <w:pStyle w:val="null3"/>
                    <w:ind w:firstLine="967"/>
                    <w:jc w:val="left"/>
                  </w:pPr>
                </w:p>
              </w:tc>
              <w:tc>
                <w:tcPr>
                  <w:tcW w:type="dxa" w:w="7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drawing>
                      <wp:inline distT="0" distR="0" distB="0" distL="0">
                        <wp:extent cx="340995" cy="926541"/>
                        <wp:docPr id="7" name="Drawing 7" descr="img"/>
                        <a:graphic xmlns:a="http://schemas.openxmlformats.org/drawingml/2006/main">
                          <a:graphicData uri="http://schemas.openxmlformats.org/drawingml/2006/picture">
                            <pic:pic xmlns:pic="http://schemas.openxmlformats.org/drawingml/2006/picture">
                              <pic:nvPicPr>
                                <pic:cNvPr id="0" name="Picture 7" descr="img"/>
                                <pic:cNvPicPr>
                                  <a:picLocks noChangeAspect="true"/>
                                </pic:cNvPicPr>
                              </pic:nvPicPr>
                              <pic:blipFill>
                                <a:blip r:embed="rId12"/>
                                <a:stretch>
                                  <a:fillRect/>
                                </a:stretch>
                              </pic:blipFill>
                              <pic:spPr>
                                <a:xfrm>
                                  <a:off x="0" y="0"/>
                                  <a:ext cx="340995" cy="926541"/>
                                </a:xfrm>
                                <a:prstGeom prst="rect">
                                  <a:avLst/>
                                </a:prstGeom>
                              </pic:spPr>
                            </pic:pic>
                          </a:graphicData>
                        </a:graphic>
                      </wp:inline>
                    </w:drawing>
                  </w:r>
                </w:p>
                <w:p>
                  <w:pPr>
                    <w:pStyle w:val="null3"/>
                  </w:pPr>
                </w:p>
              </w:tc>
              <w:tc>
                <w:tcPr>
                  <w:tcW w:type="dxa" w:w="594"/>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、轿内操纵箱和层</w:t>
                  </w:r>
                  <w:r>
                    <w:rPr>
                      <w:rFonts w:ascii="仿宋_GB2312" w:hAnsi="仿宋_GB2312" w:cs="仿宋_GB2312" w:eastAsia="仿宋_GB2312"/>
                      <w:sz w:val="24"/>
                      <w:color w:val="000000"/>
                    </w:rPr>
                    <w:t>站召唤采用位段式</w:t>
                  </w:r>
                  <w:r>
                    <w:rPr>
                      <w:rFonts w:ascii="仿宋_GB2312" w:hAnsi="仿宋_GB2312" w:cs="仿宋_GB2312" w:eastAsia="仿宋_GB2312"/>
                      <w:sz w:val="24"/>
                      <w:color w:val="000000"/>
                    </w:rPr>
                    <w:t>LED</w:t>
                  </w:r>
                  <w:r>
                    <w:rPr>
                      <w:rFonts w:ascii="仿宋_GB2312" w:hAnsi="仿宋_GB2312" w:cs="仿宋_GB2312" w:eastAsia="仿宋_GB2312"/>
                      <w:sz w:val="21"/>
                      <w:color w:val="000000"/>
                    </w:rPr>
                    <w:t xml:space="preserve"> </w:t>
                  </w:r>
                  <w:r>
                    <w:rPr>
                      <w:rFonts w:ascii="仿宋_GB2312" w:hAnsi="仿宋_GB2312" w:cs="仿宋_GB2312" w:eastAsia="仿宋_GB2312"/>
                      <w:sz w:val="24"/>
                      <w:color w:val="000000"/>
                    </w:rPr>
                    <w:t>显示，外观新</w:t>
                  </w:r>
                  <w:r>
                    <w:rPr>
                      <w:rFonts w:ascii="仿宋_GB2312" w:hAnsi="仿宋_GB2312" w:cs="仿宋_GB2312" w:eastAsia="仿宋_GB2312"/>
                      <w:sz w:val="24"/>
                      <w:color w:val="000000"/>
                    </w:rPr>
                    <w:t>颖时尚，楼层显示</w:t>
                  </w:r>
                  <w:r>
                    <w:rPr>
                      <w:rFonts w:ascii="仿宋_GB2312" w:hAnsi="仿宋_GB2312" w:cs="仿宋_GB2312" w:eastAsia="仿宋_GB2312"/>
                      <w:sz w:val="24"/>
                      <w:color w:val="000000"/>
                    </w:rPr>
                    <w:t>准确清晰。</w:t>
                  </w:r>
                </w:p>
                <w:p>
                  <w:pPr>
                    <w:pStyle w:val="null3"/>
                    <w:ind w:left="120" w:right="105"/>
                    <w:jc w:val="left"/>
                  </w:pPr>
                  <w:r>
                    <w:rPr>
                      <w:rFonts w:ascii="仿宋_GB2312" w:hAnsi="仿宋_GB2312" w:cs="仿宋_GB2312" w:eastAsia="仿宋_GB2312"/>
                      <w:sz w:val="24"/>
                      <w:color w:val="000000"/>
                    </w:rPr>
                    <w:t>2</w:t>
                  </w:r>
                  <w:r>
                    <w:rPr>
                      <w:rFonts w:ascii="仿宋_GB2312" w:hAnsi="仿宋_GB2312" w:cs="仿宋_GB2312" w:eastAsia="仿宋_GB2312"/>
                      <w:sz w:val="24"/>
                      <w:color w:val="000000"/>
                    </w:rPr>
                    <w:t>、轿内操纵箱和层</w:t>
                  </w:r>
                  <w:r>
                    <w:rPr>
                      <w:rFonts w:ascii="仿宋_GB2312" w:hAnsi="仿宋_GB2312" w:cs="仿宋_GB2312" w:eastAsia="仿宋_GB2312"/>
                      <w:sz w:val="24"/>
                      <w:color w:val="000000"/>
                    </w:rPr>
                    <w:t>站召唤采用微动不锈钢按钮，手感舒</w:t>
                  </w:r>
                  <w:r>
                    <w:rPr>
                      <w:rFonts w:ascii="仿宋_GB2312" w:hAnsi="仿宋_GB2312" w:cs="仿宋_GB2312" w:eastAsia="仿宋_GB2312"/>
                      <w:sz w:val="24"/>
                      <w:color w:val="000000"/>
                    </w:rPr>
                    <w:t>适，经久耐用。</w:t>
                  </w:r>
                </w:p>
              </w:tc>
            </w:tr>
            <w:tr>
              <w:tc>
                <w:tcPr>
                  <w:tcW w:type="dxa" w:w="3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24"/>
                      <w:color w:val="000000"/>
                    </w:rPr>
                    <w:t>轿厢</w:t>
                  </w:r>
                </w:p>
              </w:tc>
              <w:tc>
                <w:tcPr>
                  <w:tcW w:type="dxa" w:w="1620"/>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rPr>
                    <w:t xml:space="preserve"> </w:t>
                  </w:r>
                </w:p>
                <w:p>
                  <w:pPr>
                    <w:pStyle w:val="null3"/>
                  </w:pPr>
                  <w:r>
                    <w:drawing>
                      <wp:inline distT="0" distR="0" distB="0" distL="0">
                        <wp:extent cx="891540" cy="1254376"/>
                        <wp:docPr id="8" name="Drawing 8" descr="img"/>
                        <a:graphic xmlns:a="http://schemas.openxmlformats.org/drawingml/2006/main">
                          <a:graphicData uri="http://schemas.openxmlformats.org/drawingml/2006/picture">
                            <pic:pic xmlns:pic="http://schemas.openxmlformats.org/drawingml/2006/picture">
                              <pic:nvPicPr>
                                <pic:cNvPr id="0" name="Picture 8" descr="img"/>
                                <pic:cNvPicPr>
                                  <a:picLocks noChangeAspect="true"/>
                                </pic:cNvPicPr>
                              </pic:nvPicPr>
                              <pic:blipFill>
                                <a:blip r:embed="rId13"/>
                                <a:stretch>
                                  <a:fillRect/>
                                </a:stretch>
                              </pic:blipFill>
                              <pic:spPr>
                                <a:xfrm>
                                  <a:off x="0" y="0"/>
                                  <a:ext cx="891540" cy="1254376"/>
                                </a:xfrm>
                                <a:prstGeom prst="rect">
                                  <a:avLst/>
                                </a:prstGeom>
                              </pic:spPr>
                            </pic:pic>
                          </a:graphicData>
                        </a:graphic>
                      </wp:inline>
                    </w:drawing>
                  </w:r>
                </w:p>
                <w:p>
                  <w:pPr>
                    <w:pStyle w:val="null3"/>
                    <w:spacing w:before="240"/>
                    <w:jc w:val="left"/>
                  </w:pPr>
                </w:p>
              </w:tc>
              <w:tc>
                <w:tcPr>
                  <w:tcW w:type="dxa" w:w="59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color w:val="000000"/>
                    </w:rPr>
                    <w:t>1</w:t>
                  </w:r>
                  <w:r>
                    <w:rPr>
                      <w:rFonts w:ascii="仿宋_GB2312" w:hAnsi="仿宋_GB2312" w:cs="仿宋_GB2312" w:eastAsia="仿宋_GB2312"/>
                      <w:sz w:val="21"/>
                      <w:color w:val="000000"/>
                    </w:rPr>
                    <w:t xml:space="preserve"> 、</w:t>
                  </w:r>
                  <w:r>
                    <w:rPr>
                      <w:rFonts w:ascii="仿宋_GB2312" w:hAnsi="仿宋_GB2312" w:cs="仿宋_GB2312" w:eastAsia="仿宋_GB2312"/>
                      <w:sz w:val="24"/>
                      <w:color w:val="000000"/>
                    </w:rPr>
                    <w:t>轿壁、轿门采用</w:t>
                  </w:r>
                  <w:r>
                    <w:rPr>
                      <w:rFonts w:ascii="仿宋_GB2312" w:hAnsi="仿宋_GB2312" w:cs="仿宋_GB2312" w:eastAsia="仿宋_GB2312"/>
                      <w:sz w:val="24"/>
                      <w:color w:val="000000"/>
                    </w:rPr>
                    <w:t>发纹不锈钢材质，</w:t>
                  </w:r>
                  <w:r>
                    <w:rPr>
                      <w:rFonts w:ascii="仿宋_GB2312" w:hAnsi="仿宋_GB2312" w:cs="仿宋_GB2312" w:eastAsia="仿宋_GB2312"/>
                      <w:sz w:val="24"/>
                      <w:color w:val="000000"/>
                    </w:rPr>
                    <w:t>简洁耐用。</w:t>
                  </w:r>
                </w:p>
                <w:p>
                  <w:pPr>
                    <w:pStyle w:val="null3"/>
                    <w:ind w:left="120" w:right="105"/>
                    <w:jc w:val="left"/>
                  </w:pPr>
                  <w:r>
                    <w:rPr>
                      <w:rFonts w:ascii="仿宋_GB2312" w:hAnsi="仿宋_GB2312" w:cs="仿宋_GB2312" w:eastAsia="仿宋_GB2312"/>
                      <w:sz w:val="24"/>
                      <w:color w:val="000000"/>
                    </w:rPr>
                    <w:t>2</w:t>
                  </w:r>
                  <w:r>
                    <w:rPr>
                      <w:rFonts w:ascii="仿宋_GB2312" w:hAnsi="仿宋_GB2312" w:cs="仿宋_GB2312" w:eastAsia="仿宋_GB2312"/>
                      <w:sz w:val="21"/>
                      <w:color w:val="000000"/>
                    </w:rPr>
                    <w:t xml:space="preserve"> </w:t>
                  </w:r>
                  <w:r>
                    <w:rPr>
                      <w:rFonts w:ascii="仿宋_GB2312" w:hAnsi="仿宋_GB2312" w:cs="仿宋_GB2312" w:eastAsia="仿宋_GB2312"/>
                      <w:sz w:val="24"/>
                      <w:color w:val="000000"/>
                    </w:rPr>
                    <w:t>、采用</w:t>
                  </w:r>
                  <w:r>
                    <w:rPr>
                      <w:rFonts w:ascii="仿宋_GB2312" w:hAnsi="仿宋_GB2312" w:cs="仿宋_GB2312" w:eastAsia="仿宋_GB2312"/>
                      <w:sz w:val="21"/>
                      <w:color w:val="000000"/>
                    </w:rPr>
                    <w:t xml:space="preserve"> </w:t>
                  </w:r>
                  <w:r>
                    <w:rPr>
                      <w:rFonts w:ascii="仿宋_GB2312" w:hAnsi="仿宋_GB2312" w:cs="仿宋_GB2312" w:eastAsia="仿宋_GB2312"/>
                      <w:sz w:val="24"/>
                      <w:color w:val="000000"/>
                    </w:rPr>
                    <w:t>LED</w:t>
                  </w:r>
                  <w:r>
                    <w:rPr>
                      <w:rFonts w:ascii="仿宋_GB2312" w:hAnsi="仿宋_GB2312" w:cs="仿宋_GB2312" w:eastAsia="仿宋_GB2312"/>
                      <w:sz w:val="21"/>
                      <w:color w:val="000000"/>
                    </w:rPr>
                    <w:t xml:space="preserve"> </w:t>
                  </w:r>
                  <w:r>
                    <w:rPr>
                      <w:rFonts w:ascii="仿宋_GB2312" w:hAnsi="仿宋_GB2312" w:cs="仿宋_GB2312" w:eastAsia="仿宋_GB2312"/>
                      <w:sz w:val="24"/>
                      <w:color w:val="000000"/>
                    </w:rPr>
                    <w:t>照明</w:t>
                  </w:r>
                  <w:r>
                    <w:rPr>
                      <w:rFonts w:ascii="仿宋_GB2312" w:hAnsi="仿宋_GB2312" w:cs="仿宋_GB2312" w:eastAsia="仿宋_GB2312"/>
                      <w:sz w:val="24"/>
                      <w:color w:val="000000"/>
                    </w:rPr>
                    <w:t xml:space="preserve"> ,</w:t>
                  </w:r>
                  <w:r>
                    <w:rPr>
                      <w:rFonts w:ascii="仿宋_GB2312" w:hAnsi="仿宋_GB2312" w:cs="仿宋_GB2312" w:eastAsia="仿宋_GB2312"/>
                      <w:sz w:val="21"/>
                      <w:color w:val="000000"/>
                    </w:rPr>
                    <w:t xml:space="preserve"> </w:t>
                  </w:r>
                  <w:r>
                    <w:rPr>
                      <w:rFonts w:ascii="仿宋_GB2312" w:hAnsi="仿宋_GB2312" w:cs="仿宋_GB2312" w:eastAsia="仿宋_GB2312"/>
                      <w:sz w:val="24"/>
                      <w:color w:val="000000"/>
                    </w:rPr>
                    <w:t>照度高且节能环</w:t>
                  </w:r>
                  <w:r>
                    <w:rPr>
                      <w:rFonts w:ascii="仿宋_GB2312" w:hAnsi="仿宋_GB2312" w:cs="仿宋_GB2312" w:eastAsia="仿宋_GB2312"/>
                      <w:sz w:val="24"/>
                      <w:color w:val="000000"/>
                    </w:rPr>
                    <w:t>保。</w:t>
                  </w:r>
                </w:p>
                <w:p>
                  <w:pPr>
                    <w:pStyle w:val="null3"/>
                    <w:ind w:left="105" w:right="105" w:firstLine="7"/>
                    <w:jc w:val="both"/>
                  </w:pPr>
                  <w:r>
                    <w:rPr>
                      <w:rFonts w:ascii="仿宋_GB2312" w:hAnsi="仿宋_GB2312" w:cs="仿宋_GB2312" w:eastAsia="仿宋_GB2312"/>
                      <w:sz w:val="24"/>
                      <w:color w:val="000000"/>
                    </w:rPr>
                    <w:t>净</w:t>
                  </w:r>
                  <w:r>
                    <w:rPr>
                      <w:rFonts w:ascii="仿宋_GB2312" w:hAnsi="仿宋_GB2312" w:cs="仿宋_GB2312" w:eastAsia="仿宋_GB2312"/>
                      <w:sz w:val="21"/>
                      <w:color w:val="000000"/>
                    </w:rPr>
                    <w:t xml:space="preserve"> </w:t>
                  </w:r>
                  <w:r>
                    <w:rPr>
                      <w:rFonts w:ascii="仿宋_GB2312" w:hAnsi="仿宋_GB2312" w:cs="仿宋_GB2312" w:eastAsia="仿宋_GB2312"/>
                      <w:sz w:val="24"/>
                      <w:color w:val="000000"/>
                    </w:rPr>
                    <w:t>高</w:t>
                  </w:r>
                  <w:r>
                    <w:rPr>
                      <w:rFonts w:ascii="仿宋_GB2312" w:hAnsi="仿宋_GB2312" w:cs="仿宋_GB2312" w:eastAsia="仿宋_GB2312"/>
                      <w:sz w:val="21"/>
                      <w:color w:val="000000"/>
                    </w:rPr>
                    <w:t xml:space="preserve"> </w:t>
                  </w:r>
                  <w:r>
                    <w:rPr>
                      <w:rFonts w:ascii="仿宋_GB2312" w:hAnsi="仿宋_GB2312" w:cs="仿宋_GB2312" w:eastAsia="仿宋_GB2312"/>
                      <w:sz w:val="24"/>
                      <w:color w:val="000000"/>
                    </w:rPr>
                    <w:t>提</w:t>
                  </w:r>
                  <w:r>
                    <w:rPr>
                      <w:rFonts w:ascii="仿宋_GB2312" w:hAnsi="仿宋_GB2312" w:cs="仿宋_GB2312" w:eastAsia="仿宋_GB2312"/>
                      <w:sz w:val="21"/>
                      <w:color w:val="000000"/>
                    </w:rPr>
                    <w:t xml:space="preserve"> </w:t>
                  </w:r>
                  <w:r>
                    <w:rPr>
                      <w:rFonts w:ascii="仿宋_GB2312" w:hAnsi="仿宋_GB2312" w:cs="仿宋_GB2312" w:eastAsia="仿宋_GB2312"/>
                      <w:sz w:val="24"/>
                      <w:color w:val="000000"/>
                    </w:rPr>
                    <w:t>升</w:t>
                  </w:r>
                  <w:r>
                    <w:rPr>
                      <w:rFonts w:ascii="仿宋_GB2312" w:hAnsi="仿宋_GB2312" w:cs="仿宋_GB2312" w:eastAsia="仿宋_GB2312"/>
                      <w:sz w:val="21"/>
                      <w:color w:val="000000"/>
                    </w:rPr>
                    <w:t xml:space="preserve"> </w:t>
                  </w:r>
                  <w:r>
                    <w:rPr>
                      <w:rFonts w:ascii="仿宋_GB2312" w:hAnsi="仿宋_GB2312" w:cs="仿宋_GB2312" w:eastAsia="仿宋_GB2312"/>
                      <w:sz w:val="24"/>
                      <w:color w:val="000000"/>
                    </w:rPr>
                    <w:t>为</w:t>
                  </w:r>
                  <w:r>
                    <w:rPr>
                      <w:rFonts w:ascii="仿宋_GB2312" w:hAnsi="仿宋_GB2312" w:cs="仿宋_GB2312" w:eastAsia="仿宋_GB2312"/>
                      <w:sz w:val="24"/>
                      <w:color w:val="000000"/>
                    </w:rPr>
                    <w:t>2500mm</w:t>
                  </w:r>
                  <w:r>
                    <w:rPr>
                      <w:rFonts w:ascii="仿宋_GB2312" w:hAnsi="仿宋_GB2312" w:cs="仿宋_GB2312" w:eastAsia="仿宋_GB2312"/>
                      <w:sz w:val="24"/>
                      <w:color w:val="000000"/>
                    </w:rPr>
                    <w:t>，改善乘梯</w:t>
                  </w:r>
                  <w:r>
                    <w:rPr>
                      <w:rFonts w:ascii="仿宋_GB2312" w:hAnsi="仿宋_GB2312" w:cs="仿宋_GB2312" w:eastAsia="仿宋_GB2312"/>
                      <w:sz w:val="24"/>
                      <w:color w:val="000000"/>
                    </w:rPr>
                    <w:t>体验。</w:t>
                  </w:r>
                </w:p>
              </w:tc>
            </w:tr>
          </w:tbl>
          <w:tbl>
            <w:tblPr>
              <w:tblInd w:type="dxa" w:w="105"/>
              <w:tblBorders>
                <w:top w:val="none" w:color="000000" w:sz="4"/>
                <w:left w:val="none" w:color="000000" w:sz="4"/>
                <w:bottom w:val="none" w:color="000000" w:sz="4"/>
                <w:right w:val="none" w:color="000000" w:sz="4"/>
                <w:insideH w:val="none"/>
                <w:insideV w:val="none"/>
              </w:tblBorders>
            </w:tblPr>
            <w:tblGrid>
              <w:gridCol w:w="415"/>
              <w:gridCol w:w="1401"/>
              <w:gridCol w:w="725"/>
            </w:tblGrid>
            <w:tr>
              <w:tc>
                <w:tcPr>
                  <w:tcW w:type="dxa" w:w="415"/>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80"/>
                    <w:ind w:left="390"/>
                    <w:jc w:val="left"/>
                  </w:pPr>
                  <w:r>
                    <w:rPr>
                      <w:rFonts w:ascii="仿宋_GB2312" w:hAnsi="仿宋_GB2312" w:cs="仿宋_GB2312" w:eastAsia="仿宋_GB2312"/>
                      <w:sz w:val="24"/>
                      <w:color w:val="000000"/>
                    </w:rPr>
                    <w:t>名称</w:t>
                  </w:r>
                </w:p>
              </w:tc>
              <w:tc>
                <w:tcPr>
                  <w:tcW w:type="dxa" w:w="140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80"/>
                    <w:ind w:left="2700"/>
                    <w:jc w:val="left"/>
                  </w:pPr>
                  <w:r>
                    <w:rPr>
                      <w:rFonts w:ascii="仿宋_GB2312" w:hAnsi="仿宋_GB2312" w:cs="仿宋_GB2312" w:eastAsia="仿宋_GB2312"/>
                      <w:sz w:val="24"/>
                      <w:color w:val="000000"/>
                    </w:rPr>
                    <w:t>效果图</w:t>
                  </w:r>
                </w:p>
              </w:tc>
              <w:tc>
                <w:tcPr>
                  <w:tcW w:type="dxa" w:w="725"/>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80"/>
                    <w:ind w:left="165"/>
                    <w:jc w:val="left"/>
                  </w:pPr>
                  <w:r>
                    <w:rPr>
                      <w:rFonts w:ascii="仿宋_GB2312" w:hAnsi="仿宋_GB2312" w:cs="仿宋_GB2312" w:eastAsia="仿宋_GB2312"/>
                      <w:sz w:val="24"/>
                      <w:color w:val="000000"/>
                    </w:rPr>
                    <w:t>部件性能优势简介</w:t>
                  </w:r>
                </w:p>
              </w:tc>
            </w:tr>
            <w:tr>
              <w:tc>
                <w:tcPr>
                  <w:tcW w:type="dxa" w:w="41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24"/>
                      <w:color w:val="000000"/>
                    </w:rPr>
                    <w:t>层站</w:t>
                  </w:r>
                </w:p>
              </w:tc>
              <w:tc>
                <w:tcPr>
                  <w:tcW w:type="dxa" w:w="140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drawing>
                      <wp:inline distT="0" distR="0" distB="0" distL="0">
                        <wp:extent cx="752475" cy="1125840"/>
                        <wp:docPr id="9" name="Drawing 9" descr="img"/>
                        <a:graphic xmlns:a="http://schemas.openxmlformats.org/drawingml/2006/main">
                          <a:graphicData uri="http://schemas.openxmlformats.org/drawingml/2006/picture">
                            <pic:pic xmlns:pic="http://schemas.openxmlformats.org/drawingml/2006/picture">
                              <pic:nvPicPr>
                                <pic:cNvPr id="0" name="Picture 9" descr="img"/>
                                <pic:cNvPicPr>
                                  <a:picLocks noChangeAspect="true"/>
                                </pic:cNvPicPr>
                              </pic:nvPicPr>
                              <pic:blipFill>
                                <a:blip r:embed="rId14"/>
                                <a:stretch>
                                  <a:fillRect/>
                                </a:stretch>
                              </pic:blipFill>
                              <pic:spPr>
                                <a:xfrm>
                                  <a:off x="0" y="0"/>
                                  <a:ext cx="752475" cy="1125840"/>
                                </a:xfrm>
                                <a:prstGeom prst="rect">
                                  <a:avLst/>
                                </a:prstGeom>
                              </pic:spPr>
                            </pic:pic>
                          </a:graphicData>
                        </a:graphic>
                      </wp:inline>
                    </w:drawing>
                  </w:r>
                </w:p>
                <w:p>
                  <w:pPr>
                    <w:pStyle w:val="null3"/>
                  </w:pPr>
                  <w:r>
                    <w:rPr>
                      <w:rFonts w:ascii="仿宋_GB2312" w:hAnsi="仿宋_GB2312" w:cs="仿宋_GB2312" w:eastAsia="仿宋_GB2312"/>
                    </w:rPr>
                    <w:t xml:space="preserve"> </w:t>
                  </w:r>
                </w:p>
                <w:p>
                  <w:pPr>
                    <w:pStyle w:val="null3"/>
                    <w:jc w:val="left"/>
                  </w:pPr>
                </w:p>
              </w:tc>
              <w:tc>
                <w:tcPr>
                  <w:tcW w:type="dxa" w:w="7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color w:val="000000"/>
                    </w:rPr>
                    <w:t>厅门采用发纹不锈</w:t>
                  </w:r>
                  <w:r>
                    <w:rPr>
                      <w:rFonts w:ascii="仿宋_GB2312" w:hAnsi="仿宋_GB2312" w:cs="仿宋_GB2312" w:eastAsia="仿宋_GB2312"/>
                      <w:sz w:val="24"/>
                      <w:color w:val="000000"/>
                    </w:rPr>
                    <w:t>钢材质</w:t>
                  </w:r>
                </w:p>
              </w:tc>
            </w:tr>
          </w:tbl>
          <w:p>
            <w:pPr>
              <w:pStyle w:val="null3"/>
              <w:jc w:val="left"/>
            </w:pPr>
            <w:r>
              <w:rPr>
                <w:rFonts w:ascii="仿宋_GB2312" w:hAnsi="仿宋_GB2312" w:cs="仿宋_GB2312" w:eastAsia="仿宋_GB2312"/>
              </w:rPr>
              <w:t xml:space="preserve"> </w:t>
            </w:r>
          </w:p>
          <w:p>
            <w:pPr>
              <w:pStyle w:val="null3"/>
              <w:jc w:val="left"/>
            </w:pPr>
            <w:r>
              <w:rPr>
                <w:rFonts w:ascii="仿宋_GB2312" w:hAnsi="仿宋_GB2312" w:cs="仿宋_GB2312" w:eastAsia="仿宋_GB2312"/>
                <w:sz w:val="30"/>
                <w:b/>
              </w:rPr>
              <w:t>五：电梯数量：2台</w:t>
            </w:r>
          </w:p>
          <w:p>
            <w:pPr>
              <w:pStyle w:val="null3"/>
              <w:spacing w:before="75"/>
              <w:ind w:left="30"/>
              <w:jc w:val="left"/>
            </w:pPr>
            <w:r>
              <w:rPr>
                <w:rFonts w:ascii="仿宋_GB2312" w:hAnsi="仿宋_GB2312" w:cs="仿宋_GB2312" w:eastAsia="仿宋_GB2312"/>
              </w:rPr>
              <w:t xml:space="preserve"> </w:t>
            </w:r>
          </w:p>
          <w:p>
            <w:pPr>
              <w:pStyle w:val="null3"/>
              <w:spacing w:before="75"/>
              <w:ind w:left="30"/>
              <w:jc w:val="left"/>
            </w:pPr>
            <w:r>
              <w:rPr>
                <w:rFonts w:ascii="仿宋_GB2312" w:hAnsi="仿宋_GB2312" w:cs="仿宋_GB2312" w:eastAsia="仿宋_GB2312"/>
              </w:rPr>
              <w:t xml:space="preserve"> </w:t>
            </w:r>
          </w:p>
          <w:p>
            <w:pPr>
              <w:pStyle w:val="null3"/>
              <w:spacing w:before="105"/>
              <w:jc w:val="left"/>
            </w:pPr>
            <w:r>
              <w:rPr>
                <w:rFonts w:ascii="仿宋_GB2312" w:hAnsi="仿宋_GB2312" w:cs="仿宋_GB2312" w:eastAsia="仿宋_GB2312"/>
              </w:rPr>
              <w:t xml:space="preserve"> </w:t>
            </w:r>
          </w:p>
          <w:p>
            <w:pPr>
              <w:pStyle w:val="null3"/>
              <w:jc w:val="left"/>
            </w:pP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自合同签订起30天完成。</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签订合同后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初验合格后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 xml:space="preserve">整个系统终验合格 </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10.00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验收依据：合同文本、合同附件、招标文件、投标文件国内相应的标准、规范。</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自验收合格之日起不少于5年,免保2年。</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中华人民共和国民法典》中的相关条款执行。（2）未按合同要求的提供服务或质量不能满足技术要求，采购人有权终止合同，甚至对供应商违约行为进行追究。（3）如有纠纷，双方友好协商解决，协商不成时可诉讼到采购人所在地人民法院解决。</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采购包1： 成交供应商在领取成交通知书前，须向采购代理机构提供纸质版投标文件3套（1正2副），U盘1份（包括投标文件的全部内容）且提供的投标文件必须与在陕西省政府采购综合管理平台的项目电子化交易系统中递交的电子投标文件内容一致，纸质版投标文件必须装订成册，投标文件加盖单位鲜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投标函 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具有独立承担民事责任能力的法人或其他组织，并出具合法有效的营业执照或事业单位法人证书等国家规定的相关证明；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法定代表人委托授权书/法定代表人身份证明</w:t>
            </w:r>
          </w:p>
        </w:tc>
        <w:tc>
          <w:tcPr>
            <w:tcW w:type="dxa" w:w="3322"/>
          </w:tcPr>
          <w:p>
            <w:pPr>
              <w:pStyle w:val="null3"/>
            </w:pPr>
            <w:r>
              <w:rPr>
                <w:rFonts w:ascii="仿宋_GB2312" w:hAnsi="仿宋_GB2312" w:cs="仿宋_GB2312" w:eastAsia="仿宋_GB2312"/>
              </w:rPr>
              <w:t>提供法定代表人授权书（附法定代表人身份证复印件）及被授权代理人身份证复印件（法定代表人直接参加只需提供法定代表人身份证复印件）；</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w:t>
            </w:r>
          </w:p>
        </w:tc>
        <w:tc>
          <w:tcPr>
            <w:tcW w:type="dxa" w:w="3322"/>
          </w:tcPr>
          <w:p>
            <w:pPr>
              <w:pStyle w:val="null3"/>
            </w:pPr>
            <w:r>
              <w:rPr>
                <w:rFonts w:ascii="仿宋_GB2312" w:hAnsi="仿宋_GB2312" w:cs="仿宋_GB2312" w:eastAsia="仿宋_GB2312"/>
              </w:rPr>
              <w:t>提供2024年度或2025年度经会计师事务所签字盖章的完整财务审计报告(财务审计报告包括资产负债表、利润表、现金流量表及财务报表附注，财务审计报告应盖有会计师事务所单位章和注册会计师的执业专用章，并附会计师事务所的营业执照及执业证书复印件)，或其开标前六个月内银行出具的资信证明（以上二种形式的资料提供任何一种即可）；</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提供截止至开标时间前六个月内任意一个月的纳税证明或完税证明，纳税证明或完税证明上应有代收机构或税务机关的公章，依法免税的单位应提供相关证明材料；</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提供截止至开标时间前六个月内任意一个月的社保缴费凭据或社保机构开具的社会保险参保缴费情况证明，依法不需要缴纳社会保障资金的单位应提供相关证明材料；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无重大违法记录声明</w:t>
            </w:r>
          </w:p>
        </w:tc>
        <w:tc>
          <w:tcPr>
            <w:tcW w:type="dxa" w:w="3322"/>
          </w:tcPr>
          <w:p>
            <w:pPr>
              <w:pStyle w:val="null3"/>
            </w:pPr>
            <w:r>
              <w:rPr>
                <w:rFonts w:ascii="仿宋_GB2312" w:hAnsi="仿宋_GB2312" w:cs="仿宋_GB2312" w:eastAsia="仿宋_GB2312"/>
              </w:rPr>
              <w:t>参加政府采购活动前三年内，在经营活动中没有重大违法记录的书面声明；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供应商未被列入“信用中国”（https://www.creditchina.gov.cn/）重大税收违法失信主体、未被列入“中国执行信息公开网”（http://zxgk.court.gov.cn）失信被执行人、未被列入“中国政府采购网”（http://www.ccgp.gov.cn/）政府采购严重违法失信行为记录名单的网页查询截图；</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专业技术能力证明</w:t>
            </w:r>
          </w:p>
        </w:tc>
        <w:tc>
          <w:tcPr>
            <w:tcW w:type="dxa" w:w="3322"/>
          </w:tcPr>
          <w:p>
            <w:pPr>
              <w:pStyle w:val="null3"/>
            </w:pPr>
            <w:r>
              <w:rPr>
                <w:rFonts w:ascii="仿宋_GB2312" w:hAnsi="仿宋_GB2312" w:cs="仿宋_GB2312" w:eastAsia="仿宋_GB2312"/>
              </w:rPr>
              <w:t>具备履行合同所必需的设备和专业技术能力的证明材料(由投标人根据项目需求提供说明材料或者承诺)；未为本项目提供整体设计、规范编制或者项目管理、监理、检测等服务；</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单位负责人为同一人或者存在直接控股、管理关系的不同供应商，不得参加同一合同项下的政府采购活动；提供投标人企业关系关联承诺书。</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资质要求</w:t>
            </w:r>
          </w:p>
        </w:tc>
        <w:tc>
          <w:tcPr>
            <w:tcW w:type="dxa" w:w="3322"/>
          </w:tcPr>
          <w:p>
            <w:pPr>
              <w:pStyle w:val="null3"/>
            </w:pPr>
            <w:r>
              <w:rPr>
                <w:rFonts w:ascii="仿宋_GB2312" w:hAnsi="仿宋_GB2312" w:cs="仿宋_GB2312" w:eastAsia="仿宋_GB2312"/>
              </w:rPr>
              <w:t>供应商若为电梯制造商须具备《中华人民共和国特种设备生产许可证》【许可项目电梯制造（含安装、修理、改造），子项目含曳引驱动乘客电梯（含消防员电梯）】； 供应商若为电梯经销商（代理商）须同时提供《中华人民共和国特种设备生产许可证》【许可项目电梯安装（含修理），子项目含曳引驱动乘客电梯（含消防员电梯）】及所投电梯制造商的《中华人民共和国特种设备生产许可证》【许可项目含电梯制造，子项目含曳引驱动乘客电梯（含消防员电梯）】；</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联合体投标</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资格证明文件.docx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 分项报价表.pdf</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交货期</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开标一览表 商务应答表 标的清单 投标文件封面 分项报价表.pdf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签字盖章</w:t>
            </w:r>
          </w:p>
        </w:tc>
        <w:tc>
          <w:tcPr>
            <w:tcW w:type="dxa" w:w="3322"/>
          </w:tcPr>
          <w:p>
            <w:pPr>
              <w:pStyle w:val="null3"/>
            </w:pPr>
            <w:r>
              <w:rPr>
                <w:rFonts w:ascii="仿宋_GB2312" w:hAnsi="仿宋_GB2312" w:cs="仿宋_GB2312" w:eastAsia="仿宋_GB2312"/>
              </w:rPr>
              <w:t>投标文件的签字盖章符合招标文件要求</w:t>
            </w:r>
          </w:p>
        </w:tc>
        <w:tc>
          <w:tcPr>
            <w:tcW w:type="dxa" w:w="1661"/>
          </w:tcPr>
          <w:p>
            <w:pPr>
              <w:pStyle w:val="null3"/>
            </w:pPr>
            <w:r>
              <w:rPr>
                <w:rFonts w:ascii="仿宋_GB2312" w:hAnsi="仿宋_GB2312" w:cs="仿宋_GB2312" w:eastAsia="仿宋_GB2312"/>
              </w:rPr>
              <w:t>开标一览表 业绩.docx 中小企业声明函 商务应答表 资格证明文件.docx 技术实施方案.docx 产品技术参数表 投标函 残疾人福利性单位声明函 保证金交纳凭证.docx 标的清单 投标文件封面 项目管理人员.docx 监狱企业的证明文件 分项报价表.pdf</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有效期</w:t>
            </w:r>
          </w:p>
        </w:tc>
        <w:tc>
          <w:tcPr>
            <w:tcW w:type="dxa" w:w="3322"/>
          </w:tcPr>
          <w:p>
            <w:pPr>
              <w:pStyle w:val="null3"/>
            </w:pPr>
            <w:r>
              <w:rPr>
                <w:rFonts w:ascii="仿宋_GB2312" w:hAnsi="仿宋_GB2312" w:cs="仿宋_GB2312" w:eastAsia="仿宋_GB2312"/>
              </w:rPr>
              <w:t>投标文件有效期符合招标文件要求</w:t>
            </w:r>
          </w:p>
        </w:tc>
        <w:tc>
          <w:tcPr>
            <w:tcW w:type="dxa" w:w="1661"/>
          </w:tcPr>
          <w:p>
            <w:pPr>
              <w:pStyle w:val="null3"/>
            </w:pPr>
            <w:r>
              <w:rPr>
                <w:rFonts w:ascii="仿宋_GB2312" w:hAnsi="仿宋_GB2312" w:cs="仿宋_GB2312" w:eastAsia="仿宋_GB2312"/>
              </w:rPr>
              <w:t>投标函 投标文件封面</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报价未超过最高限价</w:t>
            </w:r>
          </w:p>
        </w:tc>
        <w:tc>
          <w:tcPr>
            <w:tcW w:type="dxa" w:w="1661"/>
          </w:tcPr>
          <w:p>
            <w:pPr>
              <w:pStyle w:val="null3"/>
            </w:pPr>
            <w:r>
              <w:rPr>
                <w:rFonts w:ascii="仿宋_GB2312" w:hAnsi="仿宋_GB2312" w:cs="仿宋_GB2312" w:eastAsia="仿宋_GB2312"/>
              </w:rPr>
              <w:t>开标一览表 标的清单 投标文件封面 分项报价表.pdf</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保证金</w:t>
            </w:r>
          </w:p>
        </w:tc>
        <w:tc>
          <w:tcPr>
            <w:tcW w:type="dxa" w:w="3322"/>
          </w:tcPr>
          <w:p>
            <w:pPr>
              <w:pStyle w:val="null3"/>
            </w:pPr>
            <w:r>
              <w:rPr>
                <w:rFonts w:ascii="仿宋_GB2312" w:hAnsi="仿宋_GB2312" w:cs="仿宋_GB2312" w:eastAsia="仿宋_GB2312"/>
              </w:rPr>
              <w:t>投标保证金交纳符合招标文件要求</w:t>
            </w:r>
          </w:p>
        </w:tc>
        <w:tc>
          <w:tcPr>
            <w:tcW w:type="dxa" w:w="1661"/>
          </w:tcPr>
          <w:p>
            <w:pPr>
              <w:pStyle w:val="null3"/>
            </w:pPr>
            <w:r>
              <w:rPr>
                <w:rFonts w:ascii="仿宋_GB2312" w:hAnsi="仿宋_GB2312" w:cs="仿宋_GB2312" w:eastAsia="仿宋_GB2312"/>
              </w:rPr>
              <w:t>保证金交纳凭证.docx 投标文件封面</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根据项目工作特点提供完善的实施方案。 1.供应商的实施方案全 面、合理，可行性强，得10 分； 2.供应商的实施方案较全面、较合理，具有较强的可行性，得 8 分； 3.供应商的实施方案基本全面、基本合理，基本具有可行性，得 6 分； 4.供应商的实施方案全面性及合理性较差，可行性较差，得 4 分； 5.未提供的不得分。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技术实施方案.docx</w:t>
            </w:r>
          </w:p>
        </w:tc>
      </w:tr>
      <w:tr>
        <w:tc>
          <w:tcPr>
            <w:tcW w:type="dxa" w:w="831"/>
            <w:vMerge/>
          </w:tcPr>
          <w:p/>
        </w:tc>
        <w:tc>
          <w:tcPr>
            <w:tcW w:type="dxa" w:w="1661"/>
          </w:tcPr>
          <w:p>
            <w:pPr>
              <w:pStyle w:val="null3"/>
            </w:pPr>
            <w:r>
              <w:rPr>
                <w:rFonts w:ascii="仿宋_GB2312" w:hAnsi="仿宋_GB2312" w:cs="仿宋_GB2312" w:eastAsia="仿宋_GB2312"/>
              </w:rPr>
              <w:t>拆除、安装及调试方案</w:t>
            </w:r>
          </w:p>
        </w:tc>
        <w:tc>
          <w:tcPr>
            <w:tcW w:type="dxa" w:w="2492"/>
          </w:tcPr>
          <w:p>
            <w:pPr>
              <w:pStyle w:val="null3"/>
            </w:pPr>
            <w:r>
              <w:rPr>
                <w:rFonts w:ascii="仿宋_GB2312" w:hAnsi="仿宋_GB2312" w:cs="仿宋_GB2312" w:eastAsia="仿宋_GB2312"/>
              </w:rPr>
              <w:t>根据项目工作特点提供完善的拆除、安装及调试方案。 1. 供应商的拆除、安装及调试方案全面、合理，可行性强，得 10 分； 2. 供应商的拆除、安装及调试方案较全面、较合理，具有较强的可行性，得 8 分； 3. 供应商的拆除、安装及调试方案基本全面、基本合理，基本具有可行性，得 6 分； 4. 供应商的拆除、安装及调试方案全面性及合理性较差，可行性较差，得 4 分； 5.未提供的不得分。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技术实施方案.docx</w:t>
            </w:r>
          </w:p>
        </w:tc>
      </w:tr>
      <w:tr>
        <w:tc>
          <w:tcPr>
            <w:tcW w:type="dxa" w:w="831"/>
            <w:vMerge/>
          </w:tcPr>
          <w:p/>
        </w:tc>
        <w:tc>
          <w:tcPr>
            <w:tcW w:type="dxa" w:w="1661"/>
          </w:tcPr>
          <w:p>
            <w:pPr>
              <w:pStyle w:val="null3"/>
            </w:pPr>
            <w:r>
              <w:rPr>
                <w:rFonts w:ascii="仿宋_GB2312" w:hAnsi="仿宋_GB2312" w:cs="仿宋_GB2312" w:eastAsia="仿宋_GB2312"/>
              </w:rPr>
              <w:t>进度保障措施</w:t>
            </w:r>
          </w:p>
        </w:tc>
        <w:tc>
          <w:tcPr>
            <w:tcW w:type="dxa" w:w="2492"/>
          </w:tcPr>
          <w:p>
            <w:pPr>
              <w:pStyle w:val="null3"/>
            </w:pPr>
            <w:r>
              <w:rPr>
                <w:rFonts w:ascii="仿宋_GB2312" w:hAnsi="仿宋_GB2312" w:cs="仿宋_GB2312" w:eastAsia="仿宋_GB2312"/>
              </w:rPr>
              <w:t>根据项目工作特点提供完善的进度保障措施。 1.供应商的进度保障措施全面、合理，可行性强，得 10 分； 2.供应商的进度保障措施较全面、较合理，具有较强的可行性，得 8 分； 3.供应商的进度保障措施基本全面、基本合理，基本具有可行性，得 6 分；4.供应商的进度保障措施全面性及合理性较差，可行性较差，得 4 分； 5.未提供的不得分。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技术实施方案.docx</w:t>
            </w:r>
          </w:p>
        </w:tc>
      </w:tr>
      <w:tr>
        <w:tc>
          <w:tcPr>
            <w:tcW w:type="dxa" w:w="831"/>
            <w:vMerge/>
          </w:tcPr>
          <w:p/>
        </w:tc>
        <w:tc>
          <w:tcPr>
            <w:tcW w:type="dxa" w:w="1661"/>
          </w:tcPr>
          <w:p>
            <w:pPr>
              <w:pStyle w:val="null3"/>
            </w:pPr>
            <w:r>
              <w:rPr>
                <w:rFonts w:ascii="仿宋_GB2312" w:hAnsi="仿宋_GB2312" w:cs="仿宋_GB2312" w:eastAsia="仿宋_GB2312"/>
              </w:rPr>
              <w:t>质量保障措施</w:t>
            </w:r>
          </w:p>
        </w:tc>
        <w:tc>
          <w:tcPr>
            <w:tcW w:type="dxa" w:w="2492"/>
          </w:tcPr>
          <w:p>
            <w:pPr>
              <w:pStyle w:val="null3"/>
            </w:pPr>
            <w:r>
              <w:rPr>
                <w:rFonts w:ascii="仿宋_GB2312" w:hAnsi="仿宋_GB2312" w:cs="仿宋_GB2312" w:eastAsia="仿宋_GB2312"/>
              </w:rPr>
              <w:t>根据项目工作特点提供完善的质量保障措施。 1.供应商的质量保障措施全面、合理，可行性强，得 10 分； 2.供应商的质量保障措施较全面、较合理，具有较强的可行性，得 8 分； 3.供应商的质量保障措施基本全面、基本合理，基本具有可行性，得 6 分；4.供应商的质量保障措施全面性及合理性较差，可行性较差，得 4 分； 5.未提供的不得分。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技术实施方案.docx</w:t>
            </w:r>
          </w:p>
        </w:tc>
      </w:tr>
      <w:tr>
        <w:tc>
          <w:tcPr>
            <w:tcW w:type="dxa" w:w="831"/>
            <w:vMerge/>
          </w:tcPr>
          <w:p/>
        </w:tc>
        <w:tc>
          <w:tcPr>
            <w:tcW w:type="dxa" w:w="1661"/>
          </w:tcPr>
          <w:p>
            <w:pPr>
              <w:pStyle w:val="null3"/>
            </w:pPr>
            <w:r>
              <w:rPr>
                <w:rFonts w:ascii="仿宋_GB2312" w:hAnsi="仿宋_GB2312" w:cs="仿宋_GB2312" w:eastAsia="仿宋_GB2312"/>
              </w:rPr>
              <w:t>安全文明施工措施</w:t>
            </w:r>
          </w:p>
        </w:tc>
        <w:tc>
          <w:tcPr>
            <w:tcW w:type="dxa" w:w="2492"/>
          </w:tcPr>
          <w:p>
            <w:pPr>
              <w:pStyle w:val="null3"/>
            </w:pPr>
            <w:r>
              <w:rPr>
                <w:rFonts w:ascii="仿宋_GB2312" w:hAnsi="仿宋_GB2312" w:cs="仿宋_GB2312" w:eastAsia="仿宋_GB2312"/>
              </w:rPr>
              <w:t>根据项目工作特点提供完善的安全文明施工措施。1.供应商的安全文明施工措施全面、合理，可行性强，得 5 分； 2.供应商的安全文明施工措施较全面、较合理，具有较强的可行性，得 4 分；3.供应商的安全文明施工措施基本全面、基本合理，基本具有可行性，得 3 分；4.供应商的安全文明施工措施全面性及合理性较 差，可行性较差，得 2 分；5.未提供的不得分。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技术实施方案.docx</w:t>
            </w:r>
          </w:p>
        </w:tc>
      </w:tr>
      <w:tr>
        <w:tc>
          <w:tcPr>
            <w:tcW w:type="dxa" w:w="831"/>
            <w:vMerge/>
          </w:tcPr>
          <w:p/>
        </w:tc>
        <w:tc>
          <w:tcPr>
            <w:tcW w:type="dxa" w:w="1661"/>
          </w:tcPr>
          <w:p>
            <w:pPr>
              <w:pStyle w:val="null3"/>
            </w:pPr>
            <w:r>
              <w:rPr>
                <w:rFonts w:ascii="仿宋_GB2312" w:hAnsi="仿宋_GB2312" w:cs="仿宋_GB2312" w:eastAsia="仿宋_GB2312"/>
              </w:rPr>
              <w:t>售后服务及质保方案</w:t>
            </w:r>
          </w:p>
        </w:tc>
        <w:tc>
          <w:tcPr>
            <w:tcW w:type="dxa" w:w="2492"/>
          </w:tcPr>
          <w:p>
            <w:pPr>
              <w:pStyle w:val="null3"/>
            </w:pPr>
            <w:r>
              <w:rPr>
                <w:rFonts w:ascii="仿宋_GB2312" w:hAnsi="仿宋_GB2312" w:cs="仿宋_GB2312" w:eastAsia="仿宋_GB2312"/>
              </w:rPr>
              <w:t>根据项目工作特点提供完善的售后服务及质保方 案。 1.供应商的售后服务及质保方案全面、合理，可行性强，得 5 分； 2.供应商的售后服务及质保方案较全面、较合理，具有较强的可行性，得 4分； 3.售后服务及质保方案基本全面、基本合理，基本具有可行性，得 3 分； 4.售后服务及质保方案全面性及合理性较差，可行性较差，得 2 分； 5.未提供的不得分。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技术实施方案.docx</w:t>
            </w:r>
          </w:p>
        </w:tc>
      </w:tr>
      <w:tr>
        <w:tc>
          <w:tcPr>
            <w:tcW w:type="dxa" w:w="831"/>
            <w:vMerge/>
          </w:tcPr>
          <w:p/>
        </w:tc>
        <w:tc>
          <w:tcPr>
            <w:tcW w:type="dxa" w:w="1661"/>
          </w:tcPr>
          <w:p>
            <w:pPr>
              <w:pStyle w:val="null3"/>
            </w:pPr>
            <w:r>
              <w:rPr>
                <w:rFonts w:ascii="仿宋_GB2312" w:hAnsi="仿宋_GB2312" w:cs="仿宋_GB2312" w:eastAsia="仿宋_GB2312"/>
              </w:rPr>
              <w:t>应急突发事件处理措施</w:t>
            </w:r>
          </w:p>
        </w:tc>
        <w:tc>
          <w:tcPr>
            <w:tcW w:type="dxa" w:w="2492"/>
          </w:tcPr>
          <w:p>
            <w:pPr>
              <w:pStyle w:val="null3"/>
            </w:pPr>
            <w:r>
              <w:rPr>
                <w:rFonts w:ascii="仿宋_GB2312" w:hAnsi="仿宋_GB2312" w:cs="仿宋_GB2312" w:eastAsia="仿宋_GB2312"/>
              </w:rPr>
              <w:t>根据项目工作特点提供完善的应急突发事件处理措施。 1.应急突发事件处理措 施内容完善、合理可行、针对性强的得 5 分； 2.应急突发事件处理措 施内容较完善、较合理可行、针对性较强的得 4 分；3.应急突发事件处理措 施内容基本完善、合理、针对性一般的得 3 分； 4.应急突发事件处理措 施内容宽泛、部分合理得2 分； 5.未提供不得分。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技术实施方案.docx</w:t>
            </w:r>
          </w:p>
        </w:tc>
      </w:tr>
      <w:tr>
        <w:tc>
          <w:tcPr>
            <w:tcW w:type="dxa" w:w="831"/>
            <w:vMerge/>
          </w:tcPr>
          <w:p/>
        </w:tc>
        <w:tc>
          <w:tcPr>
            <w:tcW w:type="dxa" w:w="1661"/>
          </w:tcPr>
          <w:p>
            <w:pPr>
              <w:pStyle w:val="null3"/>
            </w:pPr>
            <w:r>
              <w:rPr>
                <w:rFonts w:ascii="仿宋_GB2312" w:hAnsi="仿宋_GB2312" w:cs="仿宋_GB2312" w:eastAsia="仿宋_GB2312"/>
              </w:rPr>
              <w:t>项目管理人员</w:t>
            </w:r>
          </w:p>
        </w:tc>
        <w:tc>
          <w:tcPr>
            <w:tcW w:type="dxa" w:w="2492"/>
          </w:tcPr>
          <w:p>
            <w:pPr>
              <w:pStyle w:val="null3"/>
            </w:pPr>
            <w:r>
              <w:rPr>
                <w:rFonts w:ascii="仿宋_GB2312" w:hAnsi="仿宋_GB2312" w:cs="仿宋_GB2312" w:eastAsia="仿宋_GB2312"/>
              </w:rPr>
              <w:t>根据项目工作特点提供完善的应急突发事件处理措施。 1.供应商提供的项目管理人员配置全面、合理，可行性强，得 5 分； 2.供应商提供的项目管理人员配置较全面、较合理，具有较强的可行性，得 4 分； 3.供应商提供的项目管理人员配置基本全面、基本合理，基本具有可行性，得 3 分； 4.供应商提供的项目管理人员配置全面性及合理性较差，可行性较差，得 2分； 5.未提供的不得分。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项目管理人员.docx</w:t>
            </w:r>
          </w:p>
          <w:p>
            <w:pPr>
              <w:pStyle w:val="null3"/>
            </w:pPr>
            <w:r>
              <w:rPr>
                <w:rFonts w:ascii="仿宋_GB2312" w:hAnsi="仿宋_GB2312" w:cs="仿宋_GB2312" w:eastAsia="仿宋_GB2312"/>
              </w:rPr>
              <w:t>技术实施方案.docx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供应商提供近三年(2023 年 1 月 1 日至本项目开标前)类似项目业绩，每提供一个得 2 分，最高不超过10 分。提供的合同复印件加盖单位公章为准，须复印清晰、可辨，复印模糊无法辨认的将不予评分。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业绩.docx</w:t>
            </w:r>
          </w:p>
          <w:p>
            <w:pPr>
              <w:pStyle w:val="null3"/>
            </w:pPr>
            <w:r>
              <w:rPr>
                <w:rFonts w:ascii="仿宋_GB2312" w:hAnsi="仿宋_GB2312" w:cs="仿宋_GB2312" w:eastAsia="仿宋_GB2312"/>
              </w:rPr>
              <w:t>技术实施方案.docx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价格分统一采用低价优先法计算，即满足招标文件要求且投标价格最低的报价为评标基准价，其价格分为满分。其他供应商的价格分统一按照下列公式计算： 投标报价得分=(评标基准价／投标报价)×报价分值 ×100。计算分数时四舍五入取小数点后两位。</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详见附件：分项报价表.pdf</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详见附件：项目管理人员.docx</w:t>
      </w:r>
    </w:p>
    <w:p>
      <w:pPr>
        <w:pStyle w:val="null3"/>
        <w:ind w:firstLine="960"/>
      </w:pPr>
      <w:r>
        <w:rPr>
          <w:rFonts w:ascii="仿宋_GB2312" w:hAnsi="仿宋_GB2312" w:cs="仿宋_GB2312" w:eastAsia="仿宋_GB2312"/>
        </w:rPr>
        <w:t>详见附件：业绩.docx</w:t>
      </w:r>
    </w:p>
    <w:p>
      <w:pPr>
        <w:pStyle w:val="null3"/>
        <w:ind w:firstLine="960"/>
      </w:pPr>
      <w:r>
        <w:rPr>
          <w:rFonts w:ascii="仿宋_GB2312" w:hAnsi="仿宋_GB2312" w:cs="仿宋_GB2312" w:eastAsia="仿宋_GB2312"/>
        </w:rPr>
        <w:t>详见附件：技术实施方案.docx</w:t>
      </w:r>
    </w:p>
    <w:p>
      <w:pPr>
        <w:pStyle w:val="null3"/>
        <w:ind w:firstLine="960"/>
      </w:pPr>
      <w:r>
        <w:rPr>
          <w:rFonts w:ascii="仿宋_GB2312" w:hAnsi="仿宋_GB2312" w:cs="仿宋_GB2312" w:eastAsia="仿宋_GB2312"/>
        </w:rPr>
        <w:t>详见附件：保证金交纳凭证.docx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10" Target="media/image5.png" Type="http://schemas.openxmlformats.org/officeDocument/2006/relationships/image"/><Relationship Id="rId11" Target="media/image6.png" Type="http://schemas.openxmlformats.org/officeDocument/2006/relationships/image"/><Relationship Id="rId12" Target="media/image7.png" Type="http://schemas.openxmlformats.org/officeDocument/2006/relationships/image"/><Relationship Id="rId13" Target="media/image8.png" Type="http://schemas.openxmlformats.org/officeDocument/2006/relationships/image"/><Relationship Id="rId14" Target="media/image9.png" Type="http://schemas.openxmlformats.org/officeDocument/2006/relationships/image"/><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media/image1.jpeg" Type="http://schemas.openxmlformats.org/officeDocument/2006/relationships/image"/><Relationship Id="rId7" Target="media/image2.jpeg" Type="http://schemas.openxmlformats.org/officeDocument/2006/relationships/image"/><Relationship Id="rId8" Target="media/image3.png" Type="http://schemas.openxmlformats.org/officeDocument/2006/relationships/image"/><Relationship Id="rId9" Target="media/image4.png" Type="http://schemas.openxmlformats.org/officeDocument/2006/relationships/imag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