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版本号：HCXM-CS-2604-0720260512001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2026年度政务公开第三方评估工作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HCXM-CS-2604-07</w:t>
      </w:r>
      <w:r>
        <w:br/>
      </w:r>
      <w:r>
        <w:br/>
      </w:r>
      <w:r>
        <w:br/>
      </w:r>
    </w:p>
    <w:p>
      <w:pPr>
        <w:pStyle w:val="null3"/>
        <w:jc w:val="center"/>
        <w:outlineLvl w:val="2"/>
      </w:pPr>
      <w:r>
        <w:rPr>
          <w:rFonts w:ascii="仿宋_GB2312" w:hAnsi="仿宋_GB2312" w:cs="仿宋_GB2312" w:eastAsia="仿宋_GB2312"/>
          <w:sz w:val="28"/>
          <w:b/>
        </w:rPr>
        <w:t>省政府办公厅机关</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省政府办公厅机关</w:t>
      </w:r>
      <w:r>
        <w:rPr>
          <w:rFonts w:ascii="仿宋_GB2312" w:hAnsi="仿宋_GB2312" w:cs="仿宋_GB2312" w:eastAsia="仿宋_GB2312"/>
        </w:rPr>
        <w:t>委托，拟对</w:t>
      </w:r>
      <w:r>
        <w:rPr>
          <w:rFonts w:ascii="仿宋_GB2312" w:hAnsi="仿宋_GB2312" w:cs="仿宋_GB2312" w:eastAsia="仿宋_GB2312"/>
        </w:rPr>
        <w:t>2026年度政务公开第三方评估工作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HCXM-CS-2604-07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2026年度政务公开第三方评估工作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按照国务院办公厅政务公开相关文件及工作要求，依据《2026年陕西省政务公开工作绩效评估指标》对全省政务公开工作进行客观、公正、权威的评估。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2024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3）、税收缴纳证明：提供开标前一年内任意一个月的税收纳税证明或完税证明，依法免税的单位应提供相关证明材料；（4）、社会保障资金缴纳证明：提供开标前一年内任意一个月的社会保障资金缴存单据或社保机构开具的社会保险参保缴费情况证明，依法不需要缴纳社会保障资金的单位应提供相关证明材料；（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磋商文件发售之日起至开标截止日前）并加盖供应商公章； （6）、供应商应授权合法的人员参加磋商全过程，其中法定代表人直接参加磋商的，须出具法人身份证，并与营业执照上信息一致，法定代表人授权代表参加磋商的，须出具法定代表人授权书； （7）、供应商应出具参加政府采购活动前3年内在经营活动中没有重大违法记录的书面声明； （8）、提供具有履行本合同所必需的专业技术能力的声明；（9）、本项目不接受联合体投标（提供非联合体承诺书）。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2024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3）、税收缴纳证明：提供开标前一年内任意一个月的税收纳税证明或完税证明，依法免税的单位应提供相关证明材料；（4）、社会保障资金缴纳证明：提供开标前一年内任意一个月的社会保障资金缴存单据或社保机构开具的社会保险参保缴费情况证明，依法不需要缴纳社会保障资金的单位应提供相关证明材料；（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磋商文件发售之日起至开标截止日前）并加盖供应商公章； （6）、供应商应授权合法的人员参加磋商全过程，其中法定代表人直接参加磋商的，须出具法人身份证，并与营业执照上信息一致，法定代表人授权代表参加磋商的，须出具法定代表人授权书； （7）、供应商应出具参加政府采购活动前3年内在经营活动中没有重大违法记录的书面声明； （8）、提供具有履行本合同所必需的专业技术能力的声明；（9）、本项目不接受联合体投标（提供非联合体承诺书）。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省政府办公厅机关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省政府办公厅韩老师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63912471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陕西省西安市高新区团结南路西安国际人才大厦A座1508室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董丽英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13389230971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采购包1：215,000.00元</w:t>
            </w:r>
          </w:p>
          <w:p>
            <w:pPr>
              <w:pStyle w:val="null3"/>
            </w:pPr>
            <w:r>
              <w:rPr>
                <w:rFonts w:ascii="仿宋_GB2312" w:hAnsi="仿宋_GB2312" w:cs="仿宋_GB2312" w:eastAsia="仿宋_GB2312"/>
              </w:rPr>
              <w:t>采购包2：215,000.00元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采购包2保证金金额：4,000.00元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以成交价为基础按服务类标准计算收取，投标人在下载中标通知书时一次性缴清。 服务费账户信息： 户名：汇成项目管理有限公司 账号：6105 0192 5700 0000 0294 开户行：中国建设银行股份有限公司西安高新科技支行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省政府办公厅机关</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省政府办公厅机关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省政府办公厅机关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联系人：董丽英</w:t>
      </w:r>
    </w:p>
    <w:p>
      <w:pPr>
        <w:pStyle w:val="null3"/>
      </w:pPr>
      <w:r>
        <w:rPr>
          <w:rFonts w:ascii="仿宋_GB2312" w:hAnsi="仿宋_GB2312" w:cs="仿宋_GB2312" w:eastAsia="仿宋_GB2312"/>
        </w:rPr>
        <w:t>联系电话：13389230971</w:t>
      </w:r>
    </w:p>
    <w:p>
      <w:pPr>
        <w:pStyle w:val="null3"/>
      </w:pPr>
      <w:r>
        <w:rPr>
          <w:rFonts w:ascii="仿宋_GB2312" w:hAnsi="仿宋_GB2312" w:cs="仿宋_GB2312" w:eastAsia="仿宋_GB2312"/>
        </w:rPr>
        <w:t>地址：陕西省西安市雁塔区团结南路12号西安国际人才大厦A座北1508室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按照国务院办公厅政务公开相关文件及工作要求，依据《2026年陕西省政务公开工作绩效评估指标》对全省政务公开工作进行客观、公正、权威的评估。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215,000.00</w:t>
      </w:r>
    </w:p>
    <w:p>
      <w:pPr>
        <w:pStyle w:val="null3"/>
      </w:pPr>
      <w:r>
        <w:rPr>
          <w:rFonts w:ascii="仿宋_GB2312" w:hAnsi="仿宋_GB2312" w:cs="仿宋_GB2312" w:eastAsia="仿宋_GB2312"/>
        </w:rPr>
        <w:t>采购包最高限价（元）: 215,000.00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2026年度政务公开第三方评估工作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215,000.00</w:t>
      </w:r>
    </w:p>
    <w:p>
      <w:pPr>
        <w:pStyle w:val="null3"/>
      </w:pPr>
      <w:r>
        <w:rPr>
          <w:rFonts w:ascii="仿宋_GB2312" w:hAnsi="仿宋_GB2312" w:cs="仿宋_GB2312" w:eastAsia="仿宋_GB2312"/>
        </w:rPr>
        <w:t>采购包最高限价（元）: 215,000.00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2026年度政务公开第三方评估工作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标的名称：2026年度政务公开第三方评估工作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采购包1：</w:t>
            </w:r>
          </w:p>
          <w:p>
            <w:pPr>
              <w:pStyle w:val="null3"/>
              <w:ind w:firstLine="640"/>
              <w:jc w:val="both"/>
            </w:pPr>
            <w:r>
              <w:rPr>
                <w:rFonts w:ascii="仿宋_GB2312" w:hAnsi="仿宋_GB2312" w:cs="仿宋_GB2312" w:eastAsia="仿宋_GB2312"/>
                <w:sz w:val="24"/>
              </w:rPr>
              <w:t>按照国务院办公厅政务公开相关文件及工作要求，依据《2026年陕西省政务公开工作绩效评估指标》对全省政务公开工作进行客观、公正、权威的评估。</w:t>
            </w:r>
          </w:p>
          <w:p>
            <w:pPr>
              <w:pStyle w:val="null3"/>
              <w:ind w:firstLine="640"/>
              <w:jc w:val="both"/>
            </w:pPr>
            <w:r>
              <w:rPr>
                <w:rFonts w:ascii="仿宋_GB2312" w:hAnsi="仿宋_GB2312" w:cs="仿宋_GB2312" w:eastAsia="仿宋_GB2312"/>
                <w:sz w:val="24"/>
              </w:rPr>
              <w:t>（一）评估对象</w:t>
            </w:r>
          </w:p>
          <w:p>
            <w:pPr>
              <w:pStyle w:val="null3"/>
              <w:ind w:firstLine="640"/>
              <w:jc w:val="both"/>
            </w:pPr>
            <w:r>
              <w:rPr>
                <w:rFonts w:ascii="仿宋_GB2312" w:hAnsi="仿宋_GB2312" w:cs="仿宋_GB2312" w:eastAsia="仿宋_GB2312"/>
                <w:sz w:val="24"/>
              </w:rPr>
              <w:t>省、市、县三级行政机关。其中，省级部门43个、市（区）政府11个，市级部门、按照一定比例随机抽查。</w:t>
            </w:r>
          </w:p>
          <w:p>
            <w:pPr>
              <w:pStyle w:val="null3"/>
              <w:ind w:firstLine="640"/>
              <w:jc w:val="both"/>
            </w:pPr>
            <w:r>
              <w:rPr>
                <w:rFonts w:ascii="仿宋_GB2312" w:hAnsi="仿宋_GB2312" w:cs="仿宋_GB2312" w:eastAsia="仿宋_GB2312"/>
                <w:sz w:val="24"/>
              </w:rPr>
              <w:t>（二）评估内容</w:t>
            </w:r>
          </w:p>
          <w:p>
            <w:pPr>
              <w:pStyle w:val="null3"/>
              <w:ind w:firstLine="640"/>
              <w:jc w:val="both"/>
            </w:pPr>
            <w:r>
              <w:rPr>
                <w:rFonts w:ascii="仿宋_GB2312" w:hAnsi="仿宋_GB2312" w:cs="仿宋_GB2312" w:eastAsia="仿宋_GB2312"/>
                <w:sz w:val="24"/>
              </w:rPr>
              <w:t>依据《2026年陕西省政务公开工作绩效评估指标》，从政府信息公开、政策解读、回应关切、公众参与等方面，对评估对象的政府网站、政务新媒体进行综合评估。本项目拟配备人员不少于10人。</w:t>
            </w:r>
          </w:p>
          <w:p>
            <w:pPr>
              <w:pStyle w:val="null3"/>
              <w:ind w:firstLine="640"/>
              <w:jc w:val="both"/>
            </w:pPr>
            <w:r>
              <w:rPr>
                <w:rFonts w:ascii="仿宋_GB2312" w:hAnsi="仿宋_GB2312" w:cs="仿宋_GB2312" w:eastAsia="仿宋_GB2312"/>
                <w:sz w:val="24"/>
              </w:rPr>
              <w:t>（三）评估方式</w:t>
            </w:r>
          </w:p>
          <w:p>
            <w:pPr>
              <w:pStyle w:val="null3"/>
              <w:ind w:firstLine="640"/>
              <w:jc w:val="both"/>
            </w:pPr>
            <w:r>
              <w:rPr>
                <w:rFonts w:ascii="仿宋_GB2312" w:hAnsi="仿宋_GB2312" w:cs="仿宋_GB2312" w:eastAsia="仿宋_GB2312"/>
                <w:sz w:val="24"/>
              </w:rPr>
              <w:t>通过对受评单位网站与政务新媒体进行检查、模拟用户申请、电话测评、线下测评等方式进行评估。</w:t>
            </w:r>
          </w:p>
          <w:p>
            <w:pPr>
              <w:pStyle w:val="null3"/>
              <w:ind w:firstLine="640"/>
              <w:jc w:val="both"/>
            </w:pPr>
            <w:r>
              <w:rPr>
                <w:rFonts w:ascii="仿宋_GB2312" w:hAnsi="仿宋_GB2312" w:cs="仿宋_GB2312" w:eastAsia="仿宋_GB2312"/>
                <w:sz w:val="24"/>
              </w:rPr>
              <w:t>（四）工作安排</w:t>
            </w:r>
          </w:p>
          <w:p>
            <w:pPr>
              <w:pStyle w:val="null3"/>
              <w:ind w:firstLine="640"/>
              <w:jc w:val="both"/>
            </w:pPr>
            <w:r>
              <w:rPr>
                <w:rFonts w:ascii="仿宋_GB2312" w:hAnsi="仿宋_GB2312" w:cs="仿宋_GB2312" w:eastAsia="仿宋_GB2312"/>
                <w:sz w:val="24"/>
              </w:rPr>
              <w:t>1.第四季度开展评估工作。</w:t>
            </w:r>
          </w:p>
          <w:p>
            <w:pPr>
              <w:pStyle w:val="null3"/>
              <w:ind w:firstLine="640"/>
              <w:jc w:val="both"/>
            </w:pPr>
            <w:r>
              <w:rPr>
                <w:rFonts w:ascii="仿宋_GB2312" w:hAnsi="仿宋_GB2312" w:cs="仿宋_GB2312" w:eastAsia="仿宋_GB2312"/>
                <w:sz w:val="24"/>
              </w:rPr>
              <w:t>2.其他服务内容：规定时间内，为推进全省政务公开工作提供必要的技术支持。</w:t>
            </w:r>
          </w:p>
          <w:p>
            <w:pPr>
              <w:pStyle w:val="null3"/>
              <w:ind w:firstLine="640"/>
              <w:jc w:val="both"/>
            </w:pPr>
            <w:r>
              <w:rPr>
                <w:rFonts w:ascii="仿宋_GB2312" w:hAnsi="仿宋_GB2312" w:cs="仿宋_GB2312" w:eastAsia="仿宋_GB2312"/>
                <w:sz w:val="24"/>
              </w:rPr>
              <w:t>（五）成果交付</w:t>
            </w:r>
          </w:p>
          <w:p>
            <w:pPr>
              <w:pStyle w:val="null3"/>
              <w:ind w:firstLine="640"/>
              <w:jc w:val="both"/>
            </w:pPr>
            <w:r>
              <w:rPr>
                <w:rFonts w:ascii="仿宋_GB2312" w:hAnsi="仿宋_GB2312" w:cs="仿宋_GB2312" w:eastAsia="仿宋_GB2312"/>
                <w:sz w:val="24"/>
              </w:rPr>
              <w:t>2027年2月20日</w:t>
            </w:r>
            <w:r>
              <w:rPr>
                <w:rFonts w:ascii="仿宋_GB2312" w:hAnsi="仿宋_GB2312" w:cs="仿宋_GB2312" w:eastAsia="仿宋_GB2312"/>
                <w:sz w:val="24"/>
              </w:rPr>
              <w:t>前出具全省政务公开第三方评估报告。</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标的名称：2026年度政务公开第三方评估工作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采购包</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640"/>
              <w:jc w:val="both"/>
            </w:pPr>
            <w:r>
              <w:rPr>
                <w:rFonts w:ascii="仿宋_GB2312" w:hAnsi="仿宋_GB2312" w:cs="仿宋_GB2312" w:eastAsia="仿宋_GB2312"/>
                <w:sz w:val="24"/>
              </w:rPr>
              <w:t>按照国务院办公厅政务公开相关文件及工作要求，依据《2026年陕西省政务公开工作绩效评估指标》对全省政务公开工作进行客观、公正、权威的评估。</w:t>
            </w:r>
          </w:p>
          <w:p>
            <w:pPr>
              <w:pStyle w:val="null3"/>
              <w:ind w:firstLine="640"/>
              <w:jc w:val="both"/>
            </w:pPr>
            <w:r>
              <w:rPr>
                <w:rFonts w:ascii="仿宋_GB2312" w:hAnsi="仿宋_GB2312" w:cs="仿宋_GB2312" w:eastAsia="仿宋_GB2312"/>
                <w:sz w:val="24"/>
              </w:rPr>
              <w:t>（一）评估对象</w:t>
            </w:r>
          </w:p>
          <w:p>
            <w:pPr>
              <w:pStyle w:val="null3"/>
              <w:ind w:firstLine="640"/>
              <w:jc w:val="both"/>
            </w:pPr>
            <w:r>
              <w:rPr>
                <w:rFonts w:ascii="仿宋_GB2312" w:hAnsi="仿宋_GB2312" w:cs="仿宋_GB2312" w:eastAsia="仿宋_GB2312"/>
                <w:sz w:val="24"/>
              </w:rPr>
              <w:t>省、市、县三级行政机关。其中，省级部门43个、市（区）政府11个，市级部门、按照一定比例随机抽查。</w:t>
            </w:r>
          </w:p>
          <w:p>
            <w:pPr>
              <w:pStyle w:val="null3"/>
              <w:ind w:firstLine="640"/>
              <w:jc w:val="both"/>
            </w:pPr>
            <w:r>
              <w:rPr>
                <w:rFonts w:ascii="仿宋_GB2312" w:hAnsi="仿宋_GB2312" w:cs="仿宋_GB2312" w:eastAsia="仿宋_GB2312"/>
                <w:sz w:val="24"/>
              </w:rPr>
              <w:t>（二）评估内容</w:t>
            </w:r>
          </w:p>
          <w:p>
            <w:pPr>
              <w:pStyle w:val="null3"/>
              <w:ind w:firstLine="640"/>
              <w:jc w:val="both"/>
            </w:pPr>
            <w:r>
              <w:rPr>
                <w:rFonts w:ascii="仿宋_GB2312" w:hAnsi="仿宋_GB2312" w:cs="仿宋_GB2312" w:eastAsia="仿宋_GB2312"/>
                <w:sz w:val="24"/>
              </w:rPr>
              <w:t>依据《2026年陕西省政务公开工作绩效评估指标》，从服务公开、平台建设、组织保障等方面，对评估对象的政府网站、政务新媒体进行综合评估。本项目拟配备人员不少于10人。</w:t>
            </w:r>
          </w:p>
          <w:p>
            <w:pPr>
              <w:pStyle w:val="null3"/>
              <w:ind w:firstLine="640"/>
              <w:jc w:val="both"/>
            </w:pPr>
            <w:r>
              <w:rPr>
                <w:rFonts w:ascii="仿宋_GB2312" w:hAnsi="仿宋_GB2312" w:cs="仿宋_GB2312" w:eastAsia="仿宋_GB2312"/>
                <w:sz w:val="24"/>
              </w:rPr>
              <w:t>（三）评估方式</w:t>
            </w:r>
          </w:p>
          <w:p>
            <w:pPr>
              <w:pStyle w:val="null3"/>
              <w:ind w:firstLine="640"/>
              <w:jc w:val="both"/>
            </w:pPr>
            <w:r>
              <w:rPr>
                <w:rFonts w:ascii="仿宋_GB2312" w:hAnsi="仿宋_GB2312" w:cs="仿宋_GB2312" w:eastAsia="仿宋_GB2312"/>
                <w:sz w:val="24"/>
              </w:rPr>
              <w:t>通过对受评单位网站与政务新媒体进行检查、模拟用户申请、电话测评、线下测评等方式进行评估。</w:t>
            </w:r>
          </w:p>
          <w:p>
            <w:pPr>
              <w:pStyle w:val="null3"/>
              <w:ind w:firstLine="640"/>
              <w:jc w:val="both"/>
            </w:pPr>
            <w:r>
              <w:rPr>
                <w:rFonts w:ascii="仿宋_GB2312" w:hAnsi="仿宋_GB2312" w:cs="仿宋_GB2312" w:eastAsia="仿宋_GB2312"/>
                <w:sz w:val="24"/>
              </w:rPr>
              <w:t>（四）工作安排</w:t>
            </w:r>
          </w:p>
          <w:p>
            <w:pPr>
              <w:pStyle w:val="null3"/>
              <w:ind w:firstLine="640"/>
              <w:jc w:val="both"/>
            </w:pPr>
            <w:r>
              <w:rPr>
                <w:rFonts w:ascii="仿宋_GB2312" w:hAnsi="仿宋_GB2312" w:cs="仿宋_GB2312" w:eastAsia="仿宋_GB2312"/>
                <w:sz w:val="24"/>
              </w:rPr>
              <w:t>1.第四季度开展评估工作。</w:t>
            </w:r>
          </w:p>
          <w:p>
            <w:pPr>
              <w:pStyle w:val="null3"/>
              <w:ind w:firstLine="640"/>
              <w:jc w:val="both"/>
            </w:pPr>
            <w:r>
              <w:rPr>
                <w:rFonts w:ascii="仿宋_GB2312" w:hAnsi="仿宋_GB2312" w:cs="仿宋_GB2312" w:eastAsia="仿宋_GB2312"/>
                <w:sz w:val="24"/>
              </w:rPr>
              <w:t>2.其他服务内容：规定时间内，为推进全省政务公开工作提供必要的技术支持。</w:t>
            </w:r>
          </w:p>
          <w:p>
            <w:pPr>
              <w:pStyle w:val="null3"/>
              <w:ind w:firstLine="640"/>
              <w:jc w:val="both"/>
            </w:pPr>
            <w:r>
              <w:rPr>
                <w:rFonts w:ascii="仿宋_GB2312" w:hAnsi="仿宋_GB2312" w:cs="仿宋_GB2312" w:eastAsia="仿宋_GB2312"/>
                <w:sz w:val="24"/>
              </w:rPr>
              <w:t>（五）成果交付</w:t>
            </w:r>
          </w:p>
          <w:p>
            <w:pPr>
              <w:pStyle w:val="null3"/>
              <w:ind w:firstLine="640"/>
              <w:jc w:val="both"/>
            </w:pPr>
            <w:r>
              <w:rPr>
                <w:rFonts w:ascii="仿宋_GB2312" w:hAnsi="仿宋_GB2312" w:cs="仿宋_GB2312" w:eastAsia="仿宋_GB2312"/>
                <w:sz w:val="24"/>
              </w:rPr>
              <w:t>2027年2月20日</w:t>
            </w:r>
            <w:r>
              <w:rPr>
                <w:rFonts w:ascii="仿宋_GB2312" w:hAnsi="仿宋_GB2312" w:cs="仿宋_GB2312" w:eastAsia="仿宋_GB2312"/>
                <w:sz w:val="24"/>
              </w:rPr>
              <w:t>前出具全省政务公开第三方评估报告。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自合同签订之日起至2027年2月20日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自合同签订之日起至2027年2月20日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项目整体完成并验收合格后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1、成交供应商需在项目结束后提交纸质响应文件正本壹份、副本贰份、电子版贰份（U盘）（与线上电子投标文件一致，胶装后封面盖鲜章）。 2、纸质响应文件正副本分别胶装，纸质文件递交地点：陕西省西安市雁塔区团结南路12号西安国际人才大厦A座北1508室。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2024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3）、税收缴纳证明：提供开标前一年内任意一个月的税收纳税证明或完税证明，依法免税的单位应提供相关证明材料；（4）、社会保障资金缴纳证明：提供开标前一年内任意一个月的社会保障资金缴存单据或社保机构开具的社会保险参保缴费情况证明，依法不需要缴纳社会保障资金的单位应提供相关证明材料；（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磋商文件发售之日起至开标截止日前）并加盖供应商公章； （6）、供应商应授权合法的人员参加磋商全过程，其中法定代表人直接参加磋商的，须出具法人身份证，并与营业执照上信息一致，法定代表人授权代表参加磋商的，须出具法定代表人授权书； （7）、供应商应出具参加政府采购活动前3年内在经营活动中没有重大违法记录的书面声明； （8）、提供具有履行本合同所必需的专业技术能力的声明；（9）、本项目不接受联合体投标（提供非联合体承诺书）。</w:t>
            </w:r>
          </w:p>
        </w:tc>
        <w:tc>
          <w:tcPr>
            <w:tcW w:type="dxa" w:w="1661"/>
          </w:tcPr>
          <w:p>
            <w:pPr>
              <w:pStyle w:val="null3"/>
            </w:pPr>
            <w:r>
              <w:rPr>
                <w:rFonts w:ascii="仿宋_GB2312" w:hAnsi="仿宋_GB2312" w:cs="仿宋_GB2312" w:eastAsia="仿宋_GB2312"/>
              </w:rPr>
              <w:t>服务内容及服务邀请应答表 拒绝政府采购领域商业贿赂承诺书.docx 商务应答表 供应商应提交的相关资格证明材料 投标人关联承诺书.docx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2024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3）、税收缴纳证明：提供开标前一年内任意一个月的税收纳税证明或完税证明，依法免税的单位应提供相关证明材料；（4）、社会保障资金缴纳证明：提供开标前一年内任意一个月的社会保障资金缴存单据或社保机构开具的社会保险参保缴费情况证明，依法不需要缴纳社会保障资金的单位应提供相关证明材料；（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磋商文件发售之日起至开标截止日前）并加盖供应商公章； （6）、供应商应授权合法的人员参加磋商全过程，其中法定代表人直接参加磋商的，须出具法人身份证，并与营业执照上信息一致，法定代表人授权代表参加磋商的，须出具法定代表人授权书； （7）、供应商应出具参加政府采购活动前3年内在经营活动中没有重大违法记录的书面声明； （8）、提供具有履行本合同所必需的专业技术能力的声明；（9）、本项目不接受联合体投标（提供非联合体承诺书）。</w:t>
            </w:r>
          </w:p>
        </w:tc>
        <w:tc>
          <w:tcPr>
            <w:tcW w:type="dxa" w:w="1661"/>
          </w:tcPr>
          <w:p>
            <w:pPr>
              <w:pStyle w:val="null3"/>
            </w:pPr>
            <w:r>
              <w:rPr>
                <w:rFonts w:ascii="仿宋_GB2312" w:hAnsi="仿宋_GB2312" w:cs="仿宋_GB2312" w:eastAsia="仿宋_GB2312"/>
              </w:rPr>
              <w:t>服务内容及服务邀请应答表 拒绝政府采购领域商业贿赂承诺书.docx 商务应答表 供应商应提交的相关资格证明材料 投标人关联承诺书.docx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1.响应文件报价是否具有唯一性； 2.响应文件的签署、加盖印章是否合格、有效； 3.响应报价是否超过采购预算。</w:t>
            </w:r>
          </w:p>
        </w:tc>
        <w:tc>
          <w:tcPr>
            <w:tcW w:type="dxa" w:w="1661"/>
          </w:tcPr>
          <w:p>
            <w:pPr>
              <w:pStyle w:val="null3"/>
            </w:pPr>
            <w:r>
              <w:rPr>
                <w:rFonts w:ascii="仿宋_GB2312" w:hAnsi="仿宋_GB2312" w:cs="仿宋_GB2312" w:eastAsia="仿宋_GB2312"/>
              </w:rPr>
              <w:t>响应文件封面 分项报价表.docx 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1.响应文件报价是否具有唯一性； 2.响应文件的签署、加盖印章是否合格、有效； 3.响应报价是否超过采购预算。</w:t>
            </w:r>
          </w:p>
        </w:tc>
        <w:tc>
          <w:tcPr>
            <w:tcW w:type="dxa" w:w="1661"/>
          </w:tcPr>
          <w:p>
            <w:pPr>
              <w:pStyle w:val="null3"/>
            </w:pPr>
            <w:r>
              <w:rPr>
                <w:rFonts w:ascii="仿宋_GB2312" w:hAnsi="仿宋_GB2312" w:cs="仿宋_GB2312" w:eastAsia="仿宋_GB2312"/>
              </w:rPr>
              <w:t>响应文件封面 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项目理解及重难点分析</w:t>
            </w:r>
          </w:p>
        </w:tc>
        <w:tc>
          <w:tcPr>
            <w:tcW w:type="dxa" w:w="2492"/>
          </w:tcPr>
          <w:p>
            <w:pPr>
              <w:pStyle w:val="null3"/>
            </w:pPr>
            <w:r>
              <w:rPr>
                <w:rFonts w:ascii="仿宋_GB2312" w:hAnsi="仿宋_GB2312" w:cs="仿宋_GB2312" w:eastAsia="仿宋_GB2312"/>
              </w:rPr>
              <w:t>根据供应商针对本项目提供的项目理解及重难点分析评审：①对项目背景的理解与认知，3分；②对项目工作重点、难点的描述，3分；③对重难点问题提出的应对措施，4分。分3个细分项评分，每有一处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未提供不得分，每有一处缺陷扣1分，扣完本细分项得分为止。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研究（评估）方法</w:t>
            </w:r>
          </w:p>
        </w:tc>
        <w:tc>
          <w:tcPr>
            <w:tcW w:type="dxa" w:w="2492"/>
          </w:tcPr>
          <w:p>
            <w:pPr>
              <w:pStyle w:val="null3"/>
            </w:pPr>
            <w:r>
              <w:rPr>
                <w:rFonts w:ascii="仿宋_GB2312" w:hAnsi="仿宋_GB2312" w:cs="仿宋_GB2312" w:eastAsia="仿宋_GB2312"/>
              </w:rPr>
              <w:t>根据供应商针对本项目提供的研究（评估）方法评审：分3个细分项评分：①研究（评估）方法的详细性与准确性，3分；②研究（评估）方法的科学性与合理性，3分；③研究（评估）方法的可行性与适配性，4分。未提供不得分，每有一处缺陷扣1分（缺陷定义同上），扣完本细分项得分为止。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组织管理及进度控制</w:t>
            </w:r>
          </w:p>
        </w:tc>
        <w:tc>
          <w:tcPr>
            <w:tcW w:type="dxa" w:w="2492"/>
          </w:tcPr>
          <w:p>
            <w:pPr>
              <w:pStyle w:val="null3"/>
            </w:pPr>
            <w:r>
              <w:rPr>
                <w:rFonts w:ascii="仿宋_GB2312" w:hAnsi="仿宋_GB2312" w:cs="仿宋_GB2312" w:eastAsia="仿宋_GB2312"/>
              </w:rPr>
              <w:t>根据供应商针对本项目提供的组织管理及进度控制方案，分3个细分项评分：①组织管理工作机制及保证措施，3分；②进度计划的合理性及关键节点明确性，3分；③组织管理与进度控制方案的完整性与详实性，3分。需提供组织管理方案及进度计划表，未提供本项不得分；每有一处缺陷扣1分（缺陷定义同上），扣完本细分项得分为止。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技术保证措施</w:t>
            </w:r>
          </w:p>
        </w:tc>
        <w:tc>
          <w:tcPr>
            <w:tcW w:type="dxa" w:w="2492"/>
          </w:tcPr>
          <w:p>
            <w:pPr>
              <w:pStyle w:val="null3"/>
            </w:pPr>
            <w:r>
              <w:rPr>
                <w:rFonts w:ascii="仿宋_GB2312" w:hAnsi="仿宋_GB2312" w:cs="仿宋_GB2312" w:eastAsia="仿宋_GB2312"/>
              </w:rPr>
              <w:t>根据供应商针对本项目提供的技术保证措施，分3个细分项评分：①技术保证措施的完整性（含数据采集、分析方法及模型），3分；②数据安全与隐私保护相关措施，3分；③技术措施的针对性与可行性，3分。未提供不得分，每有一处缺陷扣1分（缺陷定义同上），扣完本细分项得分为止。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根据供应商针对本项目提供的服务质量保证措施，分2个细分项评分：①基础服务质量保证相关措施，3分；②服务过程中的风险控制相关措施，3分。未提供不得分，每有一处缺陷扣1分（缺陷定义同上），扣完本细分项得分为止。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预期成果</w:t>
            </w:r>
          </w:p>
        </w:tc>
        <w:tc>
          <w:tcPr>
            <w:tcW w:type="dxa" w:w="2492"/>
          </w:tcPr>
          <w:p>
            <w:pPr>
              <w:pStyle w:val="null3"/>
            </w:pPr>
            <w:r>
              <w:rPr>
                <w:rFonts w:ascii="仿宋_GB2312" w:hAnsi="仿宋_GB2312" w:cs="仿宋_GB2312" w:eastAsia="仿宋_GB2312"/>
              </w:rPr>
              <w:t>根据供应商针对本项目提供的预期成果，分3个细分项评分：①成果文件的编制架构与内容完整性，3分；②成果数据链条的清晰度，3分；③成果附件资料的详细程度与适配性，3分。未提供不得分，每有一处缺陷扣1分（缺陷定义同上），扣完本细分项得分为止。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1.拟派项目团队人员不少于10人，得3分。（不足10人本大项不得分） 2.项目负责人具有博士研究生学历且具有正高级职称证书的，得4分。 3.除项目负责人之外，项目人员具有正高级职称证书的，每名得2分，具有副高级职称证书的，每名得1分，本项得分最高14分。 4.项目人员具有法律职业资格证书的，每名得2分，最高得4分。 注：1.团队人员需提供近6个月内任意一个月本单位为其缴纳社保的证明材料。2.各供应商按照自身情况及评审要求提供评审所需的相关证书（毕业证、职称证、相关资格证书）。</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针对本项目提供的保密措施，分2个细分项评分，：①保密制度的完善性，1.5分；②具体保密措施的可操作性，1.5分。未提供不得分，每有一处缺陷扣0.5分（缺陷定义同上），扣完本细分项得分为止。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供应商实力</w:t>
            </w:r>
          </w:p>
        </w:tc>
        <w:tc>
          <w:tcPr>
            <w:tcW w:type="dxa" w:w="2492"/>
          </w:tcPr>
          <w:p>
            <w:pPr>
              <w:pStyle w:val="null3"/>
            </w:pPr>
            <w:r>
              <w:rPr>
                <w:rFonts w:ascii="仿宋_GB2312" w:hAnsi="仿宋_GB2312" w:cs="仿宋_GB2312" w:eastAsia="仿宋_GB2312"/>
              </w:rPr>
              <w:t>供应商参与编制政务公开评估国家或地方标准制修订工作，且标准已发布的，得5分；注：需提供已发布的标准文本复印件并加盖公章，不满足或未提供不得分。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供应商具有2023年1月1日至今类似项目业绩，每提供一个业绩得2分，满分4分。 注：①业绩以合同为准，时间以合同签订日期为准。②需提供合同复印件加盖公章。（合同复印件至少包含首页、双方签字盖章页、签署日期页）。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技术方案的完整性、严谨性、合理性、规范性： 1.方案逻辑层次清晰、针对性强，内容完整严谨，与采购需求高度契合，得10分；2.方案逻辑层次较清晰、针对性尚可，与采购需求吻合度一般，内容深度不足、表述较简略，得6分；3.方案逻辑层次混乱、内容残缺不全、缺乏合理性与规范性，得2分；4.未按要求提供技术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对项目背景、意义理解的深度、全面性、针对性、准确性；对现状收集与分析的全面性、准确性： 1. 项目认知深刻清晰、针对性强，与采购内容高度契合，得 10 分；2. 项目认知较为清晰、针对性较强，与采购内容吻合度一般，内容较简略，得 6 分；3. 项目认知不清晰、不全面，得 2 分；4.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评估方法</w:t>
            </w:r>
          </w:p>
        </w:tc>
        <w:tc>
          <w:tcPr>
            <w:tcW w:type="dxa" w:w="2492"/>
          </w:tcPr>
          <w:p>
            <w:pPr>
              <w:pStyle w:val="null3"/>
            </w:pPr>
            <w:r>
              <w:rPr>
                <w:rFonts w:ascii="仿宋_GB2312" w:hAnsi="仿宋_GB2312" w:cs="仿宋_GB2312" w:eastAsia="仿宋_GB2312"/>
              </w:rPr>
              <w:t>评估方法体系完整性、科学性、规范性、实用性及可操作性： 1.评估方法体系完整、论证充分、科学规范、贴合实际、可操作性强，全面满足项目需求，得 8 分；2. 评估方法较为完整、合理可行，基本满足项目实施要求，得 5 分； 3. 评估方法存在明显缺陷、适配性不足、可操作性弱，得 2 分；4.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工作重难点论述</w:t>
            </w:r>
          </w:p>
        </w:tc>
        <w:tc>
          <w:tcPr>
            <w:tcW w:type="dxa" w:w="2492"/>
          </w:tcPr>
          <w:p>
            <w:pPr>
              <w:pStyle w:val="null3"/>
            </w:pPr>
            <w:r>
              <w:rPr>
                <w:rFonts w:ascii="仿宋_GB2312" w:hAnsi="仿宋_GB2312" w:cs="仿宋_GB2312" w:eastAsia="仿宋_GB2312"/>
              </w:rPr>
              <w:t>对本项目重点、难点的分析深度、针对性与完整性： 1. 重难点论述清晰透彻、针对性强，与采购内容高度契合，得 8 分；2. 重难点论述较为清晰、针对性较强，与采购内容吻合度一般，内容较简略，得 5 分；3. 重难点论述不清晰、不全面，得 2 分；4.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合理化建议的全面性、具体性、合理性及可操作性： 1. 建议系统具体、合理可行、针对性强，与采购内容高度契合，得 6 分；2. 建议较为合理、针对性较强，与采购内容吻合度一般，内容较简略，得 3 分；3. 建议不清晰、不全面，得 1 分；4.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安全保密职责与措施的完整性、针对性、有效性： 1. 保密措施详细完整、切实可行，有效支撑项目实施，得 6 分；2. 保密措施基本完善，可满足项目实施需要，得 3 分；3. 保密措施存在欠缺，影响项目实施，得 1 分；4.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服务保障、质量控制与风险管控措施的完整性、有效性： 1. 质量控制措施健全科学、风险管控到位，充分保障项目实施，得 7 分；2. 质量控制措施基本完善，风险管控存在不足，需进一步优化，得 4 分；3. 质量控制措施不完善或内容简略，难以保障项目质量，得 1 分；4.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本项目拟投入人员的工作能力及经验满足项目需求。 1.项目管理人员，拟投入本项目的项目管理人员同时具备以下条件：（1）具备人力资源和社会保障部门认可的高级工程师（含）以上职称资格证书；（2）具有5年及以上政务公开、政务公开评估相关工作经验；（3）曾主导已发布实施的国家或地方政务公开相关标准不少于 1 项。同时满足以上全部条件的，每提供1名，得4分，最高得8分。 2.项目实施人员，拟投入本项目的项目实施人员具备以下条件：（1）项目实施人员不少于8人，满足得2分，不满足不得分；（2）实施人员配置齐全，具备本科（含本科）以上学历，且具有政务信息化、政务公开绩效评估工作经验1年及以上，每提供1名得0.5分，最高得4分；（3）项目实施人员具有人力资源和社会保障部门认可的高级工程师（含）以上职称资格证书的，每提供1名，得1分，最高得6分。 注：项目管理人员和项目实施人员须在供应商单位任职，项目管理人员不可同时担任项目实施人员，需提供为本项目所有服务人员缴纳的近6个月的社保证明及资质证明文件，以上相关证明资料提供复印件加盖公章，否则不予认可。</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1.供应商具备有效的ISO9001认证证书、ISO20000认证证书、ISO27001认证证书，提供一个证书得1分，最高得3分；2.供应商具有保密局颁发的保密资质，得3分，未提供不计分。 注：提供证书扫描件并加盖供应商公章，不满足或未提供不得分。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标准研究</w:t>
            </w:r>
          </w:p>
        </w:tc>
        <w:tc>
          <w:tcPr>
            <w:tcW w:type="dxa" w:w="2492"/>
          </w:tcPr>
          <w:p>
            <w:pPr>
              <w:pStyle w:val="null3"/>
            </w:pPr>
            <w:r>
              <w:rPr>
                <w:rFonts w:ascii="仿宋_GB2312" w:hAnsi="仿宋_GB2312" w:cs="仿宋_GB2312" w:eastAsia="仿宋_GB2312"/>
              </w:rPr>
              <w:t>1.供应商参与编制政务公开、政务公开评估国家或地方标准制修订工作，且标准已发布的，每个得2分，最高得4分。 注：提供现行有效标准文本复印件并加盖公章，不满足或未提供不得分。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供应商提供2023年1月1日至今（以合同签订日期为准）同类项目业绩，每提供1个得1分，最高得5分。 复印件要求：1、至少含首页、双方签字盖章页、反映实施内容页、反映签署日期页。2、复印件需加盖供应商公章。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磋商报价得分=(磋商基准价／最后磋商报价)×10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详见附件：投标人关联承诺书.docx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详见附件：投标人关联承诺书.docx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