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版本号：XBCG-LH-2026-6820260602001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曲江新区安全生产技术咨询服务项目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XBCG-LH-2026-68</w:t>
      </w:r>
      <w:r>
        <w:br/>
      </w:r>
      <w:r>
        <w:br/>
      </w:r>
      <w:r>
        <w:br/>
      </w:r>
    </w:p>
    <w:p>
      <w:pPr>
        <w:pStyle w:val="null3"/>
        <w:jc w:val="center"/>
        <w:outlineLvl w:val="2"/>
      </w:pPr>
      <w:r>
        <w:rPr>
          <w:rFonts w:ascii="仿宋_GB2312" w:hAnsi="仿宋_GB2312" w:cs="仿宋_GB2312" w:eastAsia="仿宋_GB2312"/>
          <w:sz w:val="28"/>
          <w:b/>
        </w:rPr>
        <w:t>西安曲江新区事业资产管理中心</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西安曲江新区事业资产管理中心</w:t>
      </w:r>
      <w:r>
        <w:rPr>
          <w:rFonts w:ascii="仿宋_GB2312" w:hAnsi="仿宋_GB2312" w:cs="仿宋_GB2312" w:eastAsia="仿宋_GB2312"/>
        </w:rPr>
        <w:t>委托，拟对</w:t>
      </w:r>
      <w:r>
        <w:rPr>
          <w:rFonts w:ascii="仿宋_GB2312" w:hAnsi="仿宋_GB2312" w:cs="仿宋_GB2312" w:eastAsia="仿宋_GB2312"/>
        </w:rPr>
        <w:t>曲江新区安全生产技术咨询服务项目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XBCG-LH-2026-68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曲江新区安全生产技术咨询服务项目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曲江新区安全生产技术咨询服务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采购包1（曲江新区安全生产技术咨询服务项目）：属于专门面向小微企业采购。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证明：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在开标日期前六个月内任意三个月的社保缴纳证明（须赋可查询的验证编号或验证二维码）。</w:t>
      </w:r>
    </w:p>
    <w:p>
      <w:pPr>
        <w:pStyle w:val="null3"/>
      </w:pPr>
      <w:r>
        <w:rPr>
          <w:rFonts w:ascii="仿宋_GB2312" w:hAnsi="仿宋_GB2312" w:cs="仿宋_GB2312" w:eastAsia="仿宋_GB2312"/>
        </w:rPr>
        <w:t>2、信用记录：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3、控股关系说明：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西安曲江新区事业资产管理中心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西安市雁塔区杜陵邑南路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西安曲江新区事业资产管理中心经办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029-68660361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陕西省西安市碑林区陕西省西安市碑林区长安国际中心F座办公楼17层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17778960875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由成交供应商按国家计委颁发的《招标代理服务收费管理暂行办法》（计价格[2002]1980号）和国家发展和改革委员会办公厅颁发的《关于招标代理服务收费有关问题的通知》（发改办价格[2003] 857号）的有关规定标准，向采购代理机构一次付清代理服务费。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西安曲江新区事业资产管理中心</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西安曲江新区事业资产管理中心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西安曲江新区事业资产管理中心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联系人：张续</w:t>
      </w:r>
    </w:p>
    <w:p>
      <w:pPr>
        <w:pStyle w:val="null3"/>
      </w:pPr>
      <w:r>
        <w:rPr>
          <w:rFonts w:ascii="仿宋_GB2312" w:hAnsi="仿宋_GB2312" w:cs="仿宋_GB2312" w:eastAsia="仿宋_GB2312"/>
        </w:rPr>
        <w:t>联系电话：17778960875</w:t>
      </w:r>
    </w:p>
    <w:p>
      <w:pPr>
        <w:pStyle w:val="null3"/>
      </w:pPr>
      <w:r>
        <w:rPr>
          <w:rFonts w:ascii="仿宋_GB2312" w:hAnsi="仿宋_GB2312" w:cs="仿宋_GB2312" w:eastAsia="仿宋_GB2312"/>
        </w:rPr>
        <w:t>地址：陕西省西安市碑林区长安国际中心F座办公楼17楼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曲江新区安全生产技术咨询服务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曲江新区安全生产技术咨询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标的名称：曲江新区安全生产技术咨询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项目内容</w:t>
            </w:r>
          </w:p>
          <w:p>
            <w:pPr>
              <w:pStyle w:val="null3"/>
            </w:pPr>
            <w:r>
              <w:rPr>
                <w:rFonts w:ascii="仿宋_GB2312" w:hAnsi="仿宋_GB2312" w:cs="仿宋_GB2312" w:eastAsia="仿宋_GB2312"/>
              </w:rPr>
              <w:t>按照曲江新区安全生产工作总体安排，全面排查各类安全隐患问题，完善安全管理体系落实风险管控措施，优化安全监管机制，有效预防和减少各类事故的发生。</w:t>
            </w:r>
          </w:p>
          <w:p>
            <w:pPr>
              <w:pStyle w:val="null3"/>
            </w:pPr>
            <w:r>
              <w:rPr>
                <w:rFonts w:ascii="仿宋_GB2312" w:hAnsi="仿宋_GB2312" w:cs="仿宋_GB2312" w:eastAsia="仿宋_GB2312"/>
              </w:rPr>
              <w:t>1.</w:t>
            </w:r>
            <w:r>
              <w:rPr>
                <w:rFonts w:ascii="仿宋_GB2312" w:hAnsi="仿宋_GB2312" w:cs="仿宋_GB2312" w:eastAsia="仿宋_GB2312"/>
              </w:rPr>
              <w:t>在全区各行业领域安全生产专项检查中提供技术服务。结合各行业特性和不同季节特征，对曲江新区核心区建筑施工、危险化学品、旅游景区、酒店、商业综合体等重点行业重点场所进行消防安全、</w:t>
            </w:r>
            <w:r>
              <w:rPr>
                <w:rFonts w:ascii="仿宋_GB2312" w:hAnsi="仿宋_GB2312" w:cs="仿宋_GB2312" w:eastAsia="仿宋_GB2312"/>
              </w:rPr>
              <w:t>燃气安全、</w:t>
            </w:r>
            <w:r>
              <w:rPr>
                <w:rFonts w:ascii="仿宋_GB2312" w:hAnsi="仿宋_GB2312" w:cs="仿宋_GB2312" w:eastAsia="仿宋_GB2312"/>
              </w:rPr>
              <w:t>特种设备、有限空间作业、汛期基坑等专项检查中提供技术服务。</w:t>
            </w:r>
          </w:p>
          <w:p>
            <w:pPr>
              <w:pStyle w:val="null3"/>
            </w:pPr>
            <w:r>
              <w:rPr>
                <w:rFonts w:ascii="仿宋_GB2312" w:hAnsi="仿宋_GB2312" w:cs="仿宋_GB2312" w:eastAsia="仿宋_GB2312"/>
              </w:rPr>
              <w:t>2.</w:t>
            </w:r>
            <w:r>
              <w:rPr>
                <w:rFonts w:ascii="仿宋_GB2312" w:hAnsi="仿宋_GB2312" w:cs="仿宋_GB2312" w:eastAsia="仿宋_GB2312"/>
              </w:rPr>
              <w:t>在节假日和重大活动、重点时段安全隐患排查。针对重大节假日、重大活动及重点时段，对全区重点场所、重大活动场地架体搭设、临时用电安全、用气、用水、活动现场消防设施及设备、消防通道、围挡防护等进行安全检查。</w:t>
            </w:r>
          </w:p>
          <w:p>
            <w:pPr>
              <w:pStyle w:val="null3"/>
            </w:pPr>
            <w:r>
              <w:rPr>
                <w:rFonts w:ascii="仿宋_GB2312" w:hAnsi="仿宋_GB2312" w:cs="仿宋_GB2312" w:eastAsia="仿宋_GB2312"/>
              </w:rPr>
              <w:t>3.</w:t>
            </w:r>
            <w:r>
              <w:rPr>
                <w:rFonts w:ascii="仿宋_GB2312" w:hAnsi="仿宋_GB2312" w:cs="仿宋_GB2312" w:eastAsia="仿宋_GB2312"/>
              </w:rPr>
              <w:t>突发事件应急处置和事故调查评估。在突发事件应急处置研判中提供技术支持，在生产安全事故调查工作中，对现场调查、隐患整治方案评审、事故整改和防范措施落实评估工作提供技术服务。并协助完成事故调查报告。</w:t>
            </w:r>
          </w:p>
          <w:p>
            <w:pPr>
              <w:pStyle w:val="null3"/>
            </w:pPr>
            <w:r>
              <w:rPr>
                <w:rFonts w:ascii="仿宋_GB2312" w:hAnsi="仿宋_GB2312" w:cs="仿宋_GB2312" w:eastAsia="仿宋_GB2312"/>
                <w:sz w:val="21"/>
              </w:rPr>
              <w:t>4.</w:t>
            </w:r>
            <w:r>
              <w:rPr>
                <w:rFonts w:ascii="仿宋_GB2312" w:hAnsi="仿宋_GB2312" w:cs="仿宋_GB2312" w:eastAsia="仿宋_GB2312"/>
                <w:sz w:val="21"/>
              </w:rPr>
              <w:t>开展安全生产专项培训。结合全区安全生产年度重点工作，对不同行业重点人群有针对性开展安全生产承诺制、</w:t>
            </w:r>
            <w:r>
              <w:rPr>
                <w:rFonts w:ascii="仿宋_GB2312" w:hAnsi="仿宋_GB2312" w:cs="仿宋_GB2312" w:eastAsia="仿宋_GB2312"/>
                <w:sz w:val="21"/>
              </w:rPr>
              <w:t>消防安全及</w:t>
            </w:r>
            <w:r>
              <w:rPr>
                <w:rFonts w:ascii="仿宋_GB2312" w:hAnsi="仿宋_GB2312" w:cs="仿宋_GB2312" w:eastAsia="仿宋_GB2312"/>
                <w:sz w:val="21"/>
              </w:rPr>
              <w:t>安全生产、应急处置及</w:t>
            </w:r>
            <w:r>
              <w:rPr>
                <w:rFonts w:ascii="仿宋_GB2312" w:hAnsi="仿宋_GB2312" w:cs="仿宋_GB2312" w:eastAsia="仿宋_GB2312"/>
                <w:sz w:val="21"/>
              </w:rPr>
              <w:t>应急管理</w:t>
            </w:r>
            <w:r>
              <w:rPr>
                <w:rFonts w:ascii="仿宋_GB2312" w:hAnsi="仿宋_GB2312" w:cs="仿宋_GB2312" w:eastAsia="仿宋_GB2312"/>
                <w:sz w:val="21"/>
              </w:rPr>
              <w:t>等各类安全专项培训。</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36"/>
                <w:b/>
              </w:rPr>
              <w:t>曲江新区安全生产</w:t>
            </w:r>
            <w:r>
              <w:rPr>
                <w:rFonts w:ascii="仿宋_GB2312" w:hAnsi="仿宋_GB2312" w:cs="仿宋_GB2312" w:eastAsia="仿宋_GB2312"/>
                <w:sz w:val="36"/>
                <w:b/>
              </w:rPr>
              <w:t>技术</w:t>
            </w:r>
            <w:r>
              <w:rPr>
                <w:rFonts w:ascii="仿宋_GB2312" w:hAnsi="仿宋_GB2312" w:cs="仿宋_GB2312" w:eastAsia="仿宋_GB2312"/>
                <w:sz w:val="36"/>
                <w:b/>
              </w:rPr>
              <w:t>服务</w:t>
            </w:r>
            <w:r>
              <w:rPr>
                <w:rFonts w:ascii="仿宋_GB2312" w:hAnsi="仿宋_GB2312" w:cs="仿宋_GB2312" w:eastAsia="仿宋_GB2312"/>
                <w:sz w:val="36"/>
                <w:b/>
              </w:rPr>
              <w:t>内容</w:t>
            </w:r>
          </w:p>
          <w:tbl>
            <w:tblPr>
              <w:tblBorders>
                <w:top w:val="none" w:color="000000" w:sz="4"/>
                <w:left w:val="none" w:color="000000" w:sz="4"/>
                <w:bottom w:val="none" w:color="000000" w:sz="4"/>
                <w:right w:val="none" w:color="000000" w:sz="4"/>
                <w:insideH w:val="none"/>
                <w:insideV w:val="none"/>
              </w:tblBorders>
            </w:tblPr>
            <w:tblGrid>
              <w:gridCol w:w="191"/>
              <w:gridCol w:w="341"/>
              <w:gridCol w:w="1108"/>
              <w:gridCol w:w="305"/>
              <w:gridCol w:w="585"/>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1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内容</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数量（次）</w:t>
                  </w:r>
                </w:p>
              </w:tc>
              <w:tc>
                <w:tcPr>
                  <w:tcW w:type="dxa" w:w="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专项安全检查</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消防安全、有限空间作业、燃气安全、电动车充电、防高坠、特种设备安全、冬季供暖、复工复产、极端天气、临时用电安全</w:t>
                  </w:r>
                  <w:r>
                    <w:rPr>
                      <w:rFonts w:ascii="仿宋_GB2312" w:hAnsi="仿宋_GB2312" w:cs="仿宋_GB2312" w:eastAsia="仿宋_GB2312"/>
                      <w:sz w:val="20"/>
                    </w:rPr>
                    <w:t>、汛期基坑、重大安全隐患专项整治</w:t>
                  </w:r>
                  <w:r>
                    <w:rPr>
                      <w:rFonts w:ascii="仿宋_GB2312" w:hAnsi="仿宋_GB2312" w:cs="仿宋_GB2312" w:eastAsia="仿宋_GB2312"/>
                      <w:sz w:val="20"/>
                    </w:rPr>
                    <w:t>等预计</w:t>
                  </w:r>
                  <w:r>
                    <w:rPr>
                      <w:rFonts w:ascii="仿宋_GB2312" w:hAnsi="仿宋_GB2312" w:cs="仿宋_GB2312" w:eastAsia="仿宋_GB2312"/>
                      <w:sz w:val="20"/>
                    </w:rPr>
                    <w:t>12</w:t>
                  </w:r>
                  <w:r>
                    <w:rPr>
                      <w:rFonts w:ascii="仿宋_GB2312" w:hAnsi="仿宋_GB2312" w:cs="仿宋_GB2312" w:eastAsia="仿宋_GB2312"/>
                      <w:sz w:val="20"/>
                    </w:rPr>
                    <w:t>个安全专项检查，每个专项检查预计出勤</w:t>
                  </w:r>
                  <w:r>
                    <w:rPr>
                      <w:rFonts w:ascii="仿宋_GB2312" w:hAnsi="仿宋_GB2312" w:cs="仿宋_GB2312" w:eastAsia="仿宋_GB2312"/>
                      <w:sz w:val="20"/>
                    </w:rPr>
                    <w:t>10</w:t>
                  </w:r>
                  <w:r>
                    <w:rPr>
                      <w:rFonts w:ascii="仿宋_GB2312" w:hAnsi="仿宋_GB2312" w:cs="仿宋_GB2312" w:eastAsia="仿宋_GB2312"/>
                      <w:sz w:val="20"/>
                    </w:rPr>
                    <w:t>次</w:t>
                  </w:r>
                  <w:r>
                    <w:rPr>
                      <w:rFonts w:ascii="仿宋_GB2312" w:hAnsi="仿宋_GB2312" w:cs="仿宋_GB2312" w:eastAsia="仿宋_GB2312"/>
                      <w:sz w:val="20"/>
                    </w:rPr>
                    <w:t>，每</w:t>
                  </w:r>
                  <w:r>
                    <w:rPr>
                      <w:rFonts w:ascii="仿宋_GB2312" w:hAnsi="仿宋_GB2312" w:cs="仿宋_GB2312" w:eastAsia="仿宋_GB2312"/>
                      <w:sz w:val="20"/>
                    </w:rPr>
                    <w:t>次</w:t>
                  </w:r>
                  <w:r>
                    <w:rPr>
                      <w:rFonts w:ascii="仿宋_GB2312" w:hAnsi="仿宋_GB2312" w:cs="仿宋_GB2312" w:eastAsia="仿宋_GB2312"/>
                      <w:sz w:val="20"/>
                    </w:rPr>
                    <w:t>2名专家。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安全生产培训</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开展危险化学品安全、安全生产法律法规、应急管理执法及重点行业领域安全生产培训，预计组织</w:t>
                  </w:r>
                  <w:r>
                    <w:rPr>
                      <w:rFonts w:ascii="仿宋_GB2312" w:hAnsi="仿宋_GB2312" w:cs="仿宋_GB2312" w:eastAsia="仿宋_GB2312"/>
                      <w:sz w:val="20"/>
                    </w:rPr>
                    <w:t>4次培训。</w:t>
                  </w:r>
                  <w:r>
                    <w:rPr>
                      <w:rFonts w:ascii="仿宋_GB2312" w:hAnsi="仿宋_GB2312" w:cs="仿宋_GB2312" w:eastAsia="仿宋_GB2312"/>
                      <w:sz w:val="20"/>
                    </w:rPr>
                    <w:t>每</w:t>
                  </w:r>
                  <w:r>
                    <w:rPr>
                      <w:rFonts w:ascii="仿宋_GB2312" w:hAnsi="仿宋_GB2312" w:cs="仿宋_GB2312" w:eastAsia="仿宋_GB2312"/>
                      <w:sz w:val="20"/>
                    </w:rPr>
                    <w:t>次</w:t>
                  </w:r>
                  <w:r>
                    <w:rPr>
                      <w:rFonts w:ascii="仿宋_GB2312" w:hAnsi="仿宋_GB2312" w:cs="仿宋_GB2312" w:eastAsia="仿宋_GB2312"/>
                      <w:sz w:val="20"/>
                    </w:rPr>
                    <w:t>1名市级或省级专家</w:t>
                  </w:r>
                  <w:r>
                    <w:rPr>
                      <w:rFonts w:ascii="仿宋_GB2312" w:hAnsi="仿宋_GB2312" w:cs="仿宋_GB2312" w:eastAsia="仿宋_GB2312"/>
                      <w:sz w:val="20"/>
                    </w:rPr>
                    <w:t>，</w:t>
                  </w:r>
                  <w:r>
                    <w:rPr>
                      <w:rFonts w:ascii="仿宋_GB2312" w:hAnsi="仿宋_GB2312" w:cs="仿宋_GB2312" w:eastAsia="仿宋_GB2312"/>
                      <w:sz w:val="20"/>
                    </w:rPr>
                    <w:t>线下培训包括场地搭建、线上培训包括课件视频拍摄及制作。</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培训对象包括各部门安全管理人员、重点行业从业人员、应急管理执法人员。</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行业安全检查</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在景区、酒店、学校、商业综合体、危险化学品、建筑施工、写字楼等重点行业的集中执法、联合执法、双随机等各类执法检查中，提供技术服务预计</w:t>
                  </w:r>
                  <w:r>
                    <w:rPr>
                      <w:rFonts w:ascii="仿宋_GB2312" w:hAnsi="仿宋_GB2312" w:cs="仿宋_GB2312" w:eastAsia="仿宋_GB2312"/>
                      <w:sz w:val="20"/>
                    </w:rPr>
                    <w:t>80</w:t>
                  </w:r>
                  <w:r>
                    <w:rPr>
                      <w:rFonts w:ascii="仿宋_GB2312" w:hAnsi="仿宋_GB2312" w:cs="仿宋_GB2312" w:eastAsia="仿宋_GB2312"/>
                      <w:sz w:val="20"/>
                    </w:rPr>
                    <w:t>次，每次</w:t>
                  </w:r>
                  <w:r>
                    <w:rPr>
                      <w:rFonts w:ascii="仿宋_GB2312" w:hAnsi="仿宋_GB2312" w:cs="仿宋_GB2312" w:eastAsia="仿宋_GB2312"/>
                      <w:sz w:val="20"/>
                    </w:rPr>
                    <w:t>2名行业专家。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节假日及大型活动安全检查</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对重大节假日、重大活动及重点时段，对全区重点场所、重大活动场地架体搭设、临时用电、围挡防护等进行消防安全和安全生产检查。每次</w:t>
                  </w:r>
                  <w:r>
                    <w:rPr>
                      <w:rFonts w:ascii="仿宋_GB2312" w:hAnsi="仿宋_GB2312" w:cs="仿宋_GB2312" w:eastAsia="仿宋_GB2312"/>
                      <w:sz w:val="20"/>
                    </w:rPr>
                    <w:t>2名行业专家预计出勤40次。</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事故调查处理检查</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生产安全事故调查过程中，组织专家对事故现场勘查、认定事故性质和事故责任</w:t>
                  </w:r>
                  <w:r>
                    <w:rPr>
                      <w:rFonts w:ascii="仿宋_GB2312" w:hAnsi="仿宋_GB2312" w:cs="仿宋_GB2312" w:eastAsia="仿宋_GB2312"/>
                      <w:sz w:val="20"/>
                    </w:rPr>
                    <w:t>及</w:t>
                  </w:r>
                  <w:r>
                    <w:rPr>
                      <w:rFonts w:ascii="仿宋_GB2312" w:hAnsi="仿宋_GB2312" w:cs="仿宋_GB2312" w:eastAsia="仿宋_GB2312"/>
                      <w:sz w:val="20"/>
                    </w:rPr>
                    <w:t>提出处理建议中提供技术支持。</w:t>
                  </w:r>
                  <w:r>
                    <w:rPr>
                      <w:rFonts w:ascii="仿宋_GB2312" w:hAnsi="仿宋_GB2312" w:cs="仿宋_GB2312" w:eastAsia="仿宋_GB2312"/>
                      <w:sz w:val="20"/>
                    </w:rPr>
                    <w:t>根据往年事故调查情况测算，</w:t>
                  </w:r>
                  <w:r>
                    <w:rPr>
                      <w:rFonts w:ascii="仿宋_GB2312" w:hAnsi="仿宋_GB2312" w:cs="仿宋_GB2312" w:eastAsia="仿宋_GB2312"/>
                      <w:sz w:val="20"/>
                    </w:rPr>
                    <w:t>预计</w:t>
                  </w:r>
                  <w:r>
                    <w:rPr>
                      <w:rFonts w:ascii="仿宋_GB2312" w:hAnsi="仿宋_GB2312" w:cs="仿宋_GB2312" w:eastAsia="仿宋_GB2312"/>
                      <w:sz w:val="20"/>
                    </w:rPr>
                    <w:t>专家技术服务</w:t>
                  </w:r>
                  <w:r>
                    <w:rPr>
                      <w:rFonts w:ascii="仿宋_GB2312" w:hAnsi="仿宋_GB2312" w:cs="仿宋_GB2312" w:eastAsia="仿宋_GB2312"/>
                      <w:sz w:val="20"/>
                    </w:rPr>
                    <w:t>总共需</w:t>
                  </w:r>
                  <w:r>
                    <w:rPr>
                      <w:rFonts w:ascii="仿宋_GB2312" w:hAnsi="仿宋_GB2312" w:cs="仿宋_GB2312" w:eastAsia="仿宋_GB2312"/>
                      <w:sz w:val="20"/>
                    </w:rPr>
                    <w:t>3</w:t>
                  </w:r>
                  <w:r>
                    <w:rPr>
                      <w:rFonts w:ascii="仿宋_GB2312" w:hAnsi="仿宋_GB2312" w:cs="仿宋_GB2312" w:eastAsia="仿宋_GB2312"/>
                      <w:sz w:val="20"/>
                    </w:rPr>
                    <w:t>0天，每天3名行业专家。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5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1.根据2024年至今共发生3起生产安全事故测算，预计开展事故调查2次。</w:t>
                  </w:r>
                </w:p>
                <w:p>
                  <w:pPr>
                    <w:pStyle w:val="null3"/>
                    <w:jc w:val="center"/>
                  </w:pPr>
                  <w:r>
                    <w:rPr>
                      <w:rFonts w:ascii="仿宋_GB2312" w:hAnsi="仿宋_GB2312" w:cs="仿宋_GB2312" w:eastAsia="仿宋_GB2312"/>
                      <w:sz w:val="20"/>
                    </w:rPr>
                    <w:t>2.根据《事故调查处理条例》要求，事故调查组可以聘请有关专家参与调查。事故调查应当自事故发生之日起60日内完成（不含技术鉴定时间），特殊情况下可延长不超过60日。</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事故调查报告</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在事故现场勘查后，针对事故调查现场勘查情况及责任认定，编制现场勘查报告、技术分析报告，事故调查结束后在</w:t>
                  </w:r>
                  <w:r>
                    <w:rPr>
                      <w:rFonts w:ascii="仿宋_GB2312" w:hAnsi="仿宋_GB2312" w:cs="仿宋_GB2312" w:eastAsia="仿宋_GB2312"/>
                      <w:sz w:val="20"/>
                    </w:rPr>
                    <w:t>事故调查报告编制</w:t>
                  </w:r>
                  <w:r>
                    <w:rPr>
                      <w:rFonts w:ascii="仿宋_GB2312" w:hAnsi="仿宋_GB2312" w:cs="仿宋_GB2312" w:eastAsia="仿宋_GB2312"/>
                      <w:sz w:val="20"/>
                    </w:rPr>
                    <w:t>中提供技术支持。</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85"/>
                  <w:vMerge/>
                  <w:tcBorders>
                    <w:top w:val="non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事故整改评估</w:t>
                  </w:r>
                </w:p>
              </w:tc>
              <w:tc>
                <w:tcPr>
                  <w:tcW w:type="dxa" w:w="1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事故调查结束后，</w:t>
                  </w:r>
                  <w:r>
                    <w:rPr>
                      <w:rFonts w:ascii="仿宋_GB2312" w:hAnsi="仿宋_GB2312" w:cs="仿宋_GB2312" w:eastAsia="仿宋_GB2312"/>
                      <w:sz w:val="20"/>
                    </w:rPr>
                    <w:t>在</w:t>
                  </w:r>
                  <w:r>
                    <w:rPr>
                      <w:rFonts w:ascii="仿宋_GB2312" w:hAnsi="仿宋_GB2312" w:cs="仿宋_GB2312" w:eastAsia="仿宋_GB2312"/>
                      <w:sz w:val="20"/>
                    </w:rPr>
                    <w:t>对事故单位整改和防范措施落实情评估</w:t>
                  </w:r>
                  <w:r>
                    <w:rPr>
                      <w:rFonts w:ascii="仿宋_GB2312" w:hAnsi="仿宋_GB2312" w:cs="仿宋_GB2312" w:eastAsia="仿宋_GB2312"/>
                      <w:sz w:val="20"/>
                    </w:rPr>
                    <w:t>和</w:t>
                  </w:r>
                  <w:r>
                    <w:rPr>
                      <w:rFonts w:ascii="仿宋_GB2312" w:hAnsi="仿宋_GB2312" w:cs="仿宋_GB2312" w:eastAsia="仿宋_GB2312"/>
                      <w:sz w:val="20"/>
                    </w:rPr>
                    <w:t>编写调查评估报告</w:t>
                  </w:r>
                  <w:r>
                    <w:rPr>
                      <w:rFonts w:ascii="仿宋_GB2312" w:hAnsi="仿宋_GB2312" w:cs="仿宋_GB2312" w:eastAsia="仿宋_GB2312"/>
                      <w:sz w:val="20"/>
                    </w:rPr>
                    <w:t>中提供专家咨询服务</w:t>
                  </w:r>
                  <w:r>
                    <w:rPr>
                      <w:rFonts w:ascii="仿宋_GB2312" w:hAnsi="仿宋_GB2312" w:cs="仿宋_GB2312" w:eastAsia="仿宋_GB2312"/>
                      <w:sz w:val="20"/>
                    </w:rPr>
                    <w:t>。</w:t>
                  </w:r>
                  <w:r>
                    <w:rPr>
                      <w:rFonts w:ascii="仿宋_GB2312" w:hAnsi="仿宋_GB2312" w:cs="仿宋_GB2312" w:eastAsia="仿宋_GB2312"/>
                      <w:sz w:val="20"/>
                    </w:rPr>
                    <w:t>根据</w:t>
                  </w:r>
                  <w:r>
                    <w:rPr>
                      <w:rFonts w:ascii="仿宋_GB2312" w:hAnsi="仿宋_GB2312" w:cs="仿宋_GB2312" w:eastAsia="仿宋_GB2312"/>
                      <w:sz w:val="20"/>
                    </w:rPr>
                    <w:t>2024年至今生产安全事故调查处理情况，预计开展2次事故调查整改落实评估。</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供应商自行准备工作所需设施设备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采购人按照国内相应的标准、规范组织验收。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进度款，项目完成并验收合格后，达到付款条件起10个工作日内，支付合同总金额的60.0%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2、乙方应按合同约定时间完成合同义务，若发生延迟，乙方应向甲方支付合同总价款 10%的违约金，且甲方有权单方解除本合同。但甲方书面同意延迟或因甲方原因导致延迟的，乙方不承担违约责任。 3、如甲方未能在本合同约定时间内支付款项，每延迟一天， 甲方须向乙方承担迟延支付费用的0.5‰作为违约金，并将服务周期予以相应顺延。 4、因乙方原因侵害甲方或第三方合法权益的，应由乙方承担相应赔偿责任，并向甲方支付合同总价款 10%的违约金。 5、若乙方未经甲方同意泄露本合同约定的任何秘密信息的，乙方应按照合同总价款的 10%向甲方支付违约金，并赔偿因此给甲方造成的损失。 6、乙方保证向甲方开具发票的真实性、合法性，若乙方向甲方开具的发票存在真实性、合法性问题，给甲方造成损失的，乙方应按合同总价款的 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 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 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储存）至代理机构。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同时提供以下材料： 1.提供合格有效的法人或者其他组织的营业执照等证明文件，自然人的身份证明；供应商是法人或其他组织的应提供营业执照等证明文件，供应商是自然人的应提供有效的自然人身份证明。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若审计报告未赋码视为无效；3.提供具有履行合同所必需的设备和专业技术能力的承诺；4.提供磋商截止日前一年内任意一个月的纳税证明或完税证明（增值税、印花税、城市维护建设费、企业所得税等一种或多种税种），依法免税的单位提供相关证明材料；5.提供磋商截止日前一年内已缴存的至少一个月的社会保障资金缴存单据或社保机构开具的社会保险参保缴费情况证明，依法不需要缴纳社会保障资金的单位应提供相关证明材料；6.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在开标日期前六个月内任意三个月的社保缴纳证明（须赋可查询的验证编号或验证二维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控股关系说明</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w:t>
            </w:r>
          </w:p>
        </w:tc>
        <w:tc>
          <w:tcPr>
            <w:tcW w:type="dxa" w:w="1661"/>
          </w:tcPr>
          <w:p>
            <w:pPr>
              <w:pStyle w:val="null3"/>
            </w:pPr>
            <w:r>
              <w:rPr>
                <w:rFonts w:ascii="仿宋_GB2312" w:hAnsi="仿宋_GB2312" w:cs="仿宋_GB2312" w:eastAsia="仿宋_GB2312"/>
              </w:rPr>
              <w:t>响应文件封面 分项报价表.docx 商务应答表 服务方案 服务内容及服务要求应答表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分项报价表.docx 商务应答表 服务方案 服务内容及服务要求应答表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1、磋商报价是否未超过采购预算及最高限价； 2、磋商报价是否低于成本价，涉嫌不正当竞争； 3、磋商报价有效期是否符合磋商文件的要求； 4、响应文件内容是否符合国家法律法规，没有重大偏离； 5、对磋商文件中规定的要求是否做出了实质性响应；</w:t>
            </w:r>
          </w:p>
        </w:tc>
        <w:tc>
          <w:tcPr>
            <w:tcW w:type="dxa" w:w="1661"/>
          </w:tcPr>
          <w:p>
            <w:pPr>
              <w:pStyle w:val="null3"/>
            </w:pPr>
            <w:r>
              <w:rPr>
                <w:rFonts w:ascii="仿宋_GB2312" w:hAnsi="仿宋_GB2312" w:cs="仿宋_GB2312" w:eastAsia="仿宋_GB2312"/>
              </w:rPr>
              <w:t>响应文件封面 分项报价表.docx 商务应答表 服务方案 服务内容及服务要求应答表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能全面描述本项目的整体背景、目标任务、服务范围及核心要求，对采购需求的理解全面透彻，完全匹配项目定位，计20分；能较全面描述项目背景与主要需求，理解较为透彻，基本匹配项目定位，计15分；能描述项目基本背景与核心需求，理解存在少量偏差，基本符合项目定位，计9分；对项目背景与需求理解不全面、存在明显偏差，计3分。未提供者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组织管理能力</w:t>
            </w:r>
          </w:p>
        </w:tc>
        <w:tc>
          <w:tcPr>
            <w:tcW w:type="dxa" w:w="2492"/>
          </w:tcPr>
          <w:p>
            <w:pPr>
              <w:pStyle w:val="null3"/>
            </w:pPr>
            <w:r>
              <w:rPr>
                <w:rFonts w:ascii="仿宋_GB2312" w:hAnsi="仿宋_GB2312" w:cs="仿宋_GB2312" w:eastAsia="仿宋_GB2312"/>
              </w:rPr>
              <w:t>项目团队应具有较强的组织管理能力，以保证项目能够高效，顺利得进行。 组织管理能力强，项目团队成员结构合理，职责分工明确得 10分； 组织管理能力较强，项目团队成员结构较合理，职责分工较明确得 8分； 组织管理能力相对较强，项目团队成员结构相对合理，职责分工相对明 确得 6 分； 有一定的组织管理能力，项目团队成员结构有一定的合理性，职责分工 有一定的明确性得 4 分； 组织管理能力，项目团队成员结构，职责分工均较差得 2 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①供应商应组建不少于10 人的项目服务团队，满足得 2 分，否则不得分。 ②项目负责人曾担任过同类项目负责人的经历，满足得 1 分，否则不得分。 ③拟投入本项目人员中至少 2 人能提供从事安全生产或应急管理领域， 且具有相关专业的高级职称或从事安全生产或应急管理领域，且具有相关应急管理专家证明，满足得 2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安全生产专项检查技术服务方案</w:t>
            </w:r>
          </w:p>
        </w:tc>
        <w:tc>
          <w:tcPr>
            <w:tcW w:type="dxa" w:w="2492"/>
          </w:tcPr>
          <w:p>
            <w:pPr>
              <w:pStyle w:val="null3"/>
            </w:pPr>
            <w:r>
              <w:rPr>
                <w:rFonts w:ascii="仿宋_GB2312" w:hAnsi="仿宋_GB2312" w:cs="仿宋_GB2312" w:eastAsia="仿宋_GB2312"/>
              </w:rPr>
              <w:t>①方案覆盖所有重点行业场所及全部检查内容，结合行业与季节特点，措施完善、可操作性强，完全满足需求得10分； ②方案覆盖大部分重点场所及主要检查内容，措施基本完整，无重大疏漏，基本满足需求得6分； ③方案仅覆盖少量重点场所或部分检查内容，措施存在明显缺陷，无法全面满足需求得3分； ④未提供方案得0分。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节假日及重大活动重点时段安全隐患排查</w:t>
            </w:r>
          </w:p>
        </w:tc>
        <w:tc>
          <w:tcPr>
            <w:tcW w:type="dxa" w:w="2492"/>
          </w:tcPr>
          <w:p>
            <w:pPr>
              <w:pStyle w:val="null3"/>
            </w:pPr>
            <w:r>
              <w:rPr>
                <w:rFonts w:ascii="仿宋_GB2312" w:hAnsi="仿宋_GB2312" w:cs="仿宋_GB2312" w:eastAsia="仿宋_GB2312"/>
              </w:rPr>
              <w:t>①方案覆盖所有重点场所、活动场地及全部检查内容，排查与整改闭环措施完善、可操作性强，完全满足需求得10分； ②方案覆盖大部分重点场所及主要检查内容，措施基本完整，无重大疏漏，基本满足需求得6分； ③方案仅覆盖少量重点场所或部分检查内容，措施存在明显缺陷，无法全面满足需求得3分； ④未提供方案得0分。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突发事件应急处置与事故调查评估</w:t>
            </w:r>
          </w:p>
        </w:tc>
        <w:tc>
          <w:tcPr>
            <w:tcW w:type="dxa" w:w="2492"/>
          </w:tcPr>
          <w:p>
            <w:pPr>
              <w:pStyle w:val="null3"/>
            </w:pPr>
            <w:r>
              <w:rPr>
                <w:rFonts w:ascii="仿宋_GB2312" w:hAnsi="仿宋_GB2312" w:cs="仿宋_GB2312" w:eastAsia="仿宋_GB2312"/>
              </w:rPr>
              <w:t>项目实施过程中，为突发事件应急处置、生产安全事故调查提供技术支持与服务： ① 方案完整覆盖应急处置分析、现场调查、隐患整治方案评审、整改与防范措施技术服务，并明确协助完成事故调查报告，得10分； ② 方案基本涵盖上述核心服务内容，细节不够完善得6分； ③ 仅提供简单应急说明，未明确事故调查相关服务得3分； ④ 未提供相关方案得0分。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安全生产专项培训方案</w:t>
            </w:r>
          </w:p>
        </w:tc>
        <w:tc>
          <w:tcPr>
            <w:tcW w:type="dxa" w:w="2492"/>
          </w:tcPr>
          <w:p>
            <w:pPr>
              <w:pStyle w:val="null3"/>
            </w:pPr>
            <w:r>
              <w:rPr>
                <w:rFonts w:ascii="仿宋_GB2312" w:hAnsi="仿宋_GB2312" w:cs="仿宋_GB2312" w:eastAsia="仿宋_GB2312"/>
              </w:rPr>
              <w:t>① 培训方案结合全区年度重点工作，覆盖不同行业重点人群，含安全生产承诺制、消防安全、应急处置等专项内容，目标明确、针对性强、可落地，得10分； ② 培训方案基本完整，涵盖主要安全培训内容，有一定针对性，但细节不够完善，得6分； ③ 培训方案内容简单，仅列出基础培训方向，缺乏针对性和可操作性，得3分； ④ 未提供相关培训方案，得0分。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对本项目的重难点进行分析，把握深刻、突出，应对措施针对性强， 重难点把握突出，应对措施针对性强得 10分； 重难点把握较突出，应对措施针对性较强得 8 分； 重难点把握相对突出，应对措施针对性相对较强得 6 分； 重难点把握基本到位，应对措施有一定针对性得 4 分； 重难点把握较笼统，应对措施不具备针对性得 2 分； 重难点理解错误，应对措施针对性差得 1 分； 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提供2023年5月至磋商之日（以合同签订时间为准）同类项目业绩，每提供一份业绩计1分，最高计5分。（以合同复印件加盖公章为准）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1、最低的最终磋商报价为磋商报价基准价； 2、磋商报价得分=（磋商报价基准价/最终磋商报价）×10%×100；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