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921F7">
      <w:pPr>
        <w:pStyle w:val="2"/>
        <w:keepNext/>
        <w:keepLines w:val="0"/>
        <w:pageBreakBefore w:val="0"/>
        <w:widowControl w:val="0"/>
        <w:wordWrap/>
        <w:overflowPunct/>
        <w:topLinePunct w:val="0"/>
        <w:bidi w:val="0"/>
        <w:spacing w:line="245" w:lineRule="auto"/>
      </w:pPr>
    </w:p>
    <w:p w14:paraId="296C26B3">
      <w:pPr>
        <w:pStyle w:val="2"/>
        <w:keepNext/>
        <w:keepLines w:val="0"/>
        <w:pageBreakBefore w:val="0"/>
        <w:widowControl w:val="0"/>
        <w:wordWrap/>
        <w:overflowPunct/>
        <w:topLinePunct w:val="0"/>
        <w:bidi w:val="0"/>
        <w:spacing w:line="245" w:lineRule="auto"/>
      </w:pPr>
    </w:p>
    <w:p w14:paraId="0F9F36CE">
      <w:pPr>
        <w:pStyle w:val="2"/>
        <w:keepNext/>
        <w:keepLines w:val="0"/>
        <w:pageBreakBefore w:val="0"/>
        <w:widowControl w:val="0"/>
        <w:wordWrap/>
        <w:overflowPunct/>
        <w:topLinePunct w:val="0"/>
        <w:bidi w:val="0"/>
        <w:spacing w:line="245" w:lineRule="auto"/>
      </w:pPr>
    </w:p>
    <w:p w14:paraId="015F37D2">
      <w:pPr>
        <w:pStyle w:val="2"/>
        <w:keepNext/>
        <w:keepLines w:val="0"/>
        <w:pageBreakBefore w:val="0"/>
        <w:widowControl w:val="0"/>
        <w:wordWrap/>
        <w:overflowPunct/>
        <w:topLinePunct w:val="0"/>
        <w:bidi w:val="0"/>
        <w:spacing w:line="245" w:lineRule="auto"/>
      </w:pPr>
    </w:p>
    <w:p w14:paraId="249A9310">
      <w:pPr>
        <w:pStyle w:val="2"/>
        <w:keepNext/>
        <w:keepLines w:val="0"/>
        <w:pageBreakBefore w:val="0"/>
        <w:widowControl w:val="0"/>
        <w:wordWrap/>
        <w:overflowPunct/>
        <w:topLinePunct w:val="0"/>
        <w:bidi w:val="0"/>
        <w:spacing w:line="245" w:lineRule="auto"/>
      </w:pPr>
    </w:p>
    <w:p w14:paraId="17EE4E1A">
      <w:pPr>
        <w:pStyle w:val="2"/>
        <w:keepNext/>
        <w:keepLines w:val="0"/>
        <w:pageBreakBefore w:val="0"/>
        <w:widowControl w:val="0"/>
        <w:wordWrap/>
        <w:overflowPunct/>
        <w:topLinePunct w:val="0"/>
        <w:bidi w:val="0"/>
        <w:spacing w:line="245" w:lineRule="auto"/>
      </w:pPr>
    </w:p>
    <w:p w14:paraId="14CCC9BF">
      <w:pPr>
        <w:pStyle w:val="2"/>
        <w:keepNext/>
        <w:keepLines w:val="0"/>
        <w:pageBreakBefore w:val="0"/>
        <w:widowControl w:val="0"/>
        <w:wordWrap/>
        <w:overflowPunct/>
        <w:topLinePunct w:val="0"/>
        <w:bidi w:val="0"/>
        <w:spacing w:line="245" w:lineRule="auto"/>
      </w:pPr>
    </w:p>
    <w:p w14:paraId="2594DAC7">
      <w:pPr>
        <w:pStyle w:val="2"/>
        <w:keepNext/>
        <w:keepLines w:val="0"/>
        <w:pageBreakBefore w:val="0"/>
        <w:widowControl w:val="0"/>
        <w:wordWrap/>
        <w:overflowPunct/>
        <w:topLinePunct w:val="0"/>
        <w:bidi w:val="0"/>
        <w:spacing w:line="246" w:lineRule="auto"/>
      </w:pPr>
      <w:r>
        <w:drawing>
          <wp:anchor distT="0" distB="0" distL="0" distR="0" simplePos="0" relativeHeight="251659264" behindDoc="0" locked="0" layoutInCell="1" allowOverlap="1">
            <wp:simplePos x="0" y="0"/>
            <wp:positionH relativeFrom="column">
              <wp:posOffset>5708650</wp:posOffset>
            </wp:positionH>
            <wp:positionV relativeFrom="paragraph">
              <wp:posOffset>55245</wp:posOffset>
            </wp:positionV>
            <wp:extent cx="12065" cy="25400"/>
            <wp:effectExtent l="0" t="0" r="6985" b="3175"/>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11848" cy="25217"/>
                    </a:xfrm>
                    <a:prstGeom prst="rect">
                      <a:avLst/>
                    </a:prstGeom>
                  </pic:spPr>
                </pic:pic>
              </a:graphicData>
            </a:graphic>
          </wp:anchor>
        </w:drawing>
      </w:r>
    </w:p>
    <w:p w14:paraId="2054295E">
      <w:pPr>
        <w:pStyle w:val="2"/>
        <w:keepNext/>
        <w:keepLines w:val="0"/>
        <w:pageBreakBefore w:val="0"/>
        <w:widowControl w:val="0"/>
        <w:wordWrap/>
        <w:overflowPunct/>
        <w:topLinePunct w:val="0"/>
        <w:bidi w:val="0"/>
        <w:spacing w:line="246" w:lineRule="auto"/>
      </w:pPr>
    </w:p>
    <w:p w14:paraId="6C93652B">
      <w:pPr>
        <w:keepNext/>
        <w:keepLines w:val="0"/>
        <w:pageBreakBefore w:val="0"/>
        <w:widowControl w:val="0"/>
        <w:wordWrap/>
        <w:overflowPunct/>
        <w:topLinePunct w:val="0"/>
        <w:bidi w:val="0"/>
        <w:spacing w:before="97" w:line="219" w:lineRule="auto"/>
        <w:jc w:val="center"/>
        <w:rPr>
          <w:rFonts w:hint="eastAsia" w:ascii="宋体" w:hAnsi="宋体" w:eastAsia="宋体" w:cs="宋体"/>
          <w:b/>
          <w:bCs/>
          <w:spacing w:val="-5"/>
          <w:sz w:val="44"/>
          <w:szCs w:val="44"/>
          <w:lang w:eastAsia="zh-CN"/>
        </w:rPr>
      </w:pPr>
      <w:r>
        <w:rPr>
          <w:rFonts w:hint="eastAsia" w:ascii="宋体" w:hAnsi="宋体" w:eastAsia="宋体" w:cs="宋体"/>
          <w:b/>
          <w:bCs/>
          <w:spacing w:val="-5"/>
          <w:sz w:val="44"/>
          <w:szCs w:val="44"/>
          <w:lang w:eastAsia="zh-CN"/>
        </w:rPr>
        <w:t>韩城市城市亮化照明设施维护服务</w:t>
      </w:r>
    </w:p>
    <w:p w14:paraId="74E9D5EA">
      <w:pPr>
        <w:keepNext/>
        <w:keepLines w:val="0"/>
        <w:pageBreakBefore w:val="0"/>
        <w:widowControl w:val="0"/>
        <w:wordWrap/>
        <w:overflowPunct/>
        <w:topLinePunct w:val="0"/>
        <w:bidi w:val="0"/>
        <w:spacing w:before="97" w:line="219" w:lineRule="auto"/>
        <w:jc w:val="center"/>
        <w:rPr>
          <w:rFonts w:hint="eastAsia" w:ascii="宋体" w:hAnsi="宋体" w:eastAsia="宋体" w:cs="宋体"/>
          <w:b/>
          <w:bCs/>
          <w:spacing w:val="-5"/>
          <w:sz w:val="44"/>
          <w:szCs w:val="44"/>
          <w:lang w:eastAsia="zh-CN"/>
        </w:rPr>
      </w:pPr>
    </w:p>
    <w:p w14:paraId="644A8788">
      <w:pPr>
        <w:keepNext/>
        <w:keepLines w:val="0"/>
        <w:pageBreakBefore w:val="0"/>
        <w:widowControl w:val="0"/>
        <w:wordWrap/>
        <w:overflowPunct/>
        <w:topLinePunct w:val="0"/>
        <w:bidi w:val="0"/>
        <w:spacing w:before="97" w:line="219" w:lineRule="auto"/>
        <w:jc w:val="center"/>
        <w:rPr>
          <w:rFonts w:hint="eastAsia" w:ascii="宋体" w:hAnsi="宋体" w:eastAsia="宋体" w:cs="宋体"/>
          <w:b/>
          <w:bCs/>
          <w:spacing w:val="-5"/>
          <w:sz w:val="44"/>
          <w:szCs w:val="44"/>
          <w:lang w:eastAsia="zh-CN"/>
        </w:rPr>
      </w:pPr>
    </w:p>
    <w:p w14:paraId="3E861EBA">
      <w:pPr>
        <w:pStyle w:val="2"/>
        <w:keepNext/>
        <w:keepLines w:val="0"/>
        <w:pageBreakBefore w:val="0"/>
        <w:widowControl w:val="0"/>
        <w:wordWrap/>
        <w:overflowPunct/>
        <w:topLinePunct w:val="0"/>
        <w:bidi w:val="0"/>
        <w:spacing w:line="394" w:lineRule="auto"/>
      </w:pPr>
    </w:p>
    <w:p w14:paraId="2AF9A0A7">
      <w:pPr>
        <w:keepNext/>
        <w:keepLines w:val="0"/>
        <w:pageBreakBefore w:val="0"/>
        <w:widowControl w:val="0"/>
        <w:wordWrap/>
        <w:overflowPunct/>
        <w:topLinePunct w:val="0"/>
        <w:bidi w:val="0"/>
        <w:spacing w:before="98" w:line="220" w:lineRule="auto"/>
        <w:jc w:val="center"/>
        <w:rPr>
          <w:rFonts w:ascii="宋体" w:hAnsi="宋体" w:eastAsia="宋体" w:cs="宋体"/>
          <w:sz w:val="48"/>
          <w:szCs w:val="48"/>
        </w:rPr>
      </w:pPr>
      <w:r>
        <w:rPr>
          <w:rFonts w:ascii="宋体" w:hAnsi="宋体" w:eastAsia="宋体" w:cs="宋体"/>
          <w:b/>
          <w:bCs/>
          <w:spacing w:val="-7"/>
          <w:sz w:val="48"/>
          <w:szCs w:val="48"/>
        </w:rPr>
        <w:t>项目合同</w:t>
      </w:r>
    </w:p>
    <w:p w14:paraId="73465DA9">
      <w:pPr>
        <w:pStyle w:val="2"/>
        <w:keepNext/>
        <w:keepLines w:val="0"/>
        <w:pageBreakBefore w:val="0"/>
        <w:widowControl w:val="0"/>
        <w:wordWrap/>
        <w:overflowPunct/>
        <w:topLinePunct w:val="0"/>
        <w:bidi w:val="0"/>
        <w:spacing w:line="247" w:lineRule="auto"/>
      </w:pPr>
    </w:p>
    <w:p w14:paraId="204812ED">
      <w:pPr>
        <w:pStyle w:val="2"/>
        <w:keepNext/>
        <w:keepLines w:val="0"/>
        <w:pageBreakBefore w:val="0"/>
        <w:widowControl w:val="0"/>
        <w:wordWrap/>
        <w:overflowPunct/>
        <w:topLinePunct w:val="0"/>
        <w:bidi w:val="0"/>
        <w:spacing w:line="247" w:lineRule="auto"/>
      </w:pPr>
    </w:p>
    <w:p w14:paraId="25B21E80">
      <w:pPr>
        <w:pStyle w:val="2"/>
        <w:keepNext/>
        <w:keepLines w:val="0"/>
        <w:pageBreakBefore w:val="0"/>
        <w:widowControl w:val="0"/>
        <w:wordWrap/>
        <w:overflowPunct/>
        <w:topLinePunct w:val="0"/>
        <w:bidi w:val="0"/>
        <w:spacing w:line="247" w:lineRule="auto"/>
      </w:pPr>
    </w:p>
    <w:p w14:paraId="2F851D56">
      <w:pPr>
        <w:pStyle w:val="2"/>
        <w:keepNext/>
        <w:keepLines w:val="0"/>
        <w:pageBreakBefore w:val="0"/>
        <w:widowControl w:val="0"/>
        <w:wordWrap/>
        <w:overflowPunct/>
        <w:topLinePunct w:val="0"/>
        <w:bidi w:val="0"/>
        <w:spacing w:line="247" w:lineRule="auto"/>
      </w:pPr>
    </w:p>
    <w:p w14:paraId="1F447C87">
      <w:pPr>
        <w:pStyle w:val="2"/>
        <w:keepNext/>
        <w:keepLines w:val="0"/>
        <w:pageBreakBefore w:val="0"/>
        <w:widowControl w:val="0"/>
        <w:wordWrap/>
        <w:overflowPunct/>
        <w:topLinePunct w:val="0"/>
        <w:bidi w:val="0"/>
        <w:spacing w:line="247" w:lineRule="auto"/>
      </w:pPr>
    </w:p>
    <w:p w14:paraId="68230017">
      <w:pPr>
        <w:pStyle w:val="2"/>
        <w:keepNext/>
        <w:keepLines w:val="0"/>
        <w:pageBreakBefore w:val="0"/>
        <w:widowControl w:val="0"/>
        <w:wordWrap/>
        <w:overflowPunct/>
        <w:topLinePunct w:val="0"/>
        <w:bidi w:val="0"/>
        <w:spacing w:line="247" w:lineRule="auto"/>
      </w:pPr>
    </w:p>
    <w:p w14:paraId="15D86A23">
      <w:pPr>
        <w:pStyle w:val="2"/>
        <w:keepNext/>
        <w:keepLines w:val="0"/>
        <w:pageBreakBefore w:val="0"/>
        <w:widowControl w:val="0"/>
        <w:wordWrap/>
        <w:overflowPunct/>
        <w:topLinePunct w:val="0"/>
        <w:bidi w:val="0"/>
        <w:spacing w:line="247" w:lineRule="auto"/>
      </w:pPr>
    </w:p>
    <w:p w14:paraId="18D4F868">
      <w:pPr>
        <w:pStyle w:val="2"/>
        <w:keepNext/>
        <w:keepLines w:val="0"/>
        <w:pageBreakBefore w:val="0"/>
        <w:widowControl w:val="0"/>
        <w:wordWrap/>
        <w:overflowPunct/>
        <w:topLinePunct w:val="0"/>
        <w:bidi w:val="0"/>
        <w:spacing w:line="247" w:lineRule="auto"/>
      </w:pPr>
    </w:p>
    <w:p w14:paraId="45455DAA">
      <w:pPr>
        <w:pStyle w:val="2"/>
        <w:keepNext/>
        <w:keepLines w:val="0"/>
        <w:pageBreakBefore w:val="0"/>
        <w:widowControl w:val="0"/>
        <w:wordWrap/>
        <w:overflowPunct/>
        <w:topLinePunct w:val="0"/>
        <w:bidi w:val="0"/>
        <w:spacing w:line="247" w:lineRule="auto"/>
      </w:pPr>
    </w:p>
    <w:p w14:paraId="2BAB208B">
      <w:pPr>
        <w:pStyle w:val="2"/>
        <w:keepNext/>
        <w:keepLines w:val="0"/>
        <w:pageBreakBefore w:val="0"/>
        <w:widowControl w:val="0"/>
        <w:wordWrap/>
        <w:overflowPunct/>
        <w:topLinePunct w:val="0"/>
        <w:bidi w:val="0"/>
        <w:spacing w:line="247" w:lineRule="auto"/>
      </w:pPr>
    </w:p>
    <w:p w14:paraId="65BDD989">
      <w:pPr>
        <w:pStyle w:val="2"/>
        <w:keepNext/>
        <w:keepLines w:val="0"/>
        <w:pageBreakBefore w:val="0"/>
        <w:widowControl w:val="0"/>
        <w:wordWrap/>
        <w:overflowPunct/>
        <w:topLinePunct w:val="0"/>
        <w:bidi w:val="0"/>
        <w:spacing w:line="247" w:lineRule="auto"/>
      </w:pPr>
    </w:p>
    <w:p w14:paraId="02FD9F94">
      <w:pPr>
        <w:pStyle w:val="2"/>
        <w:keepNext/>
        <w:keepLines w:val="0"/>
        <w:pageBreakBefore w:val="0"/>
        <w:widowControl w:val="0"/>
        <w:wordWrap/>
        <w:overflowPunct/>
        <w:topLinePunct w:val="0"/>
        <w:bidi w:val="0"/>
        <w:spacing w:line="247" w:lineRule="auto"/>
      </w:pPr>
    </w:p>
    <w:p w14:paraId="50B2976D">
      <w:pPr>
        <w:pStyle w:val="2"/>
        <w:keepNext/>
        <w:keepLines w:val="0"/>
        <w:pageBreakBefore w:val="0"/>
        <w:widowControl w:val="0"/>
        <w:wordWrap/>
        <w:overflowPunct/>
        <w:topLinePunct w:val="0"/>
        <w:bidi w:val="0"/>
        <w:spacing w:line="247" w:lineRule="auto"/>
      </w:pPr>
    </w:p>
    <w:p w14:paraId="4EB1F86A">
      <w:pPr>
        <w:pStyle w:val="2"/>
        <w:keepNext/>
        <w:keepLines w:val="0"/>
        <w:pageBreakBefore w:val="0"/>
        <w:widowControl w:val="0"/>
        <w:wordWrap/>
        <w:overflowPunct/>
        <w:topLinePunct w:val="0"/>
        <w:bidi w:val="0"/>
        <w:spacing w:line="248" w:lineRule="auto"/>
      </w:pPr>
    </w:p>
    <w:p w14:paraId="3D495450">
      <w:pPr>
        <w:pStyle w:val="2"/>
        <w:keepNext/>
        <w:keepLines w:val="0"/>
        <w:pageBreakBefore w:val="0"/>
        <w:widowControl w:val="0"/>
        <w:wordWrap/>
        <w:overflowPunct/>
        <w:topLinePunct w:val="0"/>
        <w:bidi w:val="0"/>
        <w:spacing w:line="248" w:lineRule="auto"/>
      </w:pPr>
    </w:p>
    <w:p w14:paraId="01204382">
      <w:pPr>
        <w:pStyle w:val="2"/>
        <w:keepNext/>
        <w:keepLines w:val="0"/>
        <w:pageBreakBefore w:val="0"/>
        <w:widowControl w:val="0"/>
        <w:wordWrap/>
        <w:overflowPunct/>
        <w:topLinePunct w:val="0"/>
        <w:bidi w:val="0"/>
        <w:spacing w:line="248" w:lineRule="auto"/>
      </w:pPr>
    </w:p>
    <w:p w14:paraId="6F408B39">
      <w:pPr>
        <w:pStyle w:val="2"/>
        <w:keepNext/>
        <w:keepLines w:val="0"/>
        <w:pageBreakBefore w:val="0"/>
        <w:widowControl w:val="0"/>
        <w:wordWrap/>
        <w:overflowPunct/>
        <w:topLinePunct w:val="0"/>
        <w:bidi w:val="0"/>
        <w:spacing w:line="248" w:lineRule="auto"/>
      </w:pPr>
    </w:p>
    <w:p w14:paraId="47110D2E">
      <w:pPr>
        <w:pStyle w:val="2"/>
        <w:keepNext/>
        <w:keepLines w:val="0"/>
        <w:pageBreakBefore w:val="0"/>
        <w:widowControl w:val="0"/>
        <w:wordWrap/>
        <w:overflowPunct/>
        <w:topLinePunct w:val="0"/>
        <w:bidi w:val="0"/>
        <w:spacing w:line="248" w:lineRule="auto"/>
      </w:pPr>
    </w:p>
    <w:p w14:paraId="400CD726">
      <w:pPr>
        <w:pStyle w:val="2"/>
        <w:keepNext/>
        <w:keepLines w:val="0"/>
        <w:pageBreakBefore w:val="0"/>
        <w:widowControl w:val="0"/>
        <w:wordWrap/>
        <w:overflowPunct/>
        <w:topLinePunct w:val="0"/>
        <w:bidi w:val="0"/>
        <w:spacing w:line="248" w:lineRule="auto"/>
      </w:pPr>
    </w:p>
    <w:p w14:paraId="04F58887">
      <w:pPr>
        <w:pStyle w:val="2"/>
        <w:keepNext/>
        <w:keepLines w:val="0"/>
        <w:pageBreakBefore w:val="0"/>
        <w:widowControl w:val="0"/>
        <w:wordWrap/>
        <w:overflowPunct/>
        <w:topLinePunct w:val="0"/>
        <w:bidi w:val="0"/>
        <w:spacing w:line="248" w:lineRule="auto"/>
      </w:pPr>
    </w:p>
    <w:p w14:paraId="0E123042">
      <w:pPr>
        <w:pStyle w:val="2"/>
        <w:keepNext/>
        <w:keepLines w:val="0"/>
        <w:pageBreakBefore w:val="0"/>
        <w:widowControl w:val="0"/>
        <w:wordWrap/>
        <w:overflowPunct/>
        <w:topLinePunct w:val="0"/>
        <w:bidi w:val="0"/>
        <w:spacing w:line="248" w:lineRule="auto"/>
      </w:pPr>
    </w:p>
    <w:p w14:paraId="77D7A764">
      <w:pPr>
        <w:pStyle w:val="2"/>
        <w:keepNext/>
        <w:keepLines w:val="0"/>
        <w:pageBreakBefore w:val="0"/>
        <w:widowControl w:val="0"/>
        <w:wordWrap/>
        <w:overflowPunct/>
        <w:topLinePunct w:val="0"/>
        <w:bidi w:val="0"/>
        <w:spacing w:line="248" w:lineRule="auto"/>
      </w:pPr>
    </w:p>
    <w:p w14:paraId="4F0203F1">
      <w:pPr>
        <w:pStyle w:val="2"/>
        <w:keepNext/>
        <w:keepLines w:val="0"/>
        <w:pageBreakBefore w:val="0"/>
        <w:widowControl w:val="0"/>
        <w:wordWrap/>
        <w:overflowPunct/>
        <w:topLinePunct w:val="0"/>
        <w:bidi w:val="0"/>
        <w:spacing w:line="248" w:lineRule="auto"/>
      </w:pPr>
    </w:p>
    <w:p w14:paraId="0E598B34">
      <w:pPr>
        <w:pStyle w:val="2"/>
        <w:keepNext/>
        <w:keepLines w:val="0"/>
        <w:pageBreakBefore w:val="0"/>
        <w:widowControl w:val="0"/>
        <w:wordWrap/>
        <w:overflowPunct/>
        <w:topLinePunct w:val="0"/>
        <w:bidi w:val="0"/>
        <w:spacing w:line="248" w:lineRule="auto"/>
      </w:pPr>
    </w:p>
    <w:p w14:paraId="63009A0B">
      <w:pPr>
        <w:pStyle w:val="2"/>
        <w:keepNext/>
        <w:keepLines w:val="0"/>
        <w:pageBreakBefore w:val="0"/>
        <w:widowControl w:val="0"/>
        <w:wordWrap/>
        <w:overflowPunct/>
        <w:topLinePunct w:val="0"/>
        <w:bidi w:val="0"/>
        <w:spacing w:line="248" w:lineRule="auto"/>
      </w:pPr>
    </w:p>
    <w:p w14:paraId="0E9E1201">
      <w:pPr>
        <w:pStyle w:val="2"/>
        <w:keepNext/>
        <w:keepLines w:val="0"/>
        <w:pageBreakBefore w:val="0"/>
        <w:widowControl w:val="0"/>
        <w:wordWrap/>
        <w:overflowPunct/>
        <w:topLinePunct w:val="0"/>
        <w:bidi w:val="0"/>
        <w:spacing w:line="248" w:lineRule="auto"/>
      </w:pPr>
    </w:p>
    <w:p w14:paraId="160DB17B">
      <w:pPr>
        <w:pStyle w:val="2"/>
        <w:keepNext/>
        <w:keepLines w:val="0"/>
        <w:pageBreakBefore w:val="0"/>
        <w:widowControl w:val="0"/>
        <w:wordWrap/>
        <w:overflowPunct/>
        <w:topLinePunct w:val="0"/>
        <w:bidi w:val="0"/>
        <w:spacing w:line="248" w:lineRule="auto"/>
      </w:pPr>
    </w:p>
    <w:p w14:paraId="03B12BD4">
      <w:pPr>
        <w:pStyle w:val="2"/>
        <w:keepNext/>
        <w:keepLines w:val="0"/>
        <w:pageBreakBefore w:val="0"/>
        <w:widowControl w:val="0"/>
        <w:wordWrap/>
        <w:overflowPunct/>
        <w:topLinePunct w:val="0"/>
        <w:bidi w:val="0"/>
        <w:spacing w:line="248" w:lineRule="auto"/>
      </w:pPr>
    </w:p>
    <w:p w14:paraId="5BC31C0D">
      <w:pPr>
        <w:pStyle w:val="2"/>
        <w:keepNext/>
        <w:keepLines w:val="0"/>
        <w:pageBreakBefore w:val="0"/>
        <w:widowControl w:val="0"/>
        <w:wordWrap/>
        <w:overflowPunct/>
        <w:topLinePunct w:val="0"/>
        <w:bidi w:val="0"/>
        <w:spacing w:line="248" w:lineRule="auto"/>
      </w:pPr>
    </w:p>
    <w:p w14:paraId="5B74654E">
      <w:pPr>
        <w:keepNext/>
        <w:keepLines w:val="0"/>
        <w:pageBreakBefore w:val="0"/>
        <w:widowControl w:val="0"/>
        <w:wordWrap/>
        <w:overflowPunct/>
        <w:topLinePunct w:val="0"/>
        <w:bidi w:val="0"/>
        <w:spacing w:before="65" w:line="219" w:lineRule="auto"/>
        <w:jc w:val="center"/>
        <w:rPr>
          <w:rFonts w:ascii="宋体" w:hAnsi="宋体" w:eastAsia="宋体" w:cs="宋体"/>
          <w:b/>
          <w:bCs/>
          <w:sz w:val="28"/>
          <w:szCs w:val="28"/>
        </w:rPr>
      </w:pPr>
      <w:r>
        <w:rPr>
          <w:rFonts w:ascii="宋体" w:hAnsi="宋体" w:eastAsia="宋体" w:cs="宋体"/>
          <w:b/>
          <w:bCs/>
          <w:sz w:val="28"/>
          <w:szCs w:val="28"/>
        </w:rPr>
        <w:t>签订日期：年月日</w:t>
      </w:r>
    </w:p>
    <w:p w14:paraId="568AF5E4">
      <w:pPr>
        <w:keepNext/>
        <w:keepLines w:val="0"/>
        <w:pageBreakBefore w:val="0"/>
        <w:widowControl w:val="0"/>
        <w:wordWrap/>
        <w:overflowPunct/>
        <w:topLinePunct w:val="0"/>
        <w:bidi w:val="0"/>
        <w:spacing w:before="65" w:line="219" w:lineRule="auto"/>
        <w:ind w:left="2697"/>
        <w:rPr>
          <w:rFonts w:ascii="宋体" w:hAnsi="宋体" w:eastAsia="宋体" w:cs="宋体"/>
          <w:b/>
          <w:bCs/>
          <w:sz w:val="20"/>
          <w:szCs w:val="20"/>
        </w:rPr>
      </w:pPr>
    </w:p>
    <w:p w14:paraId="528DEF70">
      <w:pPr>
        <w:keepNext/>
        <w:keepLines w:val="0"/>
        <w:pageBreakBefore w:val="0"/>
        <w:widowControl w:val="0"/>
        <w:wordWrap/>
        <w:overflowPunct/>
        <w:topLinePunct w:val="0"/>
        <w:bidi w:val="0"/>
        <w:spacing w:before="65" w:line="219" w:lineRule="auto"/>
        <w:ind w:left="2697"/>
        <w:rPr>
          <w:rFonts w:ascii="宋体" w:hAnsi="宋体" w:eastAsia="宋体" w:cs="宋体"/>
          <w:b/>
          <w:bCs/>
          <w:sz w:val="20"/>
          <w:szCs w:val="20"/>
        </w:rPr>
      </w:pPr>
    </w:p>
    <w:p w14:paraId="6C36CF1F">
      <w:pPr>
        <w:pStyle w:val="2"/>
        <w:keepNext/>
        <w:keepLines w:val="0"/>
        <w:pageBreakBefore w:val="0"/>
        <w:widowControl w:val="0"/>
        <w:wordWrap/>
        <w:overflowPunct/>
        <w:topLinePunct w:val="0"/>
        <w:bidi w:val="0"/>
        <w:spacing w:line="257" w:lineRule="auto"/>
      </w:pPr>
    </w:p>
    <w:p w14:paraId="31D8720D">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eastAsia="宋体" w:cs="宋体"/>
          <w:sz w:val="21"/>
          <w:szCs w:val="21"/>
          <w:u w:val="single"/>
          <w:lang w:eastAsia="zh-CN"/>
        </w:rPr>
        <w:t>韩城市住房和城乡建设局</w:t>
      </w:r>
    </w:p>
    <w:p w14:paraId="023FC21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u w:val="single"/>
          <w:lang w:val="en-US" w:eastAsia="zh-CN"/>
        </w:rPr>
      </w:pPr>
      <w:r>
        <w:rPr>
          <w:rFonts w:hint="eastAsia" w:ascii="宋体" w:hAnsi="宋体" w:eastAsia="宋体" w:cs="宋体"/>
          <w:sz w:val="21"/>
          <w:szCs w:val="21"/>
        </w:rPr>
        <w:t>乙方：</w:t>
      </w:r>
    </w:p>
    <w:p w14:paraId="50EDAC6E">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双方根据《中华人民共和国民法典》、《中华人民共和国建筑法》、《中华人民共和国政府采购法》等法律</w:t>
      </w:r>
      <w:r>
        <w:rPr>
          <w:rFonts w:hint="eastAsia" w:ascii="宋体" w:hAnsi="宋体" w:eastAsia="宋体" w:cs="宋体"/>
          <w:sz w:val="21"/>
          <w:szCs w:val="21"/>
          <w:lang w:val="en-US" w:eastAsia="zh-CN"/>
        </w:rPr>
        <w:t>法规</w:t>
      </w:r>
      <w:r>
        <w:rPr>
          <w:rFonts w:hint="eastAsia" w:ascii="宋体" w:hAnsi="宋体" w:eastAsia="宋体" w:cs="宋体"/>
          <w:sz w:val="21"/>
          <w:szCs w:val="21"/>
        </w:rPr>
        <w:t>，本着</w:t>
      </w:r>
      <w:r>
        <w:rPr>
          <w:rFonts w:hint="eastAsia" w:ascii="宋体" w:hAnsi="宋体" w:eastAsia="宋体" w:cs="宋体"/>
          <w:sz w:val="21"/>
          <w:szCs w:val="21"/>
          <w:lang w:val="en-US" w:eastAsia="zh-CN"/>
        </w:rPr>
        <w:t>平</w:t>
      </w:r>
      <w:r>
        <w:rPr>
          <w:rFonts w:hint="eastAsia" w:ascii="宋体" w:hAnsi="宋体" w:eastAsia="宋体" w:cs="宋体"/>
          <w:sz w:val="21"/>
          <w:szCs w:val="21"/>
        </w:rPr>
        <w:t>等、自愿、公平、互利和诚实信用的原则，经双方协商一致签订本合同：</w:t>
      </w:r>
    </w:p>
    <w:p w14:paraId="1DBF3782">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一、项目概况</w:t>
      </w:r>
    </w:p>
    <w:p w14:paraId="7C685EFE">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lang w:eastAsia="zh-CN"/>
        </w:rPr>
      </w:pPr>
      <w:r>
        <w:rPr>
          <w:rFonts w:hint="eastAsia" w:ascii="宋体" w:hAnsi="宋体" w:eastAsia="宋体" w:cs="宋体"/>
          <w:sz w:val="21"/>
          <w:szCs w:val="21"/>
        </w:rPr>
        <w:t>1、项目名称：</w:t>
      </w:r>
      <w:r>
        <w:rPr>
          <w:rFonts w:hint="eastAsia" w:ascii="宋体" w:hAnsi="宋体" w:eastAsia="宋体" w:cs="宋体"/>
          <w:sz w:val="21"/>
          <w:szCs w:val="21"/>
          <w:lang w:val="en-US" w:eastAsia="zh-CN"/>
        </w:rPr>
        <w:t>韩</w:t>
      </w:r>
      <w:r>
        <w:rPr>
          <w:rFonts w:hint="eastAsia" w:ascii="宋体" w:hAnsi="宋体" w:eastAsia="宋体" w:cs="宋体"/>
          <w:sz w:val="21"/>
          <w:szCs w:val="21"/>
          <w:lang w:eastAsia="zh-CN"/>
        </w:rPr>
        <w:t>城市城市亮化照明设施维护服务</w:t>
      </w:r>
    </w:p>
    <w:p w14:paraId="08B8A28A">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lang w:val="en-US" w:eastAsia="zh-CN"/>
        </w:rPr>
      </w:pPr>
      <w:r>
        <w:rPr>
          <w:rFonts w:hint="eastAsia" w:ascii="宋体" w:hAnsi="宋体" w:eastAsia="宋体" w:cs="宋体"/>
          <w:sz w:val="21"/>
          <w:szCs w:val="21"/>
        </w:rPr>
        <w:t>2、项目地点：</w:t>
      </w:r>
      <w:r>
        <w:rPr>
          <w:rFonts w:hint="eastAsia" w:ascii="宋体" w:hAnsi="宋体" w:eastAsia="宋体" w:cs="宋体"/>
          <w:sz w:val="21"/>
          <w:szCs w:val="21"/>
          <w:lang w:val="en-US" w:eastAsia="zh-CN"/>
        </w:rPr>
        <w:t>韩城市</w:t>
      </w:r>
    </w:p>
    <w:p w14:paraId="12EA8E0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项目</w:t>
      </w:r>
      <w:r>
        <w:rPr>
          <w:rFonts w:hint="eastAsia" w:ascii="宋体" w:hAnsi="宋体" w:eastAsia="宋体" w:cs="宋体"/>
          <w:sz w:val="21"/>
          <w:szCs w:val="21"/>
        </w:rPr>
        <w:t>范围：</w:t>
      </w:r>
    </w:p>
    <w:p w14:paraId="1902BE0E">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二、服务期：</w:t>
      </w:r>
    </w:p>
    <w:p w14:paraId="474912D0">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三、服务要求</w:t>
      </w:r>
    </w:p>
    <w:p w14:paraId="36F66A5B">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(一)巡查、维护、管理要求</w:t>
      </w:r>
    </w:p>
    <w:p w14:paraId="4AB6D8A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(一)巡查相关要求</w:t>
      </w:r>
    </w:p>
    <w:p w14:paraId="3AE240D2">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1、人员配备</w:t>
      </w:r>
    </w:p>
    <w:p w14:paraId="7CBDB258">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巡查员：能够熟练驾驶巡查车辆及处理简单故障。</w:t>
      </w:r>
    </w:p>
    <w:p w14:paraId="597FCCB7">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电工：强电、弱电，持证上岗具有专业的操作技能以及2年以上电气施工或维修经验。</w:t>
      </w:r>
    </w:p>
    <w:p w14:paraId="6DC6DA18">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资料员：有电力施工工程资料相关经验，熟练操作Office、CAD等办公软件。</w:t>
      </w:r>
    </w:p>
    <w:p w14:paraId="3DF8A430">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2、设备配备</w:t>
      </w:r>
    </w:p>
    <w:p w14:paraId="5EF49147">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(1)维护单位需配备专用巡查车辆、辅助电动车及电工巡查作业常用工器具(如：验电笔、万用表、兆欧表、钳流表等)。</w:t>
      </w:r>
    </w:p>
    <w:p w14:paraId="5B206C01">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(2)维护单位日常维护中应自行承担上岗人员合格的安全用具(如绝缘手套、绝缘靴、安全帽等劳保用具)。</w:t>
      </w:r>
    </w:p>
    <w:p w14:paraId="4A517C2B">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(3)维护单位应配备相应的备品备件(如：相关的各类灯具、开关、电缆等)</w:t>
      </w:r>
    </w:p>
    <w:p w14:paraId="73BB6172">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3、巡查要求</w:t>
      </w:r>
    </w:p>
    <w:p w14:paraId="178366DB">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(1)维护单位需按要求保证24小时具有行业合格资质的人员在岗，并确保值班电话的畅通和业务信息传递，做好优质的服务。</w:t>
      </w:r>
    </w:p>
    <w:p w14:paraId="67C70EF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维护单位应按照运行维护要求成立巡查机构。为保障设备设施的安全运行要求，维护单位每班次须配备专用巡查车辆，电气工程师，技术人员。其中白班巡查人员巡检区域全面覆盖，夜班巡查人员巡检区域全面覆盖。每天巡查巡检科学合理安排并做好相关巡查记录。</w:t>
      </w:r>
    </w:p>
    <w:p w14:paraId="2A2E043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(3)每班次巡查人员做好相应的巡查记录，以备查验，巡查过程中发现问题</w:t>
      </w:r>
    </w:p>
    <w:p w14:paraId="554357BE">
      <w:pPr>
        <w:pStyle w:val="6"/>
        <w:keepNext/>
        <w:keepLines w:val="0"/>
        <w:pageBreakBefore w:val="0"/>
        <w:widowControl w:val="0"/>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sz w:val="21"/>
          <w:szCs w:val="21"/>
        </w:rPr>
        <w:t>应及时处理并上报主管单位。</w:t>
      </w:r>
    </w:p>
    <w:p w14:paraId="520E2FB3">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(4)巡查人员应做好交接班工作，确保巡查工作的正常进行。</w:t>
      </w:r>
    </w:p>
    <w:p w14:paraId="6A376E2D">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(5)每天每班对所管辖设备巡查不少于一次，如遇甲方通知的特殊任务和设备过负荷、大风、雷雨、大雾、大雪等天气和短路事故应做相应的巡查调整，做好巡检记录并以文字形式向甲方汇报设备安全运行情况。</w:t>
      </w:r>
    </w:p>
    <w:p w14:paraId="178B64A8">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(6)节假日、重大活动及接待任务时，维护单位应合理安排巡查人员确保设备设施的正常运行。</w:t>
      </w:r>
    </w:p>
    <w:p w14:paraId="50E8C91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(二)维修、维护</w:t>
      </w:r>
    </w:p>
    <w:p w14:paraId="7CBC8CE7">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1、维修人员配备</w:t>
      </w:r>
    </w:p>
    <w:p w14:paraId="6C20D2BE">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高空作业工人：需持有国家相关机构颁发的特种高空作业证书。</w:t>
      </w:r>
    </w:p>
    <w:p w14:paraId="7825F188">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电工：强电、弱电，持证上岗具有专业的操作技能以及2年以上电气施工或维修经验。</w:t>
      </w:r>
    </w:p>
    <w:p w14:paraId="4FA624A6">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2、维修维护设备配备</w:t>
      </w:r>
    </w:p>
    <w:p w14:paraId="6A8597D1">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(1)维护单位自备或租赁高空作业设备(如：吊篮、高空作业车等)。</w:t>
      </w:r>
    </w:p>
    <w:p w14:paraId="5730FA0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维护单位日常维护中应自行承担上岗人员合格的安全用具(如绝缘手套、绝缘靴、安全帽等劳保用具)、操作工具(如螺丝刀、电笔、摇表、万用表、测温仪、钳流表及个人的常用工具等)、备品备件(如指示灯、断路器、时间控制器、浪涌保护器等)。</w:t>
      </w:r>
    </w:p>
    <w:p w14:paraId="13153C12">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3、维修维护相关要求</w:t>
      </w:r>
    </w:p>
    <w:p w14:paraId="76731206">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(1)计划维修</w:t>
      </w:r>
    </w:p>
    <w:p w14:paraId="5E761605">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维护单位进行有计划的维护、检查和修理，以保证设备经常处于完好状态。其特点在于预防性与计划性，即在设备未曾发生故障时就有计划地进行预防性的维修。计划预修制的内容主要有：日常维护、定期检查、和计划修理。</w:t>
      </w:r>
    </w:p>
    <w:p w14:paraId="22B3B2AA">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(2)计划保修</w:t>
      </w:r>
    </w:p>
    <w:p w14:paraId="46FD5FFF">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维护单位在计划预修制的基础上进行针对性维修养护。主要内容是：日常保养，一级保养和计划大修。</w:t>
      </w:r>
    </w:p>
    <w:p w14:paraId="61FEBBB0">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(3)预防维修</w:t>
      </w:r>
    </w:p>
    <w:p w14:paraId="34F377EE">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维护单位在日常的巡查过程中根据设备设施的运行情况进行巡查维修，确保各个设备设施的正常运行。</w:t>
      </w:r>
    </w:p>
    <w:p w14:paraId="2135026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(三)管理要求</w:t>
      </w:r>
    </w:p>
    <w:p w14:paraId="012186D1">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1、组织机构设置</w:t>
      </w:r>
    </w:p>
    <w:p w14:paraId="1451A98B">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为保证</w:t>
      </w:r>
      <w:r>
        <w:rPr>
          <w:rFonts w:hint="eastAsia" w:ascii="宋体" w:hAnsi="宋体" w:eastAsia="宋体" w:cs="宋体"/>
          <w:sz w:val="21"/>
          <w:szCs w:val="21"/>
          <w:lang w:eastAsia="zh-CN"/>
        </w:rPr>
        <w:t>韩城市城市亮化照明设施</w:t>
      </w:r>
      <w:r>
        <w:rPr>
          <w:rFonts w:hint="eastAsia" w:ascii="宋体" w:hAnsi="宋体" w:eastAsia="宋体" w:cs="宋体"/>
          <w:sz w:val="21"/>
          <w:szCs w:val="21"/>
        </w:rPr>
        <w:t>运行维护的安全稳定运行，达到为用户优质、高效服务的管理要求，应成立项目运行维护部。</w:t>
      </w:r>
    </w:p>
    <w:p w14:paraId="7CFE5B53">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四、验收</w:t>
      </w:r>
    </w:p>
    <w:p w14:paraId="46F6AE71">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1、每年期满后采购人进行验收，中标单位年度服务考核合格，填写政府采购项目验收单作为对项目的最终认可，续签下一年度服务合同。</w:t>
      </w:r>
    </w:p>
    <w:p w14:paraId="70AC72E7">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2、验收依据：合同文本、招投标文件、现场清单等相关资料。</w:t>
      </w:r>
    </w:p>
    <w:p w14:paraId="79807B39">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五、合同价款及结算办法</w:t>
      </w:r>
    </w:p>
    <w:p w14:paraId="4B9D9F61">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1、合同总价金额：¥(大写：元整),</w:t>
      </w:r>
    </w:p>
    <w:p w14:paraId="16C6F222">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采购人根据《韩城市亮化照明设施维护维修》履约考核办法及细则按月支付</w:t>
      </w:r>
      <w:r>
        <w:rPr>
          <w:rFonts w:hint="eastAsia" w:ascii="宋体" w:hAnsi="宋体" w:eastAsia="宋体" w:cs="宋体"/>
          <w:sz w:val="21"/>
          <w:szCs w:val="21"/>
        </w:rPr>
        <w:t>。</w:t>
      </w:r>
    </w:p>
    <w:p w14:paraId="46FF1D54">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六、双方责任、权利和义务</w:t>
      </w:r>
    </w:p>
    <w:p w14:paraId="1DED70F7">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1、甲乙双方必须遵守本合同并执行合同中的各项规定，保证本合同的正常履行。</w:t>
      </w:r>
    </w:p>
    <w:p w14:paraId="038733AE">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2、甲方有权根据本合同所约定的内容及标准，对乙方提供的服务进度和服务质量进行检查，如乙方提供的服务质量不符合本合同的约定，甲方有权要求乙方在指定时间内作出补充或修正。</w:t>
      </w:r>
    </w:p>
    <w:p w14:paraId="46EC99D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3、甲方有权对乙方的服务成果、服务实施等提出要求或修改建议，乙方应按甲方要求或修改建议进行完善或修改。</w:t>
      </w:r>
    </w:p>
    <w:p w14:paraId="1A63CBC6">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4、乙方确保本项目涉及统计内容等均不侵犯任何第三方权利，否则应当承担侵权责任，如因此对甲方造成损失的，还应赔偿甲方损失。</w:t>
      </w:r>
    </w:p>
    <w:p w14:paraId="7A03CBC5">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5、服务结束后，成果所有权、知识产权归甲方所有，乙方不得以任何理由干涉甲方对项目成果的使用。</w:t>
      </w:r>
    </w:p>
    <w:p w14:paraId="15E67740">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6、本项目的相关资料(包括履约过程中获取的相关资料)在未经甲方书面同意的情况下不得用作其他地方。</w:t>
      </w:r>
    </w:p>
    <w:p w14:paraId="62BE22E7">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7、乙方配备的制作及执行为高水准配套人员，响应迅速。</w:t>
      </w:r>
    </w:p>
    <w:p w14:paraId="3C3E6B2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七、违约、索赔</w:t>
      </w:r>
    </w:p>
    <w:p w14:paraId="0A92C2CE">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未按合同要求提供服务或服务质量不能满足合同要求，甲方应当将服务方违约的情况以及拟采取的措施以书面形式报政府采购监管部门，根据政府采购监管部门的处理意见，甲方有权依据《民法典》有关条款及合同约定解除合同，服务方应向甲方支付合同总价款%的违约金。同时，政府采购监管部门有权依据《政府采购法》及相关法律法规对服务方的违法行为进行相应的处罚。</w:t>
      </w:r>
    </w:p>
    <w:p w14:paraId="35EE72E0">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2、在本合同履行过程中，双方因违约或造成对方经济、社会效益等损失的应当赔偿。</w:t>
      </w:r>
    </w:p>
    <w:p w14:paraId="5E0EC782">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3、甲方无正当理由拒绝接受服务的，需向乙方偿付本合同总价款%的违约金。</w:t>
      </w:r>
    </w:p>
    <w:p w14:paraId="0BB0F133">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4、乙方提供的服务不符合本项目相关文件和本合同规定的，甲方有权拒绝，并且乙方须向甲方支付本合同总价款%的违约金，若违约金不能弥补甲方损失，乙方还应赔偿损失。</w:t>
      </w:r>
    </w:p>
    <w:p w14:paraId="73DEAA1D">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5、未经甲方同意，乙方不得擅自将本合同服务转包第三方承担。</w:t>
      </w:r>
    </w:p>
    <w:p w14:paraId="0B2AD61A">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八、合同纠纷或争议</w:t>
      </w:r>
    </w:p>
    <w:p w14:paraId="65992A4F">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因本合同或与本合同有关的一切事项发生争议，由双方友好协商解决。协商不成的，任何一方均可选择向甲方所在地人民法院提起诉讼。</w:t>
      </w:r>
    </w:p>
    <w:p w14:paraId="5A1F5618">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九、不可抗力事件处理</w:t>
      </w:r>
    </w:p>
    <w:p w14:paraId="1CAB8FDB">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因不可抗力造成违约的，遭受不可抗力一方应及时向对方通报不能履行或不能完全履行的理由，并在随后取得有关权威机构出具的证明后的15日内向另一方提供不可抗力发生以及持续期间的充分证据。基于以上行为，允许遭受不可抗力一方延期履行、部分履行或者不履行合同，并根据情况可部分或全部免于承担违约责任。</w:t>
      </w:r>
    </w:p>
    <w:p w14:paraId="3485F41A">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本合同中的不可抗力指不能预见、不能避免并不能克服的客观情况。不可抗力应以国家和本市有关部门正式发布为准，不可抗力是指战争、严重火灾、水灾、台风、地震等人力不可抗拒的因素引起的延误和影响。</w:t>
      </w:r>
    </w:p>
    <w:p w14:paraId="59D9E6E1">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十、违约解除合同</w:t>
      </w:r>
    </w:p>
    <w:p w14:paraId="60CC8EED">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1、在乙方违约的情况下，甲方可向乙方发出书面通知，部分或全部终止本合同，同时保留向对方追诉的权利。</w:t>
      </w:r>
    </w:p>
    <w:p w14:paraId="0AAC6AE4">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2、乙方有转让或未经甲方同意的分包行为，甲方可以单方解除合同。</w:t>
      </w:r>
    </w:p>
    <w:p w14:paraId="2DF143CD">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3、乙方未能履行本合同规定的责任、权利、义务的，甲方可以单方解除</w:t>
      </w:r>
    </w:p>
    <w:p w14:paraId="4CEC043D">
      <w:pPr>
        <w:pStyle w:val="6"/>
        <w:keepNext/>
        <w:keepLines w:val="0"/>
        <w:pageBreakBefore w:val="0"/>
        <w:widowControl w:val="0"/>
        <w:wordWrap/>
        <w:overflowPunct/>
        <w:topLinePunct w:val="0"/>
        <w:bidi w:val="0"/>
        <w:spacing w:line="360" w:lineRule="auto"/>
        <w:rPr>
          <w:rFonts w:hint="eastAsia" w:ascii="宋体" w:hAnsi="宋体" w:eastAsia="宋体" w:cs="宋体"/>
          <w:sz w:val="21"/>
          <w:szCs w:val="21"/>
          <w:lang w:eastAsia="zh-CN"/>
        </w:rPr>
      </w:pPr>
      <w:r>
        <w:rPr>
          <w:rFonts w:hint="eastAsia" w:ascii="宋体" w:hAnsi="宋体" w:eastAsia="宋体" w:cs="宋体"/>
          <w:sz w:val="21"/>
          <w:szCs w:val="21"/>
        </w:rPr>
        <w:t>合同</w:t>
      </w:r>
      <w:r>
        <w:rPr>
          <w:rFonts w:hint="eastAsia" w:ascii="宋体" w:hAnsi="宋体" w:eastAsia="宋体" w:cs="宋体"/>
          <w:sz w:val="21"/>
          <w:szCs w:val="21"/>
          <w:lang w:eastAsia="zh-CN"/>
        </w:rPr>
        <w:t>。</w:t>
      </w:r>
    </w:p>
    <w:p w14:paraId="428D4F6A">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4、在本合同履行过程中，乙方有欺诈、违法行为的，甲方可以单方解除合同。</w:t>
      </w:r>
    </w:p>
    <w:p w14:paraId="7AB2DA98">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十一、合同的生效</w:t>
      </w:r>
    </w:p>
    <w:p w14:paraId="0A941183">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本合同经双方法定代表人(负责人)或授权代表签字并加盖公章(或合同专用章)即开始生效，在合同完全履行完毕终止。</w:t>
      </w:r>
    </w:p>
    <w:p w14:paraId="4FE1B5AF">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十二、其他</w:t>
      </w:r>
    </w:p>
    <w:p w14:paraId="483AE2BE">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1、本合同未尽事宜，双方协商解决，签订补充合同，补充合同与本合同具有同等法律效力。</w:t>
      </w:r>
    </w:p>
    <w:p w14:paraId="255E0E93">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r>
        <w:rPr>
          <w:rFonts w:hint="eastAsia" w:ascii="宋体" w:hAnsi="宋体" w:eastAsia="宋体" w:cs="宋体"/>
          <w:sz w:val="21"/>
          <w:szCs w:val="21"/>
        </w:rPr>
        <w:t>2、本合同一式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份，双方各执</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份。</w:t>
      </w:r>
    </w:p>
    <w:p w14:paraId="7BE56982">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p>
    <w:p w14:paraId="43F8611C">
      <w:pPr>
        <w:pStyle w:val="6"/>
        <w:keepNext/>
        <w:keepLines w:val="0"/>
        <w:pageBreakBefore w:val="0"/>
        <w:widowControl w:val="0"/>
        <w:wordWrap/>
        <w:overflowPunct/>
        <w:topLinePunct w:val="0"/>
        <w:bidi w:val="0"/>
        <w:spacing w:line="360" w:lineRule="auto"/>
        <w:ind w:firstLine="480"/>
        <w:rPr>
          <w:rFonts w:hint="eastAsia" w:ascii="宋体" w:hAnsi="宋体" w:eastAsia="宋体" w:cs="宋体"/>
          <w:sz w:val="21"/>
          <w:szCs w:val="21"/>
        </w:rPr>
      </w:pPr>
    </w:p>
    <w:tbl>
      <w:tblPr>
        <w:tblStyle w:val="4"/>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7"/>
        <w:gridCol w:w="2527"/>
        <w:gridCol w:w="1762"/>
        <w:gridCol w:w="2672"/>
      </w:tblGrid>
      <w:tr w14:paraId="52F4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7" w:type="dxa"/>
            <w:noWrap w:val="0"/>
            <w:vAlign w:val="center"/>
          </w:tcPr>
          <w:p w14:paraId="4EA5FAA4">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甲方（盖章）：</w:t>
            </w:r>
          </w:p>
        </w:tc>
        <w:tc>
          <w:tcPr>
            <w:tcW w:w="2527" w:type="dxa"/>
            <w:noWrap w:val="0"/>
            <w:vAlign w:val="center"/>
          </w:tcPr>
          <w:p w14:paraId="14E8CC21">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762" w:type="dxa"/>
            <w:noWrap w:val="0"/>
            <w:vAlign w:val="center"/>
          </w:tcPr>
          <w:p w14:paraId="74E668F0">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乙方（盖章）：</w:t>
            </w:r>
          </w:p>
        </w:tc>
        <w:tc>
          <w:tcPr>
            <w:tcW w:w="2672" w:type="dxa"/>
            <w:noWrap w:val="0"/>
            <w:vAlign w:val="center"/>
          </w:tcPr>
          <w:p w14:paraId="30F6ECFB">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2B1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7" w:type="dxa"/>
            <w:noWrap w:val="0"/>
            <w:vAlign w:val="center"/>
          </w:tcPr>
          <w:p w14:paraId="20305E19">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法定代表人（委托代理人）：</w:t>
            </w:r>
          </w:p>
        </w:tc>
        <w:tc>
          <w:tcPr>
            <w:tcW w:w="2527" w:type="dxa"/>
            <w:noWrap w:val="0"/>
            <w:vAlign w:val="center"/>
          </w:tcPr>
          <w:p w14:paraId="449F8EB4">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762" w:type="dxa"/>
            <w:noWrap w:val="0"/>
            <w:vAlign w:val="center"/>
          </w:tcPr>
          <w:p w14:paraId="23EA50A9">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法定代表人（委托代理人）：</w:t>
            </w:r>
          </w:p>
        </w:tc>
        <w:tc>
          <w:tcPr>
            <w:tcW w:w="2672" w:type="dxa"/>
            <w:noWrap w:val="0"/>
            <w:vAlign w:val="center"/>
          </w:tcPr>
          <w:p w14:paraId="31F44B50">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57D8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7" w:type="dxa"/>
            <w:noWrap w:val="0"/>
            <w:vAlign w:val="center"/>
          </w:tcPr>
          <w:p w14:paraId="1F1CAEEB">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p>
        </w:tc>
        <w:tc>
          <w:tcPr>
            <w:tcW w:w="2527" w:type="dxa"/>
            <w:noWrap w:val="0"/>
            <w:vAlign w:val="center"/>
          </w:tcPr>
          <w:p w14:paraId="5FA0321A">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762" w:type="dxa"/>
            <w:noWrap w:val="0"/>
            <w:vAlign w:val="center"/>
          </w:tcPr>
          <w:p w14:paraId="639A43FD">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p>
        </w:tc>
        <w:tc>
          <w:tcPr>
            <w:tcW w:w="2672" w:type="dxa"/>
            <w:noWrap w:val="0"/>
            <w:vAlign w:val="center"/>
          </w:tcPr>
          <w:p w14:paraId="6CFD297E">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C92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7" w:type="dxa"/>
            <w:noWrap w:val="0"/>
            <w:vAlign w:val="center"/>
          </w:tcPr>
          <w:p w14:paraId="3622A303">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社会信用代码：</w:t>
            </w:r>
          </w:p>
        </w:tc>
        <w:tc>
          <w:tcPr>
            <w:tcW w:w="2527" w:type="dxa"/>
            <w:noWrap w:val="0"/>
            <w:vAlign w:val="center"/>
          </w:tcPr>
          <w:p w14:paraId="0BBB63E0">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762" w:type="dxa"/>
            <w:noWrap w:val="0"/>
            <w:vAlign w:val="center"/>
          </w:tcPr>
          <w:p w14:paraId="44247ADE">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社会信用代码：</w:t>
            </w:r>
          </w:p>
        </w:tc>
        <w:tc>
          <w:tcPr>
            <w:tcW w:w="2672" w:type="dxa"/>
            <w:noWrap w:val="0"/>
            <w:vAlign w:val="center"/>
          </w:tcPr>
          <w:p w14:paraId="3DF3910A">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391E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7" w:type="dxa"/>
            <w:noWrap w:val="0"/>
            <w:vAlign w:val="center"/>
          </w:tcPr>
          <w:p w14:paraId="6D98692A">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2527" w:type="dxa"/>
            <w:noWrap w:val="0"/>
            <w:vAlign w:val="center"/>
          </w:tcPr>
          <w:p w14:paraId="6E236CAA">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762" w:type="dxa"/>
            <w:noWrap w:val="0"/>
            <w:vAlign w:val="center"/>
          </w:tcPr>
          <w:p w14:paraId="5FA54288">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2672" w:type="dxa"/>
            <w:noWrap w:val="0"/>
            <w:vAlign w:val="center"/>
          </w:tcPr>
          <w:p w14:paraId="24795A7D">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7581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7" w:type="dxa"/>
            <w:noWrap w:val="0"/>
            <w:vAlign w:val="center"/>
          </w:tcPr>
          <w:p w14:paraId="13AEA4E6">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银行帐号：</w:t>
            </w:r>
          </w:p>
        </w:tc>
        <w:tc>
          <w:tcPr>
            <w:tcW w:w="2527" w:type="dxa"/>
            <w:noWrap w:val="0"/>
            <w:vAlign w:val="center"/>
          </w:tcPr>
          <w:p w14:paraId="2F2F5589">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762" w:type="dxa"/>
            <w:noWrap w:val="0"/>
            <w:vAlign w:val="center"/>
          </w:tcPr>
          <w:p w14:paraId="20BB70AE">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银行帐号：</w:t>
            </w:r>
          </w:p>
        </w:tc>
        <w:tc>
          <w:tcPr>
            <w:tcW w:w="2672" w:type="dxa"/>
            <w:noWrap w:val="0"/>
            <w:vAlign w:val="center"/>
          </w:tcPr>
          <w:p w14:paraId="2F61802F">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5D8C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7" w:type="dxa"/>
            <w:noWrap w:val="0"/>
            <w:vAlign w:val="center"/>
          </w:tcPr>
          <w:p w14:paraId="1E8980CD">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2527" w:type="dxa"/>
            <w:noWrap w:val="0"/>
            <w:vAlign w:val="center"/>
          </w:tcPr>
          <w:p w14:paraId="6AC07577">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762" w:type="dxa"/>
            <w:noWrap w:val="0"/>
            <w:vAlign w:val="center"/>
          </w:tcPr>
          <w:p w14:paraId="1822360F">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2672" w:type="dxa"/>
            <w:noWrap w:val="0"/>
            <w:vAlign w:val="center"/>
          </w:tcPr>
          <w:p w14:paraId="2F1362E6">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755E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7" w:type="dxa"/>
            <w:noWrap w:val="0"/>
            <w:vAlign w:val="center"/>
          </w:tcPr>
          <w:p w14:paraId="74AC3BC2">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527" w:type="dxa"/>
            <w:noWrap w:val="0"/>
            <w:vAlign w:val="center"/>
          </w:tcPr>
          <w:p w14:paraId="1E558C73">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762" w:type="dxa"/>
            <w:noWrap w:val="0"/>
            <w:vAlign w:val="center"/>
          </w:tcPr>
          <w:p w14:paraId="101127A6">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672" w:type="dxa"/>
            <w:noWrap w:val="0"/>
            <w:vAlign w:val="center"/>
          </w:tcPr>
          <w:p w14:paraId="479A7D50">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F32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7" w:type="dxa"/>
            <w:noWrap w:val="0"/>
            <w:vAlign w:val="center"/>
          </w:tcPr>
          <w:p w14:paraId="75C243B9">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签约日期：</w:t>
            </w:r>
          </w:p>
        </w:tc>
        <w:tc>
          <w:tcPr>
            <w:tcW w:w="2527" w:type="dxa"/>
            <w:noWrap w:val="0"/>
            <w:vAlign w:val="center"/>
          </w:tcPr>
          <w:p w14:paraId="2BC08EC7">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年月日</w:t>
            </w:r>
          </w:p>
        </w:tc>
        <w:tc>
          <w:tcPr>
            <w:tcW w:w="1762" w:type="dxa"/>
            <w:noWrap w:val="0"/>
            <w:vAlign w:val="center"/>
          </w:tcPr>
          <w:p w14:paraId="056E9149">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签约日期：</w:t>
            </w:r>
          </w:p>
        </w:tc>
        <w:tc>
          <w:tcPr>
            <w:tcW w:w="2672" w:type="dxa"/>
            <w:noWrap w:val="0"/>
            <w:vAlign w:val="center"/>
          </w:tcPr>
          <w:p w14:paraId="64266399">
            <w:pPr>
              <w:keepNext/>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年月日</w:t>
            </w:r>
          </w:p>
        </w:tc>
      </w:tr>
    </w:tbl>
    <w:p w14:paraId="5B039994">
      <w:pPr>
        <w:keepNext/>
        <w:keepLines w:val="0"/>
        <w:pageBreakBefore w:val="0"/>
        <w:widowControl w:val="0"/>
        <w:wordWrap/>
        <w:overflowPunct/>
        <w:topLinePunct w:val="0"/>
        <w:bidi w:val="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8852770">
    <w:panose1 w:val="03000509000000000000"/>
    <w:charset w:val="86"/>
    <w:family w:val="auto"/>
    <w:pitch w:val="default"/>
    <w:sig w:usb0="00000001"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F128E"/>
    <w:rsid w:val="0A232419"/>
    <w:rsid w:val="10F22B45"/>
    <w:rsid w:val="12A460C1"/>
    <w:rsid w:val="139879D4"/>
    <w:rsid w:val="15963B1E"/>
    <w:rsid w:val="1B894BCA"/>
    <w:rsid w:val="25C1258D"/>
    <w:rsid w:val="7DE93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styleId="4">
    <w:name w:val="Table Grid"/>
    <w:basedOn w:val="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2026-05-07T11:00:02Z</dcterms:created>
  <dc:creator>X</dc:creator>
  <cp:lastModifiedBy>Mr.Xu</cp:lastModifiedBy>
  <dcterms:modified xsi:type="dcterms:W3CDTF">2026-05-07T11:03:12Z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eyJoZGlkIjoiYzc1NjgxOTk3OTA1NzRiZDEyN2IxNTk1OWJiYWNmYjkiLCJ1c2VySWQiOiIzMzg0NTQ0NTYifQ==</vt:lpwstr>
  </property>
  <property fmtid="{D5CDD505-2E9C-101B-9397-08002B2CF9AE}" pid="4" name="ICV">
    <vt:lpwstr>78A6D0962B284D619D37B72DDB44400E_12</vt:lpwstr>
  </property>
</Properties>
</file>